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68401U204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Atterbury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Whetstone Capital Advisors, LLC, 2001 Shawnee Mission Pkwy</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Mission Woods, KS, 66205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(913) 951-2700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68401U204</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Whetstone Capital Advisors,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KANSAS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1,508,303.00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1,508,303.00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1,508,303.00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68401U204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Atterbury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1,508,303.00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1,508,303.00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1,508,303.00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949"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OptimizeRx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260 Charles Street, Suite 302, Waltham, MASSACHUSETTS , 02453.</w:t>
      </w:r>
    </w:p>
    <w:p>
      <w:pPr>
        <w:spacing w:after="0" w:line="20"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Amended No 1. to the Schedule 13D (this "Amendment") that relates to the Common Stock, par value $0.001</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(the "Common Stock") of OptimizeRx Corporation, a Nevada corporation (the "Issuer"). The address of the Issuer''s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principal executive offices is 260 Charles Street, Suite 302, Waltham, MA 02453. This Amendment amends and</w:t>
      </w:r>
    </w:p>
    <w:p>
      <w:pPr>
        <w:spacing w:after="0" w:line="1" w:lineRule="exact"/>
        <w:rPr>
          <w:sz w:val="20"/>
          <w:szCs w:val="20"/>
          <w:color w:val="auto"/>
        </w:rPr>
      </w:pPr>
    </w:p>
    <w:p>
      <w:pPr>
        <w:ind w:right="1500" w:firstLine="952"/>
        <w:spacing w:after="0" w:line="263" w:lineRule="auto"/>
        <w:rPr>
          <w:sz w:val="20"/>
          <w:szCs w:val="20"/>
          <w:color w:val="auto"/>
        </w:rPr>
      </w:pPr>
      <w:r>
        <w:rPr>
          <w:rFonts w:ascii="Times New Roman" w:cs="Times New Roman" w:eastAsia="Times New Roman" w:hAnsi="Times New Roman"/>
          <w:sz w:val="22"/>
          <w:szCs w:val="22"/>
          <w:color w:val="auto"/>
        </w:rPr>
        <w:t>restates the Schedule 13D filed by the Reporting Persons on February 5, 2025 (the "Schedule 13D"). Item 2. Identity and Background</w:t>
      </w:r>
    </w:p>
    <w:p>
      <w:pPr>
        <w:spacing w:after="0" w:line="43" w:lineRule="exact"/>
        <w:rPr>
          <w:sz w:val="20"/>
          <w:szCs w:val="20"/>
          <w:color w:val="auto"/>
        </w:rPr>
      </w:pPr>
    </w:p>
    <w:p>
      <w:pPr>
        <w:ind w:left="920" w:right="32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This Amendment is being filed by Whetstone Capital Advisors, LLC ("WCA") and Mr. David Atterbury (together,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right="54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addresses of the Reporting Persons are as follows: 2001 Shawnee Mission Pkwy Mission Woods, KS 66205</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WCA is a Kansas limited liability company and Mr. David Atterbury is the manager of WCA. WCA serves as the</w:t>
      </w:r>
    </w:p>
    <w:p>
      <w:pPr>
        <w:spacing w:after="0" w:line="14" w:lineRule="exact"/>
        <w:rPr>
          <w:rFonts w:ascii="Times New Roman" w:cs="Times New Roman" w:eastAsia="Times New Roman" w:hAnsi="Times New Roman"/>
          <w:sz w:val="39"/>
          <w:szCs w:val="39"/>
          <w:color w:val="auto"/>
          <w:vertAlign w:val="subscript"/>
        </w:rPr>
      </w:pPr>
    </w:p>
    <w:p>
      <w:pPr>
        <w:ind w:left="920" w:right="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investment advisor to certain private investment funds (the "Funds"), which hold Common Stock of the Issuer, and may direct the vote and disposition of the Common Stock held by the Funds. As the manager of WCA, Mr. Atterbury may direct the vote and disposition of the Common Stock held by the Funds.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During the last five years, neither the Reporting Persons (or a controlling entity thereof) nor any executive officer or</w:t>
      </w:r>
    </w:p>
    <w:p>
      <w:pPr>
        <w:spacing w:after="0" w:line="14" w:lineRule="exact"/>
        <w:rPr>
          <w:rFonts w:ascii="Times New Roman" w:cs="Times New Roman" w:eastAsia="Times New Roman" w:hAnsi="Times New Roman"/>
          <w:sz w:val="42"/>
          <w:szCs w:val="42"/>
          <w:color w:val="auto"/>
          <w:vertAlign w:val="subscript"/>
        </w:rPr>
      </w:pPr>
    </w:p>
    <w:p>
      <w:pPr>
        <w:ind w:left="920" w:right="16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 of any of the Reporting Persons (or a controlling entity thereof) has been convicted in a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last five years, neither the Reporting Persons (or a controlling entity thereof) nor any executive officer or</w:t>
      </w:r>
    </w:p>
    <w:p>
      <w:pPr>
        <w:spacing w:after="0" w:line="14" w:lineRule="exact"/>
        <w:rPr>
          <w:rFonts w:ascii="Times New Roman" w:cs="Times New Roman" w:eastAsia="Times New Roman" w:hAnsi="Times New Roman"/>
          <w:sz w:val="22"/>
          <w:szCs w:val="22"/>
          <w:color w:val="auto"/>
        </w:rPr>
      </w:pPr>
    </w:p>
    <w:p>
      <w:pPr>
        <w:ind w:left="920" w:right="36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 of any of the Reporting Persons (or a controlling entity thereof) has been a party to a civil proceeding of a judicial or administrative body of competent jurisdiction.</w:t>
      </w:r>
    </w:p>
    <w:p>
      <w:pPr>
        <w:spacing w:after="0" w:line="16" w:lineRule="exact"/>
        <w:rPr>
          <w:rFonts w:ascii="Times New Roman" w:cs="Times New Roman" w:eastAsia="Times New Roman" w:hAnsi="Times New Roman"/>
          <w:sz w:val="22"/>
          <w:szCs w:val="22"/>
          <w:color w:val="auto"/>
        </w:rPr>
      </w:pPr>
    </w:p>
    <w:p>
      <w:pPr>
        <w:ind w:right="80" w:firstLine="8"/>
        <w:spacing w:after="0" w:line="281" w:lineRule="auto"/>
        <w:tabs>
          <w:tab w:leader="none" w:pos="91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2(c) above for the place of organization of WCA. Mr. Atterbury is a citizen of the United States of America. Item 3. Source and Amount of Funds or Other Consideration</w:t>
      </w:r>
    </w:p>
    <w:p>
      <w:pPr>
        <w:spacing w:after="0" w:line="2" w:lineRule="exact"/>
        <w:rPr>
          <w:sz w:val="20"/>
          <w:szCs w:val="20"/>
          <w:color w:val="auto"/>
        </w:rPr>
      </w:pPr>
    </w:p>
    <w:p>
      <w:pPr>
        <w:ind w:left="920" w:right="220"/>
        <w:spacing w:after="0" w:line="261" w:lineRule="auto"/>
        <w:rPr>
          <w:sz w:val="20"/>
          <w:szCs w:val="20"/>
          <w:color w:val="auto"/>
        </w:rPr>
      </w:pPr>
      <w:r>
        <w:rPr>
          <w:rFonts w:ascii="Times New Roman" w:cs="Times New Roman" w:eastAsia="Times New Roman" w:hAnsi="Times New Roman"/>
          <w:sz w:val="21"/>
          <w:szCs w:val="21"/>
          <w:color w:val="auto"/>
        </w:rPr>
        <w:t>The Common Stock reported herein as being beneficially owned by the Reporting Persons was purchased using working capital of the Funds. An aggregate of approximately $7,557,310 (excluding brokerage commissions) was used to purchase the Common Stock reported as beneficially owned by the Reporting Persons in this Schedule 13D.</w:t>
      </w:r>
    </w:p>
    <w:p>
      <w:pPr>
        <w:sectPr>
          <w:pgSz w:w="11900" w:h="16949" w:orient="portrait"/>
          <w:cols w:equalWidth="0" w:num="1">
            <w:col w:w="11160"/>
          </w:cols>
          <w:pgMar w:left="360" w:top="111" w:right="37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00"/>
        <w:spacing w:after="0" w:line="233" w:lineRule="auto"/>
        <w:rPr>
          <w:sz w:val="20"/>
          <w:szCs w:val="20"/>
          <w:color w:val="auto"/>
        </w:rPr>
      </w:pPr>
      <w:r>
        <w:rPr>
          <w:rFonts w:ascii="Times New Roman" w:cs="Times New Roman" w:eastAsia="Times New Roman" w:hAnsi="Times New Roman"/>
          <w:sz w:val="22"/>
          <w:szCs w:val="22"/>
          <w:color w:val="auto"/>
        </w:rPr>
        <w:t>This Amendment hereby amends and supplements Item 4 of the Schedule 13D by inserting the following: On March 6, 2025, WCA provided written notice to the Issuer of its intent to nominate each of Messrs. Andrew Carlson and John Fein for election to the Board at the Issuer's 2025 annual meeting of stockholders. In connection with such notice, the Reporting Persons have communicated, and expect to continue to communicate, with the Issuer about Board composition and other matters. The Reporting Persons intend to review their investments in the Issuer on a continuing basis. Depending on various factors, including, without limitation, the Issuer's financial position and strategic direction, the outcome of the discussions and matters referenced above, actions taken by the Issuer's management or Board, price levels of the Common Stock, liquidity requirements and other investment opportunities available to the Reporting Persons, conditions in the securities market and general economic and industry conditions, the Reporting Persons may in the future take actions with respect to their investment position in the Issuer as they deem appropriate, including, without limitation, purchasing additional shares of Common Stock or other instruments that are based upon or relate to the value of the Common Stock or the Issuer in the open market or otherwise, selling some or all of the securities reported herein, and/or engaging in hedging or similar transactions with respect to the shares of Common Stock.</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See rows (11) and (13) of the cover pages to this Schedule 13D for the aggregate number of shares of Common Stock and percentage of the Common Stock beneficially owned by each of the Reporting Persons. The percentages reported</w:t>
      </w:r>
    </w:p>
    <w:p>
      <w:pPr>
        <w:spacing w:after="0" w:line="1" w:lineRule="exact"/>
        <w:rPr>
          <w:sz w:val="20"/>
          <w:szCs w:val="20"/>
          <w:color w:val="auto"/>
        </w:rPr>
      </w:pPr>
    </w:p>
    <w:p>
      <w:pPr>
        <w:ind w:left="920" w:right="140" w:hanging="912"/>
        <w:spacing w:after="0" w:line="235"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this Schedule 13D were calculated based upon the 18,420,906 shares of Common Stock issued and outstanding as of November 8, 2024, as reported in the Issuer's Quarterly Report on Form 10-Q filed with the Securities and Exchange Commission (the "SEC") on November 14, 2024.</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rows (7) through (10) of the cover pages to this Schedule 13D for the number of shares of Common Stock as to</w:t>
      </w:r>
    </w:p>
    <w:p>
      <w:pPr>
        <w:spacing w:after="0" w:line="14" w:lineRule="exact"/>
        <w:rPr>
          <w:rFonts w:ascii="Times New Roman" w:cs="Times New Roman" w:eastAsia="Times New Roman" w:hAnsi="Times New Roman"/>
          <w:sz w:val="22"/>
          <w:szCs w:val="22"/>
          <w:color w:val="auto"/>
        </w:rPr>
      </w:pPr>
    </w:p>
    <w:p>
      <w:pPr>
        <w:ind w:left="920" w:right="560" w:hanging="912"/>
        <w:spacing w:after="0" w:line="237"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each Reporting Person has the sole or shared power to vote or direct the vote and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20" w:right="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transactions effected by the Reporting Persons in the Common Stock of the Issuer during the past sixty (60) days are set forth in Schedule A. All such transactions were effected in the open market.</w:t>
      </w:r>
    </w:p>
    <w:p>
      <w:pPr>
        <w:spacing w:after="0" w:line="17" w:lineRule="exact"/>
        <w:rPr>
          <w:rFonts w:ascii="Times New Roman" w:cs="Times New Roman" w:eastAsia="Times New Roman" w:hAnsi="Times New Roman"/>
          <w:sz w:val="39"/>
          <w:szCs w:val="39"/>
          <w:color w:val="auto"/>
          <w:vertAlign w:val="subscript"/>
        </w:rPr>
      </w:pPr>
    </w:p>
    <w:p>
      <w:pPr>
        <w:ind w:left="920" w:right="2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the Funds and the Reporting Persons, no other person is known to have the right to receive, or the power to direct the receipt of, dividends from or proceeds from the sale, of the Common Stock.</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00"/>
        <w:spacing w:after="0" w:line="236" w:lineRule="auto"/>
        <w:rPr>
          <w:sz w:val="20"/>
          <w:szCs w:val="20"/>
          <w:color w:val="auto"/>
        </w:rPr>
      </w:pPr>
      <w:r>
        <w:rPr>
          <w:rFonts w:ascii="Times New Roman" w:cs="Times New Roman" w:eastAsia="Times New Roman" w:hAnsi="Times New Roman"/>
          <w:sz w:val="22"/>
          <w:szCs w:val="22"/>
          <w:color w:val="auto"/>
        </w:rPr>
        <w:t>There are no contracts, arrangements, understandings or relationships (legal or otherwise) among any Reporting Person or between such persons and any person with respect to any securities of the Issuer, including any class of the Issuer's securities used as a reference security, in connection with any of the following: call options, put options, security-based swaps or any other derivative securities, transfer or voting of any of the securities, finder's fees, joint ventures, loan or option arrangements, guarantees of profits, division of profits or loss, or the giving or withholding of proxies.</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Whetstone Capital Advisors,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Atterbury</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David Atterbury Manager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David Atterbury</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Atterbury</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David Atterbury</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03/10/2025</w:t>
      </w:r>
    </w:p>
    <w:sectPr>
      <w:pgSz w:w="11900" w:h="16838" w:orient="portrait"/>
      <w:cols w:equalWidth="0" w:num="1">
        <w:col w:w="11140"/>
      </w:cols>
      <w:pgMar w:left="360" w:top="16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2025-03-10T16:42:14Z</dcterms:created>
  <dcterms:modified xsi:type="dcterms:W3CDTF">2025-03-10T16:42:14Z</dcterms:modified>
</cp:coreProperties>
</file>