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223520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4620" w:type="dxa"/>
            <w:vAlign w:val="bottom"/>
            <w:gridSpan w:val="8"/>
          </w:tcPr>
          <w:p>
            <w:pPr>
              <w:jc w:val="center"/>
              <w:ind w:right="140"/>
              <w:spacing w:after="0"/>
              <w:rPr>
                <w:sz w:val="20"/>
                <w:szCs w:val="20"/>
                <w:color w:val="auto"/>
              </w:rPr>
            </w:pPr>
            <w:r>
              <w:rPr>
                <w:rFonts w:ascii="Arial" w:cs="Arial" w:eastAsia="Arial" w:hAnsi="Arial"/>
                <w:sz w:val="18"/>
                <w:szCs w:val="18"/>
                <w:color w:val="auto"/>
                <w:w w:val="91"/>
              </w:rPr>
              <w:t>Date of Report (Date of earliest event reported): April 8, 2019</w:t>
            </w:r>
          </w:p>
        </w:tc>
        <w:tc>
          <w:tcPr>
            <w:tcW w:w="3320" w:type="dxa"/>
            <w:vAlign w:val="bottom"/>
          </w:tcPr>
          <w:p>
            <w:pPr>
              <w:spacing w:after="0"/>
              <w:rPr>
                <w:sz w:val="20"/>
                <w:szCs w:val="20"/>
                <w:color w:val="auto"/>
              </w:rPr>
            </w:pPr>
          </w:p>
        </w:tc>
      </w:tr>
      <w:tr>
        <w:trPr>
          <w:trHeight w:val="392"/>
        </w:trPr>
        <w:tc>
          <w:tcPr>
            <w:tcW w:w="3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480" w:type="dxa"/>
            <w:vAlign w:val="bottom"/>
            <w:gridSpan w:val="4"/>
          </w:tcPr>
          <w:p>
            <w:pPr>
              <w:spacing w:after="0"/>
              <w:rPr>
                <w:sz w:val="24"/>
                <w:szCs w:val="24"/>
                <w:color w:val="auto"/>
              </w:rPr>
            </w:pPr>
          </w:p>
        </w:tc>
        <w:tc>
          <w:tcPr>
            <w:tcW w:w="3320" w:type="dxa"/>
            <w:vAlign w:val="bottom"/>
          </w:tcPr>
          <w:p>
            <w:pPr>
              <w:spacing w:after="0"/>
              <w:rPr>
                <w:sz w:val="24"/>
                <w:szCs w:val="24"/>
                <w:color w:val="auto"/>
              </w:rPr>
            </w:pPr>
          </w:p>
        </w:tc>
      </w:tr>
      <w:tr>
        <w:trPr>
          <w:trHeight w:val="237"/>
        </w:trPr>
        <w:tc>
          <w:tcPr>
            <w:tcW w:w="3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20" w:type="dxa"/>
            <w:vAlign w:val="bottom"/>
            <w:gridSpan w:val="7"/>
          </w:tcPr>
          <w:p>
            <w:pPr>
              <w:jc w:val="center"/>
              <w:ind w:right="440"/>
              <w:spacing w:after="0"/>
              <w:rPr>
                <w:sz w:val="20"/>
                <w:szCs w:val="20"/>
                <w:color w:val="auto"/>
              </w:rPr>
            </w:pPr>
            <w:r>
              <w:rPr>
                <w:rFonts w:ascii="Arial" w:cs="Arial" w:eastAsia="Arial" w:hAnsi="Arial"/>
                <w:sz w:val="18"/>
                <w:szCs w:val="18"/>
                <w:color w:val="auto"/>
                <w:w w:val="90"/>
              </w:rPr>
              <w:t>(Exact name of registrant as specified in its charter)</w:t>
            </w:r>
          </w:p>
        </w:tc>
        <w:tc>
          <w:tcPr>
            <w:tcW w:w="3320" w:type="dxa"/>
            <w:vAlign w:val="bottom"/>
          </w:tcPr>
          <w:p>
            <w:pPr>
              <w:spacing w:after="0"/>
              <w:rPr>
                <w:sz w:val="20"/>
                <w:szCs w:val="20"/>
                <w:color w:val="auto"/>
              </w:rPr>
            </w:pPr>
          </w:p>
        </w:tc>
      </w:tr>
      <w:tr>
        <w:trPr>
          <w:trHeight w:val="439"/>
        </w:trPr>
        <w:tc>
          <w:tcPr>
            <w:tcW w:w="3480" w:type="dxa"/>
            <w:vAlign w:val="bottom"/>
          </w:tcPr>
          <w:p>
            <w:pPr>
              <w:jc w:val="center"/>
              <w:ind w:left="210"/>
              <w:spacing w:after="0"/>
              <w:rPr>
                <w:sz w:val="20"/>
                <w:szCs w:val="20"/>
                <w:color w:val="auto"/>
              </w:rPr>
            </w:pPr>
            <w:r>
              <w:rPr>
                <w:rFonts w:ascii="Arial" w:cs="Arial" w:eastAsia="Arial" w:hAnsi="Arial"/>
                <w:sz w:val="18"/>
                <w:szCs w:val="18"/>
                <w:color w:val="auto"/>
                <w:w w:val="86"/>
              </w:rPr>
              <w:t>Nevada</w:t>
            </w:r>
          </w:p>
        </w:tc>
        <w:tc>
          <w:tcPr>
            <w:tcW w:w="3140" w:type="dxa"/>
            <w:vAlign w:val="bottom"/>
            <w:gridSpan w:val="4"/>
          </w:tcPr>
          <w:p>
            <w:pPr>
              <w:jc w:val="center"/>
              <w:ind w:left="127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right"/>
              <w:ind w:right="1350"/>
              <w:spacing w:after="0"/>
              <w:rPr>
                <w:sz w:val="20"/>
                <w:szCs w:val="20"/>
                <w:color w:val="auto"/>
              </w:rPr>
            </w:pPr>
            <w:r>
              <w:rPr>
                <w:rFonts w:ascii="Arial" w:cs="Arial" w:eastAsia="Arial" w:hAnsi="Arial"/>
                <w:sz w:val="18"/>
                <w:szCs w:val="18"/>
                <w:color w:val="auto"/>
              </w:rPr>
              <w:t>26-1265381</w:t>
            </w:r>
          </w:p>
        </w:tc>
      </w:tr>
      <w:tr>
        <w:trPr>
          <w:trHeight w:val="230"/>
        </w:trPr>
        <w:tc>
          <w:tcPr>
            <w:tcW w:w="3480" w:type="dxa"/>
            <w:vAlign w:val="bottom"/>
            <w:tcBorders>
              <w:top w:val="single" w:sz="8" w:color="auto"/>
            </w:tcBorders>
          </w:tcPr>
          <w:p>
            <w:pPr>
              <w:jc w:val="center"/>
              <w:ind w:left="230"/>
              <w:spacing w:after="0"/>
              <w:rPr>
                <w:sz w:val="20"/>
                <w:szCs w:val="20"/>
                <w:color w:val="auto"/>
              </w:rPr>
            </w:pPr>
            <w:r>
              <w:rPr>
                <w:rFonts w:ascii="Arial" w:cs="Arial" w:eastAsia="Arial" w:hAnsi="Arial"/>
                <w:sz w:val="18"/>
                <w:szCs w:val="18"/>
                <w:color w:val="auto"/>
                <w:w w:val="92"/>
              </w:rPr>
              <w:t>(State or other jurisdiction of incorporation)</w:t>
            </w:r>
          </w:p>
        </w:tc>
        <w:tc>
          <w:tcPr>
            <w:tcW w:w="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32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color w:val="auto"/>
                <w:w w:val="93"/>
              </w:rPr>
              <w:t>(I.R.S. Employer Identification No.)</w:t>
            </w:r>
          </w:p>
        </w:tc>
      </w:tr>
      <w:tr>
        <w:trPr>
          <w:trHeight w:val="425"/>
        </w:trPr>
        <w:tc>
          <w:tcPr>
            <w:tcW w:w="8100" w:type="dxa"/>
            <w:vAlign w:val="bottom"/>
            <w:gridSpan w:val="9"/>
          </w:tcPr>
          <w:p>
            <w:pPr>
              <w:jc w:val="center"/>
              <w:ind w:right="420"/>
              <w:spacing w:after="0"/>
              <w:rPr>
                <w:sz w:val="20"/>
                <w:szCs w:val="20"/>
                <w:color w:val="auto"/>
              </w:rPr>
            </w:pPr>
            <w:r>
              <w:rPr>
                <w:rFonts w:ascii="Arial" w:cs="Arial" w:eastAsia="Arial" w:hAnsi="Arial"/>
                <w:sz w:val="18"/>
                <w:szCs w:val="18"/>
                <w:color w:val="auto"/>
                <w:w w:val="89"/>
              </w:rPr>
              <w:t>400 Water Street, Suite 200, Rochester, MI</w:t>
            </w:r>
          </w:p>
        </w:tc>
        <w:tc>
          <w:tcPr>
            <w:tcW w:w="3320" w:type="dxa"/>
            <w:vAlign w:val="bottom"/>
          </w:tcPr>
          <w:p>
            <w:pPr>
              <w:jc w:val="right"/>
              <w:ind w:right="1510"/>
              <w:spacing w:after="0"/>
              <w:rPr>
                <w:sz w:val="20"/>
                <w:szCs w:val="20"/>
                <w:color w:val="auto"/>
              </w:rPr>
            </w:pPr>
            <w:r>
              <w:rPr>
                <w:rFonts w:ascii="Arial" w:cs="Arial" w:eastAsia="Arial" w:hAnsi="Arial"/>
                <w:sz w:val="18"/>
                <w:szCs w:val="18"/>
                <w:color w:val="auto"/>
              </w:rPr>
              <w:t>48307</w:t>
            </w:r>
          </w:p>
        </w:tc>
      </w:tr>
      <w:tr>
        <w:trPr>
          <w:trHeight w:val="230"/>
        </w:trPr>
        <w:tc>
          <w:tcPr>
            <w:tcW w:w="766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3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On April 8, 2019, we issued a press release announcing our latest platform integration with the health care industry’s leading acute electronic health record (EHR) systems, including Epic and Cerner. A copy of the press release is attached as Exhibit 99.1 to this Current Report on Form 8-K.</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April 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8, 2019</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302895</wp:posOffset>
            </wp:positionV>
            <wp:extent cx="3498850" cy="823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88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line="272" w:lineRule="auto"/>
        <w:rPr>
          <w:sz w:val="20"/>
          <w:szCs w:val="20"/>
          <w:color w:val="auto"/>
        </w:rPr>
      </w:pPr>
      <w:r>
        <w:rPr>
          <w:rFonts w:ascii="Arial" w:cs="Arial" w:eastAsia="Arial" w:hAnsi="Arial"/>
          <w:sz w:val="32"/>
          <w:szCs w:val="32"/>
          <w:b w:val="1"/>
          <w:bCs w:val="1"/>
          <w:color w:val="auto"/>
        </w:rPr>
        <w:t>OptimizeRx Expands Investment in Hospitals and Health Systems with Latest Tech and Personnel Adds</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Company’s Platform is Technically Integrated with Epic and Cerner, and New Hospital Sales Executive Will Focus on Health System Partnerships</w:t>
      </w:r>
    </w:p>
    <w:p>
      <w:pPr>
        <w:spacing w:after="0" w:line="23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 xml:space="preserve">ROCHESTER, Mich., (April 8, 2019) — </w:t>
      </w:r>
      <w:r>
        <w:rPr>
          <w:rFonts w:ascii="Arial" w:cs="Arial" w:eastAsia="Arial" w:hAnsi="Arial"/>
          <w:sz w:val="18"/>
          <w:szCs w:val="18"/>
          <w:color w:val="auto"/>
        </w:rPr>
        <w:t>OptimizeRx Corp. (NASDAQ: OPRX), a leading digital health messaging platform for the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announced its latest platform integration with the health care industry’s leading acute electronic health record (EHR) systems, including Epic and Cerner. This latest announcement is a reflection of the company’s continued investment in hospitals and health systems, also emphasized in the latest company hiring of Denys Ashby as vice president of Hospitals &amp; Health Systems.</w:t>
      </w:r>
    </w:p>
    <w:p>
      <w:pPr>
        <w:spacing w:after="0" w:line="184"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“At OptimizeRx, we are unwavering in our commitment to bring affordability and adherence solutions to the industry,” said Miriam Paramore, president at OptimizeRx. “By linking our platform to the industry’s leading EHRs, hospitals and health systems across the country will now have access to critical information – from patient savings opportunities to medication adherence information – that empowers the patient with lower cost plus high-touch support programs. Hospitals and health systems will benefit from reduced readmissions, increased patient satisfaction, and improved quality care.”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OptimizeRx’s technical integration with Epic and Cerner enables healthcare providers to provide patient savings opportunities for nearly all medications.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Research points to improved medication adherence when patients can identify ways of lowering their co-payments.</w:t>
      </w:r>
    </w:p>
    <w:p>
      <w:pPr>
        <w:spacing w:after="0" w:line="21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Having accomplished this EHR connectivity, OptimizeRx is further investing in the hospitals and health systems landscape by adding Denys Ashby to focus on hospital sales. OptimizeRx expects these efforts to support its stated goal of an additional 20% reach to physicians by the end of 2019.</w:t>
      </w:r>
    </w:p>
    <w:p>
      <w:pPr>
        <w:spacing w:after="0" w:line="14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Continued Paramore: “Denys’ experience is going to add significant value to OptimizeRx’s hospital and health system strategy. He is a proven leader with more than 25 years of experience in sales across the health care, pharma, capital, pharmacy automation, workflow and clinical software markets, and we’re thrilled to welcome him on board to lead the expansion of our ecosystem.”</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Ashby most recently served as national director of business development at CaptureRx. He has held previous positions with McKesson, Cerner and ScriptPro.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 earned a degree from the University of Kansas.</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is much momentum at OptimizeRx,” said Ashby. “Every patient will have the opportunity to go home with patient savings opportunities to better afford, and therefore adhere to, their medications. I’m excited about how this will shape the care landscape for the better in the months and years to come and delighted to join this team.”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OptimizeRx, please visit 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w:t>
      </w:r>
    </w:p>
    <w:p>
      <w:pPr>
        <w:spacing w:after="0" w:line="261" w:lineRule="auto"/>
        <w:rPr>
          <w:sz w:val="20"/>
          <w:szCs w:val="20"/>
          <w:color w:val="auto"/>
        </w:rPr>
      </w:pPr>
      <w:r>
        <w:rPr>
          <w:rFonts w:ascii="Arial" w:cs="Arial" w:eastAsia="Arial" w:hAnsi="Arial"/>
          <w:sz w:val="18"/>
          <w:szCs w:val="18"/>
          <w:color w:val="auto"/>
        </w:rPr>
        <w:t>industry, OptimizeRx provides a direct channel for pharma companies to communicate with healthcare providers right within their workflow and also directly to patients.</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101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2019-12-28T13:58:30Z</dcterms:created>
  <dcterms:modified xsi:type="dcterms:W3CDTF">2019-12-28T13:58:30Z</dcterms:modified>
</cp:coreProperties>
</file>