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98.jpeg" ContentType="image/jpeg"/>
  <Override PartName="/word/media/image39.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107.jpeg" ContentType="image/jpeg"/>
  <Override PartName="/word/media/image28.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8.jpeg" ContentType="image/jpeg"/>
  <Override PartName="/word/media/image49.jpeg" ContentType="image/jpeg"/>
  <Override PartName="/word/media/image55.jpeg" ContentType="image/jpeg"/>
  <Override PartName="/word/media/image134.jpeg" ContentType="image/jpeg"/>
  <Override PartName="/word/media/image146.jpeg" ContentType="image/jpeg"/>
  <Override PartName="/word/media/image152.jpeg" ContentType="image/jpeg"/>
  <Override PartName="/word/media/image56.jpeg" ContentType="image/jpeg"/>
  <Override PartName="/word/media/image135.jpeg" ContentType="image/jpeg"/>
  <Override PartName="/word/media/image147.jpeg" ContentType="image/jpeg"/>
  <Override PartName="/word/media/image130.jpeg" ContentType="image/jpeg"/>
  <Override PartName="/word/media/image51.jpeg" ContentType="image/jpeg"/>
  <Override PartName="/word/media/image153.jpeg" ContentType="image/jpeg"/>
  <Override PartName="/word/media/image57.jpeg" ContentType="image/jpeg"/>
  <Override PartName="/word/media/image136.jpeg" ContentType="image/jpeg"/>
  <Override PartName="/word/media/image148.jpeg" ContentType="image/jpeg"/>
  <Override PartName="/word/media/image131.jpeg" ContentType="image/jpeg"/>
  <Override PartName="/word/media/image52.jpeg" ContentType="image/jpeg"/>
  <Override PartName="/word/media/image58.jpeg" ContentType="image/jpeg"/>
  <Override PartName="/word/media/image137.jpeg" ContentType="image/jpeg"/>
  <Override PartName="/word/media/image149.jpeg" ContentType="image/jpeg"/>
  <Override PartName="/word/media/image53.jpeg" ContentType="image/jpeg"/>
  <Override PartName="/word/media/image132.jpeg" ContentType="image/jpeg"/>
  <Override PartName="/word/media/image150.jpeg" ContentType="image/jpeg"/>
  <Override PartName="/word/media/image71.jpeg" ContentType="image/jpeg"/>
  <Override PartName="/word/media/image144.jpeg" ContentType="image/jpeg"/>
  <Override PartName="/word/media/image151.jpeg" ContentType="image/jpeg"/>
  <Override PartName="/word/media/image54.jpeg" ContentType="image/jpeg"/>
  <Override PartName="/word/media/image133.jpeg" ContentType="image/jpeg"/>
  <Override PartName="/word/media/image145.jpeg" ContentType="image/jpeg"/>
  <Override PartName="/word/media/image8.jpeg" ContentType="image/jpeg"/>
  <Override PartName="/word/media/image156.jpeg" ContentType="image/jpeg"/>
  <Override PartName="/word/media/image60.jpeg" ContentType="image/jpeg"/>
  <Override PartName="/word/media/image77.jpeg" ContentType="image/jpeg"/>
  <Override PartName="/word/media/image143.jpeg" ContentType="image/jpeg"/>
  <Override PartName="/word/media/image142.jpeg" ContentType="image/jpeg"/>
  <Override PartName="/word/media/image141.jpeg" ContentType="image/jpeg"/>
  <Override PartName="/word/media/image140.jpeg" ContentType="image/jpeg"/>
  <Override PartName="/word/media/image47.jpeg" ContentType="image/jpeg"/>
  <Override PartName="/word/media/image138.jpeg" ContentType="image/jpeg"/>
  <Override PartName="/word/media/image42.jpeg" ContentType="image/jpeg"/>
  <Override PartName="/word/media/image59.jpeg" ContentType="image/jpeg"/>
  <Override PartName="/word/media/image46.jpeg" ContentType="image/jpeg"/>
  <Override PartName="/word/media/image45.jpeg" ContentType="image/jpeg"/>
  <Override PartName="/word/media/image44.jpeg" ContentType="image/jpeg"/>
  <Override PartName="/word/media/image155.jpeg" ContentType="image/jpeg"/>
  <Override PartName="/word/media/image129.jpeg" ContentType="image/jpeg"/>
  <Override PartName="/word/media/image43.jpeg" ContentType="image/jpeg"/>
  <Override PartName="/word/media/image50.jpeg" ContentType="image/jpeg"/>
  <Override PartName="/word/media/image139.jpeg" ContentType="image/jpeg"/>
  <Override PartName="/word/media/image154.jpeg" ContentType="image/jpeg"/>
  <Override PartName="/word/media/image128.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120" w:after="283"/>
        <w:jc w:val="center"/>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ANNUAL REPORT UNDER SECTION 13 OR 15(d) OF THE SECURITIES EXCHANGE ACT OF 1934</w:t>
      </w:r>
    </w:p>
    <w:p>
      <w:pPr>
        <w:pStyle w:val="TextBody"/>
        <w:bidi w:val="0"/>
        <w:spacing w:lineRule="auto" w:line="288" w:before="120" w:after="283"/>
        <w:jc w:val="center"/>
        <w:rPr/>
      </w:pPr>
      <w:r>
        <w:rPr>
          <w:rFonts w:ascii="Times New Roman;serif" w:hAnsi="Times New Roman;serif"/>
          <w:b w:val="false"/>
          <w:color w:val="000000"/>
          <w:sz w:val="20"/>
        </w:rPr>
        <w:t xml:space="preserve">For the fiscal year ended </w:t>
      </w:r>
      <w:r>
        <w:rPr>
          <w:rFonts w:ascii="Times New Roman;serif" w:hAnsi="Times New Roman;serif"/>
          <w:b/>
          <w:color w:val="000000"/>
          <w:sz w:val="20"/>
        </w:rPr>
        <w:t>December 31, 2025</w:t>
      </w:r>
    </w:p>
    <w:p>
      <w:pPr>
        <w:pStyle w:val="TextBody"/>
        <w:bidi w:val="0"/>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UNDER SECTION 13 OR 15(d) OF THE SECURITIES EXCHANGE ACT OF 1934</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 to ________</w:t>
      </w:r>
    </w:p>
    <w:p>
      <w:pPr>
        <w:pStyle w:val="TextBody"/>
        <w:bidi w:val="0"/>
        <w:spacing w:lineRule="auto" w:line="288" w:before="120" w:after="283"/>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001-38543</w:t>
      </w:r>
    </w:p>
    <w:tbl>
      <w:tblPr>
        <w:tblW w:w="4289" w:type="dxa"/>
        <w:jc w:val="left"/>
        <w:tblInd w:w="0" w:type="dxa"/>
        <w:tblLayout w:type="fixed"/>
        <w:tblCellMar>
          <w:top w:w="28" w:type="dxa"/>
          <w:left w:w="28" w:type="dxa"/>
          <w:bottom w:w="28" w:type="dxa"/>
          <w:right w:w="28" w:type="dxa"/>
        </w:tblCellMar>
      </w:tblPr>
      <w:tblGrid>
        <w:gridCol w:w="1372"/>
        <w:gridCol w:w="1206"/>
        <w:gridCol w:w="1711"/>
      </w:tblGrid>
      <w:tr>
        <w:trPr/>
        <w:tc>
          <w:tcPr>
            <w:tcW w:w="137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OptimizeRx Corporation</w:t>
            </w:r>
          </w:p>
        </w:tc>
      </w:tr>
      <w:tr>
        <w:trPr/>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5320" w:type="dxa"/>
        <w:jc w:val="center"/>
        <w:tblInd w:w="0" w:type="dxa"/>
        <w:tblLayout w:type="fixed"/>
        <w:tblCellMar>
          <w:top w:w="28" w:type="dxa"/>
          <w:left w:w="28" w:type="dxa"/>
          <w:bottom w:w="28" w:type="dxa"/>
          <w:right w:w="28" w:type="dxa"/>
        </w:tblCellMar>
      </w:tblPr>
      <w:tblGrid>
        <w:gridCol w:w="1192"/>
        <w:gridCol w:w="1050"/>
        <w:gridCol w:w="1057"/>
        <w:gridCol w:w="109"/>
        <w:gridCol w:w="109"/>
        <w:gridCol w:w="109"/>
        <w:gridCol w:w="494"/>
        <w:gridCol w:w="494"/>
        <w:gridCol w:w="706"/>
      </w:tblGrid>
      <w:tr>
        <w:trPr/>
        <w:tc>
          <w:tcPr>
            <w:tcW w:w="119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26-1265381</w:t>
            </w:r>
          </w:p>
        </w:tc>
      </w:tr>
      <w:tr>
        <w:trPr/>
        <w:tc>
          <w:tcPr>
            <w:tcW w:w="329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 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260 Charles Street Suite 302</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Waltham, 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02453</w:t>
            </w:r>
          </w:p>
        </w:tc>
      </w:tr>
      <w:tr>
        <w:trPr/>
        <w:tc>
          <w:tcPr>
            <w:tcW w:w="329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pPr>
      <w:r>
        <w:rPr>
          <w:rFonts w:ascii="Times New Roman;serif" w:hAnsi="Times New Roman;serif"/>
          <w:b w:val="false"/>
          <w:color w:val="000000"/>
          <w:sz w:val="20"/>
        </w:rPr>
        <w:t xml:space="preserve">Registrant’s telephone number: </w:t>
      </w:r>
      <w:r>
        <w:rPr>
          <w:rFonts w:ascii="Times New Roman;serif" w:hAnsi="Times New Roman;serif"/>
          <w:b/>
          <w:color w:val="000000"/>
          <w:sz w:val="20"/>
        </w:rPr>
        <w:t xml:space="preserve">248-651-6568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under Section 12(b) of the Exchange Act:</w:t>
      </w:r>
    </w:p>
    <w:tbl>
      <w:tblPr>
        <w:tblW w:w="8812" w:type="dxa"/>
        <w:jc w:val="left"/>
        <w:tblInd w:w="0" w:type="dxa"/>
        <w:tblLayout w:type="fixed"/>
        <w:tblCellMar>
          <w:top w:w="28" w:type="dxa"/>
          <w:left w:w="28" w:type="dxa"/>
          <w:bottom w:w="28" w:type="dxa"/>
          <w:right w:w="28" w:type="dxa"/>
        </w:tblCellMar>
      </w:tblPr>
      <w:tblGrid>
        <w:gridCol w:w="1024"/>
        <w:gridCol w:w="900"/>
        <w:gridCol w:w="910"/>
        <w:gridCol w:w="109"/>
        <w:gridCol w:w="109"/>
        <w:gridCol w:w="109"/>
        <w:gridCol w:w="499"/>
        <w:gridCol w:w="499"/>
        <w:gridCol w:w="501"/>
        <w:gridCol w:w="109"/>
        <w:gridCol w:w="109"/>
        <w:gridCol w:w="109"/>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under Section 12(g) of the Exchange Act: None</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pPr>
      <w:r>
        <w:rPr>
          <w:rFonts w:ascii="Times New Roman;serif" w:hAnsi="Times New Roman;serif"/>
          <w:b w:val="false"/>
          <w:color w:val="000000"/>
          <w:sz w:val="20"/>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$240,860,790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registrant’s classes of common stock, as of the latest practicable date. 18,762,203 common shares as of February 26, 2026.</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portions of the registrant's definitive proxy statement, in connection with its 2026 Annual Meeting of Shareholders, to be filed with the Securities and Exchange Commission within 120 days after December 31, 2025,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TABLE OF CONTENTS </w:t>
      </w:r>
    </w:p>
    <w:tbl>
      <w:tblPr>
        <w:tblW w:w="10205" w:type="dxa"/>
        <w:jc w:val="left"/>
        <w:tblInd w:w="0" w:type="dxa"/>
        <w:tblLayout w:type="fixed"/>
        <w:tblCellMar>
          <w:top w:w="28" w:type="dxa"/>
          <w:left w:w="28" w:type="dxa"/>
          <w:bottom w:w="28" w:type="dxa"/>
          <w:right w:w="28" w:type="dxa"/>
        </w:tblCellMar>
      </w:tblPr>
      <w:tblGrid>
        <w:gridCol w:w="293"/>
        <w:gridCol w:w="259"/>
        <w:gridCol w:w="260"/>
        <w:gridCol w:w="2951"/>
        <w:gridCol w:w="2940"/>
        <w:gridCol w:w="2958"/>
        <w:gridCol w:w="158"/>
        <w:gridCol w:w="158"/>
        <w:gridCol w:w="228"/>
      </w:tblGrid>
      <w:tr>
        <w:trPr/>
        <w:tc>
          <w:tcPr>
            <w:tcW w:w="2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0">
              <w:r>
                <w:rPr>
                  <w:rStyle w:val="InternetLink"/>
                  <w:rFonts w:ascii="Times New Roman;serif" w:hAnsi="Times New Roman;serif"/>
                  <w:b w:val="false"/>
                  <w:color w:val="0000FF"/>
                  <w:sz w:val="20"/>
                  <w:u w:val="single"/>
                </w:rPr>
                <w:t>PART I</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3">
              <w:r>
                <w:rPr>
                  <w:rStyle w:val="InternetLink"/>
                  <w:rFonts w:ascii="Times New Roman;serif" w:hAnsi="Times New Roman;serif"/>
                  <w:b w:val="false"/>
                  <w:color w:val="0000FF"/>
                  <w:sz w:val="20"/>
                  <w:u w:val="single"/>
                </w:rPr>
                <w:t>Item 1.</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13">
              <w:r>
                <w:rPr>
                  <w:rStyle w:val="InternetLink"/>
                  <w:rFonts w:ascii="Times New Roman;serif" w:hAnsi="Times New Roman;serif"/>
                  <w:b w:val="false"/>
                  <w:color w:val="0000FF"/>
                  <w:sz w:val="20"/>
                  <w:u w:val="single"/>
                </w:rPr>
                <w:t>Business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3">
              <w:r>
                <w:rPr>
                  <w:rStyle w:val="InternetLink"/>
                  <w:rFonts w:ascii="Times New Roman;serif" w:hAnsi="Times New Roman;serif"/>
                  <w:b w:val="false"/>
                  <w:strike w:val="false"/>
                  <w:dstrike w:val="false"/>
                  <w:color w:val="000000"/>
                  <w:sz w:val="20"/>
                  <w:u w:val="none"/>
                  <w:effect w:val="none"/>
                </w:rPr>
                <w:t>3</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6">
              <w:r>
                <w:rPr>
                  <w:rStyle w:val="InternetLink"/>
                  <w:rFonts w:ascii="Times New Roman;serif" w:hAnsi="Times New Roman;serif"/>
                  <w:b w:val="false"/>
                  <w:color w:val="0000FF"/>
                  <w:sz w:val="20"/>
                  <w:u w:val="single"/>
                </w:rPr>
                <w:t>Item 1A.</w:t>
              </w:r>
            </w:hyperlink>
          </w:p>
        </w:tc>
        <w:tc>
          <w:tcPr>
            <w:tcW w:w="8849"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6">
              <w:r>
                <w:rPr>
                  <w:rStyle w:val="InternetLink"/>
                  <w:rFonts w:ascii="Times New Roman;serif" w:hAnsi="Times New Roman;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6">
              <w:r>
                <w:rPr>
                  <w:rStyle w:val="InternetLink"/>
                  <w:rFonts w:ascii="Times New Roman;serif" w:hAnsi="Times New Roman;serif"/>
                  <w:b w:val="false"/>
                  <w:strike w:val="false"/>
                  <w:dstrike w:val="false"/>
                  <w:color w:val="000000"/>
                  <w:sz w:val="20"/>
                  <w:u w:val="none"/>
                  <w:effect w:val="none"/>
                </w:rPr>
                <w:t>11</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9">
              <w:r>
                <w:rPr>
                  <w:rStyle w:val="InternetLink"/>
                  <w:rFonts w:ascii="Times New Roman;serif" w:hAnsi="Times New Roman;serif"/>
                  <w:b w:val="false"/>
                  <w:color w:val="0000FF"/>
                  <w:sz w:val="20"/>
                  <w:u w:val="single"/>
                </w:rPr>
                <w:t>Item 1B.</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19">
              <w:r>
                <w:rPr>
                  <w:rStyle w:val="InternetLink"/>
                  <w:rFonts w:ascii="Times New Roman;serif" w:hAnsi="Times New Roman;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9">
              <w:r>
                <w:rPr>
                  <w:rStyle w:val="InternetLink"/>
                  <w:rFonts w:ascii="Times New Roman;serif" w:hAnsi="Times New Roman;serif"/>
                  <w:b w:val="false"/>
                  <w:strike w:val="false"/>
                  <w:dstrike w:val="false"/>
                  <w:color w:val="000000"/>
                  <w:sz w:val="20"/>
                  <w:u w:val="none"/>
                  <w:effect w:val="none"/>
                </w:rPr>
                <w:t>28</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22">
              <w:r>
                <w:rPr>
                  <w:rStyle w:val="InternetLink"/>
                  <w:rFonts w:ascii="Times New Roman;serif" w:hAnsi="Times New Roman;serif"/>
                  <w:b w:val="false"/>
                  <w:color w:val="0000FF"/>
                  <w:sz w:val="20"/>
                  <w:u w:val="single"/>
                </w:rPr>
                <w:t>Item 1C.</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22">
              <w:r>
                <w:rPr>
                  <w:rStyle w:val="InternetLink"/>
                  <w:rFonts w:ascii="Times New Roman;serif" w:hAnsi="Times New Roman;serif"/>
                  <w:b w:val="false"/>
                  <w:color w:val="0000FF"/>
                  <w:sz w:val="20"/>
                  <w:u w:val="single"/>
                </w:rPr>
                <w:t>Cybersecurity</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25">
              <w:r>
                <w:rPr>
                  <w:rStyle w:val="InternetLink"/>
                  <w:rFonts w:ascii="Times New Roman;serif" w:hAnsi="Times New Roman;serif"/>
                  <w:b w:val="false"/>
                  <w:color w:val="0000FF"/>
                  <w:sz w:val="20"/>
                  <w:u w:val="single"/>
                </w:rPr>
                <w:t>Item 2.</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25">
              <w:r>
                <w:rPr>
                  <w:rStyle w:val="InternetLink"/>
                  <w:rFonts w:ascii="Times New Roman;serif" w:hAnsi="Times New Roman;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25">
              <w:r>
                <w:rPr>
                  <w:rStyle w:val="InternetLink"/>
                  <w:rFonts w:ascii="Times New Roman;serif" w:hAnsi="Times New Roman;serif"/>
                  <w:b w:val="false"/>
                  <w:strike w:val="false"/>
                  <w:dstrike w:val="false"/>
                  <w:color w:val="000000"/>
                  <w:sz w:val="20"/>
                  <w:u w:val="none"/>
                  <w:effect w:val="none"/>
                </w:rPr>
                <w:t>30</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28">
              <w:r>
                <w:rPr>
                  <w:rStyle w:val="InternetLink"/>
                  <w:rFonts w:ascii="Times New Roman;serif" w:hAnsi="Times New Roman;serif"/>
                  <w:b w:val="false"/>
                  <w:color w:val="0000FF"/>
                  <w:sz w:val="20"/>
                  <w:u w:val="single"/>
                </w:rPr>
                <w:t>Item 3.</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28">
              <w:r>
                <w:rPr>
                  <w:rStyle w:val="InternetLink"/>
                  <w:rFonts w:ascii="Times New Roman;serif" w:hAnsi="Times New Roman;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28">
              <w:r>
                <w:rPr>
                  <w:rStyle w:val="InternetLink"/>
                  <w:rFonts w:ascii="Times New Roman;serif" w:hAnsi="Times New Roman;serif"/>
                  <w:b w:val="false"/>
                  <w:strike w:val="false"/>
                  <w:dstrike w:val="false"/>
                  <w:color w:val="000000"/>
                  <w:sz w:val="20"/>
                  <w:u w:val="none"/>
                  <w:effect w:val="none"/>
                </w:rPr>
                <w:t>30</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31">
              <w:r>
                <w:rPr>
                  <w:rStyle w:val="InternetLink"/>
                  <w:rFonts w:ascii="Times New Roman;serif" w:hAnsi="Times New Roman;serif"/>
                  <w:b w:val="false"/>
                  <w:color w:val="0000FF"/>
                  <w:sz w:val="20"/>
                  <w:u w:val="single"/>
                </w:rPr>
                <w:t>Item 4.</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31">
              <w:r>
                <w:rPr>
                  <w:rStyle w:val="InternetLink"/>
                  <w:rFonts w:ascii="Times New Roman;serif" w:hAnsi="Times New Roman;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31">
              <w:r>
                <w:rPr>
                  <w:rStyle w:val="InternetLink"/>
                  <w:rFonts w:ascii="Times New Roman;serif" w:hAnsi="Times New Roman;serif"/>
                  <w:b w:val="false"/>
                  <w:strike w:val="false"/>
                  <w:dstrike w:val="false"/>
                  <w:color w:val="000000"/>
                  <w:sz w:val="20"/>
                  <w:u w:val="none"/>
                  <w:effect w:val="none"/>
                </w:rPr>
                <w:t>30</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34">
              <w:r>
                <w:rPr>
                  <w:rStyle w:val="InternetLink"/>
                  <w:rFonts w:ascii="Times New Roman;serif" w:hAnsi="Times New Roman;serif"/>
                  <w:b w:val="false"/>
                  <w:color w:val="0000FF"/>
                  <w:sz w:val="20"/>
                  <w:u w:val="single"/>
                </w:rPr>
                <w:t>Item 4.1.</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34">
              <w:r>
                <w:rPr>
                  <w:rStyle w:val="InternetLink"/>
                  <w:rFonts w:ascii="Times New Roman;serif" w:hAnsi="Times New Roman;serif"/>
                  <w:b w:val="false"/>
                  <w:color w:val="0000FF"/>
                  <w:sz w:val="20"/>
                  <w:u w:val="single"/>
                </w:rPr>
                <w:t>Information about Our Executive Officers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34">
              <w:r>
                <w:rPr>
                  <w:rStyle w:val="InternetLink"/>
                  <w:rFonts w:ascii="Times New Roman;serif" w:hAnsi="Times New Roman;serif"/>
                  <w:b w:val="false"/>
                  <w:strike w:val="false"/>
                  <w:dstrike w:val="false"/>
                  <w:color w:val="000000"/>
                  <w:sz w:val="20"/>
                  <w:u w:val="none"/>
                  <w:effect w:val="none"/>
                </w:rPr>
                <w:t>30</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cef27198db334b6ea0c2003211feb57d_37">
              <w:r>
                <w:rPr>
                  <w:rStyle w:val="InternetLink"/>
                  <w:rFonts w:ascii="Times New Roman;serif" w:hAnsi="Times New Roman;serif"/>
                  <w:b w:val="false"/>
                  <w:color w:val="0000FF"/>
                  <w:sz w:val="20"/>
                  <w:u w:val="single"/>
                </w:rPr>
                <w:t>PART II</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40">
              <w:r>
                <w:rPr>
                  <w:rStyle w:val="InternetLink"/>
                  <w:rFonts w:ascii="Times New Roman;serif" w:hAnsi="Times New Roman;serif"/>
                  <w:b w:val="false"/>
                  <w:color w:val="0000FF"/>
                  <w:sz w:val="20"/>
                  <w:u w:val="single"/>
                </w:rPr>
                <w:t>Item 5.</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40">
              <w:r>
                <w:rPr>
                  <w:rStyle w:val="InternetLink"/>
                  <w:rFonts w:ascii="Times New Roman;serif" w:hAnsi="Times New Roman;serif"/>
                  <w:b w:val="false"/>
                  <w:strike w:val="false"/>
                  <w:dstrike w:val="false"/>
                  <w:color w:val="000000"/>
                  <w:sz w:val="20"/>
                  <w:u w:val="none"/>
                  <w:effect w:val="none"/>
                </w:rPr>
                <w:t>33</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43">
              <w:r>
                <w:rPr>
                  <w:rStyle w:val="InternetLink"/>
                  <w:rFonts w:ascii="Times New Roman;serif" w:hAnsi="Times New Roman;serif"/>
                  <w:b w:val="false"/>
                  <w:color w:val="0000FF"/>
                  <w:sz w:val="20"/>
                  <w:u w:val="single"/>
                </w:rPr>
                <w:t>Item 6.</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43">
              <w:r>
                <w:rPr>
                  <w:rStyle w:val="InternetLink"/>
                  <w:rFonts w:ascii="Times New Roman;serif" w:hAnsi="Times New Roman;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43">
              <w:r>
                <w:rPr>
                  <w:rStyle w:val="InternetLink"/>
                  <w:rFonts w:ascii="Times New Roman;serif" w:hAnsi="Times New Roman;serif"/>
                  <w:b w:val="false"/>
                  <w:strike w:val="false"/>
                  <w:dstrike w:val="false"/>
                  <w:color w:val="000000"/>
                  <w:sz w:val="20"/>
                  <w:u w:val="none"/>
                  <w:effect w:val="none"/>
                </w:rPr>
                <w:t>33</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46">
              <w:r>
                <w:rPr>
                  <w:rStyle w:val="InternetLink"/>
                  <w:rFonts w:ascii="Times New Roman;serif" w:hAnsi="Times New Roman;serif"/>
                  <w:b w:val="false"/>
                  <w:color w:val="0000FF"/>
                  <w:sz w:val="20"/>
                  <w:u w:val="single"/>
                </w:rPr>
                <w:t>Item 7.</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46">
              <w:r>
                <w:rPr>
                  <w:rStyle w:val="InternetLink"/>
                  <w:rFonts w:ascii="Times New Roman;serif" w:hAnsi="Times New Roman;serif"/>
                  <w:b w:val="false"/>
                  <w:strike w:val="false"/>
                  <w:dstrike w:val="false"/>
                  <w:color w:val="000000"/>
                  <w:sz w:val="20"/>
                  <w:u w:val="none"/>
                  <w:effect w:val="none"/>
                </w:rPr>
                <w:t>33</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76">
              <w:r>
                <w:rPr>
                  <w:rStyle w:val="InternetLink"/>
                  <w:rFonts w:ascii="Times New Roman;serif" w:hAnsi="Times New Roman;serif"/>
                  <w:b w:val="false"/>
                  <w:color w:val="0000FF"/>
                  <w:sz w:val="20"/>
                  <w:u w:val="single"/>
                </w:rPr>
                <w:t>Item 7A.</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76">
              <w:r>
                <w:rPr>
                  <w:rStyle w:val="InternetLink"/>
                  <w:rFonts w:ascii="Times New Roman;serif" w:hAnsi="Times New Roman;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76">
              <w:r>
                <w:rPr>
                  <w:rStyle w:val="InternetLink"/>
                  <w:rFonts w:ascii="Times New Roman;serif" w:hAnsi="Times New Roman;serif"/>
                  <w:b w:val="false"/>
                  <w:strike w:val="false"/>
                  <w:dstrike w:val="false"/>
                  <w:color w:val="000000"/>
                  <w:sz w:val="20"/>
                  <w:u w:val="none"/>
                  <w:effect w:val="none"/>
                </w:rPr>
                <w:t>43</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79">
              <w:r>
                <w:rPr>
                  <w:rStyle w:val="InternetLink"/>
                  <w:rFonts w:ascii="Times New Roman;serif" w:hAnsi="Times New Roman;serif"/>
                  <w:b w:val="false"/>
                  <w:color w:val="0000FF"/>
                  <w:sz w:val="20"/>
                  <w:u w:val="single"/>
                </w:rPr>
                <w:t>Item 8.</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79">
              <w:r>
                <w:rPr>
                  <w:rStyle w:val="InternetLink"/>
                  <w:rFonts w:ascii="Times New Roman;serif" w:hAnsi="Times New Roman;serif"/>
                  <w:b w:val="false"/>
                  <w:color w:val="0000FF"/>
                  <w:sz w:val="20"/>
                  <w:u w:val="single"/>
                </w:rPr>
                <w:t>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79">
              <w:r>
                <w:rPr>
                  <w:rStyle w:val="InternetLink"/>
                  <w:rFonts w:ascii="Times New Roman;serif" w:hAnsi="Times New Roman;serif"/>
                  <w:b w:val="false"/>
                  <w:strike w:val="false"/>
                  <w:dstrike w:val="false"/>
                  <w:color w:val="000000"/>
                  <w:sz w:val="20"/>
                  <w:u w:val="none"/>
                  <w:effect w:val="none"/>
                </w:rPr>
                <w:t>44</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57">
              <w:r>
                <w:rPr>
                  <w:rStyle w:val="InternetLink"/>
                  <w:rFonts w:ascii="Times New Roman;serif" w:hAnsi="Times New Roman;serif"/>
                  <w:b w:val="false"/>
                  <w:color w:val="0000FF"/>
                  <w:sz w:val="20"/>
                  <w:u w:val="single"/>
                </w:rPr>
                <w:t>Item 9.</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157">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57">
              <w:r>
                <w:rPr>
                  <w:rStyle w:val="InternetLink"/>
                  <w:rFonts w:ascii="Times New Roman;serif" w:hAnsi="Times New Roman;serif"/>
                  <w:b w:val="false"/>
                  <w:strike w:val="false"/>
                  <w:dstrike w:val="false"/>
                  <w:color w:val="000000"/>
                  <w:sz w:val="20"/>
                  <w:u w:val="none"/>
                  <w:effect w:val="none"/>
                </w:rPr>
                <w:t>77</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60">
              <w:r>
                <w:rPr>
                  <w:rStyle w:val="InternetLink"/>
                  <w:rFonts w:ascii="Times New Roman;serif" w:hAnsi="Times New Roman;serif"/>
                  <w:b w:val="false"/>
                  <w:color w:val="0000FF"/>
                  <w:sz w:val="20"/>
                  <w:u w:val="single"/>
                </w:rPr>
                <w:t>Item 9A.</w:t>
              </w:r>
            </w:hyperlink>
          </w:p>
        </w:tc>
        <w:tc>
          <w:tcPr>
            <w:tcW w:w="8849"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60">
              <w:r>
                <w:rPr>
                  <w:rStyle w:val="InternetLink"/>
                  <w:rFonts w:ascii="Times New Roman;serif" w:hAnsi="Times New Roman;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60">
              <w:r>
                <w:rPr>
                  <w:rStyle w:val="InternetLink"/>
                  <w:rFonts w:ascii="Times New Roman;serif" w:hAnsi="Times New Roman;serif"/>
                  <w:b w:val="false"/>
                  <w:strike w:val="false"/>
                  <w:dstrike w:val="false"/>
                  <w:color w:val="000000"/>
                  <w:sz w:val="20"/>
                  <w:u w:val="none"/>
                  <w:effect w:val="none"/>
                </w:rPr>
                <w:t>77</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63">
              <w:r>
                <w:rPr>
                  <w:rStyle w:val="InternetLink"/>
                  <w:rFonts w:ascii="Times New Roman;serif" w:hAnsi="Times New Roman;serif"/>
                  <w:b w:val="false"/>
                  <w:color w:val="0000FF"/>
                  <w:sz w:val="20"/>
                  <w:u w:val="single"/>
                </w:rPr>
                <w:t>Item 9B.</w:t>
              </w:r>
            </w:hyperlink>
          </w:p>
        </w:tc>
        <w:tc>
          <w:tcPr>
            <w:tcW w:w="8849"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63">
              <w:r>
                <w:rPr>
                  <w:rStyle w:val="InternetLink"/>
                  <w:rFonts w:ascii="Times New Roman;serif" w:hAnsi="Times New Roman;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63">
              <w:r>
                <w:rPr>
                  <w:rStyle w:val="InternetLink"/>
                  <w:rFonts w:ascii="Times New Roman;serif" w:hAnsi="Times New Roman;serif"/>
                  <w:b w:val="false"/>
                  <w:strike w:val="false"/>
                  <w:dstrike w:val="false"/>
                  <w:color w:val="000000"/>
                  <w:sz w:val="20"/>
                  <w:u w:val="none"/>
                  <w:effect w:val="none"/>
                </w:rPr>
                <w:t>79</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66">
              <w:r>
                <w:rPr>
                  <w:rStyle w:val="InternetLink"/>
                  <w:rFonts w:ascii="Times New Roman;serif" w:hAnsi="Times New Roman;serif"/>
                  <w:b w:val="false"/>
                  <w:color w:val="0000FF"/>
                  <w:sz w:val="20"/>
                  <w:u w:val="single"/>
                </w:rPr>
                <w:t>Item 9C.</w:t>
              </w:r>
            </w:hyperlink>
          </w:p>
        </w:tc>
        <w:tc>
          <w:tcPr>
            <w:tcW w:w="8849"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66">
              <w:r>
                <w:rPr>
                  <w:rStyle w:val="InternetLink"/>
                  <w:rFonts w:ascii="Times New Roman;serif" w:hAnsi="Times New Roman;serif"/>
                  <w:b w:val="false"/>
                  <w:color w:val="0000FF"/>
                  <w:sz w:val="20"/>
                  <w:u w:val="singl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66">
              <w:r>
                <w:rPr>
                  <w:rStyle w:val="InternetLink"/>
                  <w:rFonts w:ascii="Times New Roman;serif" w:hAnsi="Times New Roman;serif"/>
                  <w:b w:val="false"/>
                  <w:strike w:val="false"/>
                  <w:dstrike w:val="false"/>
                  <w:color w:val="000000"/>
                  <w:sz w:val="20"/>
                  <w:u w:val="none"/>
                  <w:effect w:val="none"/>
                </w:rPr>
                <w:t>79</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69">
              <w:r>
                <w:rPr>
                  <w:rStyle w:val="InternetLink"/>
                  <w:rFonts w:ascii="Times New Roman;serif" w:hAnsi="Times New Roman;serif"/>
                  <w:b w:val="false"/>
                  <w:color w:val="0000FF"/>
                  <w:sz w:val="20"/>
                  <w:u w:val="single"/>
                </w:rPr>
                <w:t>PART III</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72">
              <w:r>
                <w:rPr>
                  <w:rStyle w:val="InternetLink"/>
                  <w:rFonts w:ascii="Times New Roman;serif" w:hAnsi="Times New Roman;serif"/>
                  <w:b w:val="false"/>
                  <w:color w:val="0000FF"/>
                  <w:sz w:val="20"/>
                  <w:u w:val="single"/>
                </w:rPr>
                <w:t>Item 10.</w:t>
              </w:r>
            </w:hyperlink>
          </w:p>
        </w:tc>
        <w:tc>
          <w:tcPr>
            <w:tcW w:w="8849"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72">
              <w:r>
                <w:rPr>
                  <w:rStyle w:val="InternetLink"/>
                  <w:rFonts w:ascii="Times New Roman;serif" w:hAnsi="Times New Roman;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72">
              <w:r>
                <w:rPr>
                  <w:rStyle w:val="InternetLink"/>
                  <w:rFonts w:ascii="Times New Roman;serif" w:hAnsi="Times New Roman;serif"/>
                  <w:b w:val="false"/>
                  <w:strike w:val="false"/>
                  <w:dstrike w:val="false"/>
                  <w:color w:val="000000"/>
                  <w:sz w:val="20"/>
                  <w:u w:val="none"/>
                  <w:effect w:val="none"/>
                </w:rPr>
                <w:t>80</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75">
              <w:r>
                <w:rPr>
                  <w:rStyle w:val="InternetLink"/>
                  <w:rFonts w:ascii="Times New Roman;serif" w:hAnsi="Times New Roman;serif"/>
                  <w:b w:val="false"/>
                  <w:color w:val="0000FF"/>
                  <w:sz w:val="20"/>
                  <w:u w:val="single"/>
                </w:rPr>
                <w:t>Item 11.</w:t>
              </w:r>
            </w:hyperlink>
          </w:p>
        </w:tc>
        <w:tc>
          <w:tcPr>
            <w:tcW w:w="8849"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75">
              <w:r>
                <w:rPr>
                  <w:rStyle w:val="InternetLink"/>
                  <w:rFonts w:ascii="Times New Roman;serif" w:hAnsi="Times New Roman;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75">
              <w:r>
                <w:rPr>
                  <w:rStyle w:val="InternetLink"/>
                  <w:rFonts w:ascii="Times New Roman;serif" w:hAnsi="Times New Roman;serif"/>
                  <w:b w:val="false"/>
                  <w:strike w:val="false"/>
                  <w:dstrike w:val="false"/>
                  <w:color w:val="000000"/>
                  <w:sz w:val="20"/>
                  <w:u w:val="none"/>
                  <w:effect w:val="none"/>
                </w:rPr>
                <w:t>80</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78">
              <w:r>
                <w:rPr>
                  <w:rStyle w:val="InternetLink"/>
                  <w:rFonts w:ascii="Times New Roman;serif" w:hAnsi="Times New Roman;serif"/>
                  <w:b w:val="false"/>
                  <w:color w:val="0000FF"/>
                  <w:sz w:val="20"/>
                  <w:u w:val="single"/>
                </w:rPr>
                <w:t>Item 12.</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178">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78">
              <w:r>
                <w:rPr>
                  <w:rStyle w:val="InternetLink"/>
                  <w:rFonts w:ascii="Times New Roman;serif" w:hAnsi="Times New Roman;serif"/>
                  <w:b w:val="false"/>
                  <w:strike w:val="false"/>
                  <w:dstrike w:val="false"/>
                  <w:color w:val="000000"/>
                  <w:sz w:val="20"/>
                  <w:u w:val="none"/>
                  <w:effect w:val="none"/>
                </w:rPr>
                <w:t>80</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81">
              <w:r>
                <w:rPr>
                  <w:rStyle w:val="InternetLink"/>
                  <w:rFonts w:ascii="Times New Roman;serif" w:hAnsi="Times New Roman;serif"/>
                  <w:b w:val="false"/>
                  <w:color w:val="0000FF"/>
                  <w:sz w:val="20"/>
                  <w:u w:val="single"/>
                </w:rPr>
                <w:t>Item 13.</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181">
              <w:r>
                <w:rPr>
                  <w:rStyle w:val="InternetLink"/>
                  <w:rFonts w:ascii="Times New Roman;serif" w:hAnsi="Times New Roman;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81">
              <w:r>
                <w:rPr>
                  <w:rStyle w:val="InternetLink"/>
                  <w:rFonts w:ascii="Times New Roman;serif" w:hAnsi="Times New Roman;serif"/>
                  <w:b w:val="false"/>
                  <w:strike w:val="false"/>
                  <w:dstrike w:val="false"/>
                  <w:color w:val="000000"/>
                  <w:sz w:val="20"/>
                  <w:u w:val="none"/>
                  <w:effect w:val="none"/>
                </w:rPr>
                <w:t>81</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84">
              <w:r>
                <w:rPr>
                  <w:rStyle w:val="InternetLink"/>
                  <w:rFonts w:ascii="Times New Roman;serif" w:hAnsi="Times New Roman;serif"/>
                  <w:b w:val="false"/>
                  <w:color w:val="0000FF"/>
                  <w:sz w:val="20"/>
                  <w:u w:val="single"/>
                </w:rPr>
                <w:t>Item 14.</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184">
              <w:r>
                <w:rPr>
                  <w:rStyle w:val="InternetLink"/>
                  <w:rFonts w:ascii="Times New Roman;serif" w:hAnsi="Times New Roman;serif"/>
                  <w:b w:val="false"/>
                  <w:color w:val="0000FF"/>
                  <w:sz w:val="20"/>
                  <w:u w:val="single"/>
                </w:rPr>
                <w:t>Principal Accountant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84">
              <w:r>
                <w:rPr>
                  <w:rStyle w:val="InternetLink"/>
                  <w:rFonts w:ascii="Times New Roman;serif" w:hAnsi="Times New Roman;serif"/>
                  <w:b w:val="false"/>
                  <w:strike w:val="false"/>
                  <w:dstrike w:val="false"/>
                  <w:color w:val="000000"/>
                  <w:sz w:val="20"/>
                  <w:u w:val="none"/>
                  <w:effect w:val="none"/>
                </w:rPr>
                <w:t>81</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87">
              <w:r>
                <w:rPr>
                  <w:rStyle w:val="InternetLink"/>
                  <w:rFonts w:ascii="Times New Roman;serif" w:hAnsi="Times New Roman;serif"/>
                  <w:b w:val="false"/>
                  <w:color w:val="0000FF"/>
                  <w:sz w:val="20"/>
                  <w:u w:val="single"/>
                </w:rPr>
                <w:t>PART IV</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90">
              <w:r>
                <w:rPr>
                  <w:rStyle w:val="InternetLink"/>
                  <w:rFonts w:ascii="Times New Roman;serif" w:hAnsi="Times New Roman;serif"/>
                  <w:b w:val="false"/>
                  <w:color w:val="0000FF"/>
                  <w:sz w:val="20"/>
                  <w:u w:val="single"/>
                </w:rPr>
                <w:t>Item 15.</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190">
              <w:r>
                <w:rPr>
                  <w:rStyle w:val="InternetLink"/>
                  <w:rFonts w:ascii="Times New Roman;serif" w:hAnsi="Times New Roman;serif"/>
                  <w:b w:val="false"/>
                  <w:color w:val="0000FF"/>
                  <w:sz w:val="20"/>
                  <w:u w:val="single"/>
                </w:rPr>
                <w:t>Exhibits and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90">
              <w:r>
                <w:rPr>
                  <w:rStyle w:val="InternetLink"/>
                  <w:rFonts w:ascii="Times New Roman;serif" w:hAnsi="Times New Roman;serif"/>
                  <w:b w:val="false"/>
                  <w:strike w:val="false"/>
                  <w:dstrike w:val="false"/>
                  <w:color w:val="000000"/>
                  <w:sz w:val="20"/>
                  <w:u w:val="none"/>
                  <w:effect w:val="none"/>
                </w:rPr>
                <w:t>82</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icef27198db334b6ea0c2003211feb57d_193">
              <w:r>
                <w:rPr>
                  <w:rStyle w:val="InternetLink"/>
                  <w:rFonts w:ascii="Times New Roman;serif" w:hAnsi="Times New Roman;serif"/>
                  <w:b w:val="false"/>
                  <w:color w:val="0000FF"/>
                  <w:sz w:val="20"/>
                  <w:u w:val="single"/>
                </w:rPr>
                <w:t>Item 16.</w:t>
              </w:r>
            </w:hyperlink>
          </w:p>
        </w:tc>
        <w:tc>
          <w:tcPr>
            <w:tcW w:w="88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f27198db334b6ea0c2003211feb57d_193">
              <w:r>
                <w:rPr>
                  <w:rStyle w:val="InternetLink"/>
                  <w:rFonts w:ascii="Times New Roman;serif" w:hAnsi="Times New Roman;serif"/>
                  <w:b w:val="false"/>
                  <w:color w:val="0000FF"/>
                  <w:sz w:val="20"/>
                  <w:u w:val="singl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cef27198db334b6ea0c2003211feb57d_193">
              <w:r>
                <w:rPr>
                  <w:rStyle w:val="InternetLink"/>
                  <w:rFonts w:ascii="Times New Roman;serif" w:hAnsi="Times New Roman;serif"/>
                  <w:b w:val="false"/>
                  <w:strike w:val="false"/>
                  <w:dstrike w:val="false"/>
                  <w:color w:val="000000"/>
                  <w:sz w:val="20"/>
                  <w:u w:val="none"/>
                  <w:effect w:val="none"/>
                </w:rPr>
                <w:t>82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“projects,”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 discussion of some of the specific factors that could cause actual results to differ materially from the information contained in this report, see the following sections of this report: Part I, Item 1A. “Risk Factors,” and Part II, Item 7. “Management’s Discussion and Analysis of Financial Condition and Results of Operations,” including the disclosures under “Critical Accounting Estimates”. Market projections are subject to the risks discussed in this report and other risks in the market. OptimizeRx disclaims any intention or obligation to update publicly any forward-looking statements, whether in response to new information, future events or otherwise, except as required by applicable law.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Unless otherwise specified or the context otherwise requires, when used in this Annual Report on Form 10-K, the terms “we,” “our,” “us,” “OptimizeRx,” or the “Company” refer to OptimizeRx Corporation and its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investment in our Company is subject to a number of risks. Set forth below is a high-level summary of some, but not all, of these risks. You should review and carefully consider the risks and uncertainties described in more detail in “Part I, Item 1A. Risk Factors” of this Annual Report, which includes a more complete discussion of the risks summarized below as well as a discussion of other material risks related to our business and an investment in our securities.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Risks Related to Our Financial Position</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a history of losses, and may not be able to achieve profitability, or, if achieved, sustain profitability.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need to raise additional capital to grow our business and may not be able to do so on favorable terms, if at all.</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Servicing debt and funding other obligations requires a significant amount of cash, and our ability to generate sufficient cash depends on many factors, some of which are beyond our control.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Restrictions in our Term Loan could adversely affect our business, financial condition, results of operations, ability to make distributions, and the value of our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Business: Our Industry, Operations, and Competition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Seasonal trends in the pharmaceutical brand marketing industry could affect our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Developing and implementing new and updated applications, features and services for our solutions may be more difficult than expected, may take longer and cost more than expected and may not result in sufficient increases in revenue to justify the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failure to offer high-quality customer support for our solutions may adversely affect our relationships with our customers and harm our financial results.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are dependent on a concentrated group of customers, and the loss of one or more of any of the pharmaceutical brands that purchase our solutions could cause our revenue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are unable to maintain our contracts with electronic prescribing platforms and electronic health record systems, our business will suffer.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agreements with eRx and EHR channel partners could be subject to audit.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fail to attract new customers or retain and expand existing customers, our business and future prospects may be materially and adversely impacted.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expect to face increasing competition in the markets of our solutions.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Developments in the healthcare industry could adversely affect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Regulatory Matters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operations may be impacted by changes to current regulations and future legislation.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our customers, partners, and third-party providers fail to comply with the extensive and changing landscape of legal and regulatory requirements affecting the pharmaceutical and healthcare industries, they could face increased costs and/or penalties, which could lead to us losing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our customers’ drug prices are reduced as a result of MFN pricing initiatives or other similar regulations, our business could be adversely affected by our customers reducing their marketing and advertising spend.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Intellectual Property and Technology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dependent, in part, on our intellectual property. If we are not able to protect our proprietary rights or if those rights are invalidated or circumvented, our business may be adversely affected.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incidents could disrupt business operations, result in the loss of critical and confidential information, and adversely impact our reputation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support our technology to further scale our operations successfully.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will suffer if our network systems fail or become unavailable.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use of AI technology in our operations and IT infrastructure could improve internal processes but could pose security risks and privacy risks; the use of AI technology also faces regulatory uncertainty and scrutiny given that AI technology is rapidly growing and evolving.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Managing Our Growth</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are unable to manage growth, our operations could be adversely affected.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identify suitable acquisition candidates, complete acquisitions or integrate acquisitions successfully.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acquisition activities may disrupt our ongoing business and may involve increased expenses, and we may not realize the financial and strategic goals contemplated at the time of a transaction.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Inflation, Interest Rates, and Other Adverse Economic Conditions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 rate increases may adversely affect our financial condition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could be subject to economic, political, regulatory and other risks arising from our international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Inflation, the current interest rate environment, and other adverse economic conditions may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Impairment charges for goodwill or other long-lived assets may need to be recognized or increased as we shift our focus away from our non-core businesses, lose a major customer or experience changes to the regulatory environment affecting pharmaceutical advertising restricting the use of our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conditions could adversely change and our earnings could decline resulting in charges to impair intangible assets, such as goodwill.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Geopolitical events may affect our business and our customer base and have a material adverse impact on our sales and operating results.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General Risks Factors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and growth may suffer if we are unable to attract and retain members of our senior management team and other key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and effects of public health crises, pandemics and epidemics could have a material adverse effect on our business, prospects, financial condition, and operating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Our Common Stock</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a market for our common stock is not maintained, shareholders may be unable to sell their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market price of our common stock may be highly volatile and could fluctuate widely in price in response to various factors, many of which are beyond our control.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do not expect to pay dividends in the foreseeable future and any return on investment may be limited to the value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provision of our articles of incorporation, bylaws and Nevada law may discourage takeover attempts and business combinations that shareholders might consider in their best interests.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Actions of activist stockholders could be disruptive and costly and could adversely affect our results of operations, financial condition, and/or share price.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Being a Public Company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identified a material weakness in our internal control over financial reporting. Failure to remediate the material weakness or any other material weaknesses that we identify in the future could result in material misstatements in our future financial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Conflicting views on environmental, social and governance matters may have a negative impact on our business, impose additional costs on us, and expose us to additional risks.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1</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240" w:after="283"/>
        <w:jc w:val="both"/>
        <w:rPr/>
      </w:pPr>
      <w:r>
        <w:rPr>
          <w:rFonts w:ascii="Times New Roman;serif" w:hAnsi="Times New Roman;serif"/>
          <w:b w:val="false"/>
          <w:color w:val="000000"/>
          <w:sz w:val="20"/>
        </w:rPr>
        <w:t>OptimizeRx is a leading digital healthcare technology company that is redefining how life sciences brands engage with, market their services and products to, and support patients and healthcare providers. We leverage our proprietary technology solutions and partnerships to help our clients develop and execute highly individualized and targeted marketing campaigns to drive physician and patient engagement and to enhance patient care.</w:t>
      </w:r>
      <w:r>
        <w:rPr>
          <w:color w:val="000000"/>
        </w:rPr>
        <w:t xml:space="preserve"> </w:t>
      </w:r>
      <w:r>
        <w:rPr>
          <w:rFonts w:ascii="Times New Roman;serif" w:hAnsi="Times New Roman;serif"/>
          <w:b w:val="false"/>
          <w:color w:val="000000"/>
          <w:sz w:val="20"/>
        </w:rPr>
        <w:t>OptimizeRx is a Nevada corporation and was founded in 2006 in Rochester, Michigan, as a healthcare technology company delivering various types of messages to target audiences, including coupons and co-pays directly to physicians and pharmacists through electronic health record (“EHR”) systems and ePrescribing (“eRx”) platforms. Over time, the demand for different types of communication and marketing solutions among life sciences organizations, healthcare professionals (“HCPs”), and patients led us to expand upon our initial solution to increase the variety of health-related information we deliver, as well as the platforms, technology, and audiences through, and to which we deliver.</w:t>
      </w:r>
    </w:p>
    <w:p>
      <w:pPr>
        <w:pStyle w:val="TextBody"/>
        <w:bidi w:val="0"/>
        <w:spacing w:lineRule="auto" w:line="288" w:before="240" w:after="283"/>
        <w:jc w:val="both"/>
        <w:rPr/>
      </w:pPr>
      <w:r>
        <w:rPr>
          <w:rFonts w:ascii="Times New Roman;serif" w:hAnsi="Times New Roman;serif"/>
          <w:b w:val="false"/>
          <w:color w:val="000000"/>
          <w:sz w:val="20"/>
        </w:rPr>
        <w:t>By combining artificial intelligence</w:t>
      </w:r>
      <w:r>
        <w:rPr>
          <w:color w:val="000000"/>
        </w:rPr>
        <w:t xml:space="preserve"> </w:t>
      </w:r>
      <w:r>
        <w:rPr>
          <w:rFonts w:ascii="Times New Roman;serif" w:hAnsi="Times New Roman;serif"/>
          <w:b w:val="false"/>
          <w:color w:val="000000"/>
          <w:sz w:val="24"/>
        </w:rPr>
        <w:t>(</w:t>
      </w:r>
      <w:r>
        <w:rPr>
          <w:color w:val="000000"/>
        </w:rPr>
        <w:t>“</w:t>
      </w:r>
      <w:r>
        <w:rPr>
          <w:rFonts w:ascii="Times New Roman;serif" w:hAnsi="Times New Roman;serif"/>
          <w:b w:val="false"/>
          <w:color w:val="000000"/>
          <w:sz w:val="20"/>
        </w:rPr>
        <w:t>AI”)-driven tools with our original financial messaging solution, we progressively enhanced our original financial messaging solution. Our current AI-enabled</w:t>
      </w:r>
      <w:r>
        <w:rPr>
          <w:color w:val="000000"/>
        </w:rPr>
        <w:t xml:space="preserve"> </w:t>
      </w:r>
      <w:r>
        <w:rPr>
          <w:rFonts w:ascii="Times New Roman;serif" w:hAnsi="Times New Roman;serif"/>
          <w:b w:val="false"/>
          <w:color w:val="000000"/>
          <w:sz w:val="20"/>
        </w:rPr>
        <w:t>Dynamic Audience Activation Platform (“DAAP”) not only</w:t>
      </w:r>
      <w:r>
        <w:rPr>
          <w:color w:val="000000"/>
        </w:rPr>
        <w:t xml:space="preserve"> </w:t>
      </w:r>
      <w:r>
        <w:rPr>
          <w:rFonts w:ascii="Times New Roman;serif" w:hAnsi="Times New Roman;serif"/>
          <w:b w:val="false"/>
          <w:color w:val="000000"/>
          <w:sz w:val="20"/>
        </w:rPr>
        <w:t>identifies precise HCP audiences but also</w:t>
      </w:r>
      <w:r>
        <w:rPr>
          <w:color w:val="000000"/>
        </w:rPr>
        <w:t xml:space="preserve"> </w:t>
      </w:r>
      <w:r>
        <w:rPr>
          <w:rFonts w:ascii="Times New Roman;serif" w:hAnsi="Times New Roman;serif"/>
          <w:b w:val="false"/>
          <w:color w:val="000000"/>
          <w:sz w:val="20"/>
        </w:rPr>
        <w:t xml:space="preserve">estimates which HCPs will see brand eligible patients, and when such brand eligible patients will be seen. </w:t>
      </w:r>
    </w:p>
    <w:p>
      <w:pPr>
        <w:pStyle w:val="TextBody"/>
        <w:bidi w:val="0"/>
        <w:spacing w:lineRule="auto" w:line="288" w:before="240" w:after="283"/>
        <w:jc w:val="both"/>
        <w:rPr/>
      </w:pPr>
      <w:r>
        <w:rPr>
          <w:rFonts w:ascii="Times New Roman;serif" w:hAnsi="Times New Roman;serif"/>
          <w:b w:val="false"/>
          <w:color w:val="000000"/>
          <w:sz w:val="20"/>
        </w:rPr>
        <w:t>After acquiring Healthy Offers, Inc. (d/b/a “Medicx” or “Medicx Health”) in 2023, we expanded our capabilities to include direct-to-consumer (“DTC”) marketing using our patent-protected Micro-Neighborhood® Targeting (“MNT”) solution. MNT uses de-identified claims data to identify and target not individual patients, but geographies in which eligible patients live, to better target audiences for brand manufacturers</w:t>
      </w:r>
      <w:r>
        <w:rPr>
          <w:color w:val="000000"/>
        </w:rPr>
        <w:t xml:space="preserve"> </w:t>
      </w:r>
      <w:r>
        <w:rPr>
          <w:rFonts w:ascii="Times New Roman;serif" w:hAnsi="Times New Roman;serif"/>
          <w:b w:val="false"/>
          <w:color w:val="000000"/>
          <w:sz w:val="24"/>
        </w:rPr>
        <w:t xml:space="preserve">- </w:t>
      </w:r>
      <w:r>
        <w:rPr>
          <w:rFonts w:ascii="Times New Roman;serif" w:hAnsi="Times New Roman;serif"/>
          <w:b w:val="false"/>
          <w:color w:val="000000"/>
          <w:sz w:val="20"/>
        </w:rPr>
        <w:t>a privacy-centric approach to audience creation. With the integration of DTC marketing, our life sciences brand customers now have expanded access across our omnichannel network to reach both HCP and patient audiences. Today, we offer diverse tech-enabled marketing solutions using sophisticated machine learning algorithms to find the best audience in the correct channels at the right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Customers are able to execute traditional marketing campaigns utilizing our proprietary digital point-of-care network, as well as dynamic DTC marketing campaigns that optimize audiences in real time to increase the value of treatment information for HCPs and patients. Connecting over two million U.S. healthcare providers and millions of their patients through an intelligent technology platform embedded within a proprietary omnichannel network, OptimizeRx helps life sciences organizations engage and support their customers.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Dollar figures are in thousands, except per share data and where the context indicates otherwise.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Strategy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recent years, the life science industry has been moving a greater portion of its commercial spend away from legacy marketing methodologies and toward precision digital marketing. We believe our solutions are well tailored to capitalize on this shift in marketing practices, making our network and precision patient finding solutions highly valuable. As a result, we continue to prioritize innovation, customer centricity and delight, operational excellence, disciplined execution, developing stronger relationships with our valued business partners, and expanding our unique value proposition with our top-tier pharma customers. We believe these initiatives will drive the best performance for our customers and enable us to execute on a land and expand strategy with the life science industry.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Another core aspect of our value creation strategy is to to drive towards being recognized as a sustainable “Rule of 40” company within the next several years such that our combined annual revenue growth rate and adjusted EBITDA margin are 40% or higher. Like other companies aspiring to be a “Rule of 40” company, we understand the need to effectively balance growth with profitability. As we drive towards this ambitious financial goal, we plan to grow a re-occurring revenue component to our business as we look to convert our DAAP and MNT customers to a subscription-based model for the data component of our offerings. We believe this will improve our EBITDA margins over time while substantially enhancing the overall predictability of our revenue streams. We also believe this will enhance our ability to scale our business and more thoughtfully plan for profitable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we believe we are executing the right strategy to drive shareholder value, the Company Board of Directors (the “Board”) and management team understand the need to regularly review our strategy, assess it against a variety of opportunities that may create greater value, and ensure that the strategy we are executing is fully aligned with the best interests of our shareholders.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Industry Background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Life sciences organizations face a challenging commercial landscape. The life sciences industry is characterized by rapidly advancing science and technologies, intense competition, and a strong emphasis on differentiated products.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result, life sciences organizations have increasingly turned to technology solutions to support their commercial strategies. According to eMarketer, total pharmaceutical industry digital spend in the United States is now over $20 billion.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significant opportunity exists to address the unmet needs of life sciences organizations as they relate to digital solutions, including omnichannel access to HCPs, for our customers’ biggest commercial challenges. These complex challenges include brand visibility to HCPs, which is impacted by a competitive drug environment with sales representatives losing time in front of prescribers, augmented by the amount of time the HCPs have to spend in front of computers and in the EHR. Further, EHRs do not often communicate with one another, creating interoperability issues resulting in HCPs not having all relevant patient information. In addition, expensive specialty medications are becoming more common and involve more complex diagnosis criteria - factors that contribute to substantial script abandonment by patients. Our solutions are designed to address these and other commercial challenges faced by our customers.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Principal Solutions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offer clear, actionable solutions to the challenges faced by our customers, and our combined HCP and DTC marketing strategies are designed to ensure our customers’ brands are positioned at the right moment and with the right message, always prioritizing the end result: successful brand engagement to reach both HCPs and patients, ultimately resulting in improved patient care.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principal solutions can be summarized as follows: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Audience Development: DAAP and MNT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Dynamic Audience Activation Platform generates dynamic audiences with predictive analytics via machine learning methods. DAAP identifies which potentially qualified patients and which HCPs to actively engage based on the patient’s care journey and disease progression. These dynamic audiences provide our manufacturing customers with more relevant and timely targets, generating a higher likelihood of impact.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Micro-Neighborhood® Targeting creates consumer audiences using a patented privacy-first process. MNT looks for all patients expressing brand eligibility signals (covering more than 90% of the U.S. population), then scores over 35 million 9-digit zip codes based on the concentration of those signals to create a prioritized, yet de-identified audience. Geographies are automatically refreshed and prioritized regularly to maximize marketing relevance and precision. Our clients may then activate these audiences through a myriad of downstream DTC publishers, including, but not limited to programmatic Demand-Side Platforms (“DSPs”), connected television (“CTV”)/over-the-top (“OTT”), social media, addressable television (“ATV”), out-of-home (“OOH”), and programmatic audio (podcasts, apps, radio).</w:t>
      </w:r>
    </w:p>
    <w:p>
      <w:pPr>
        <w:pStyle w:val="TextBody"/>
        <w:bidi w:val="0"/>
        <w:spacing w:lineRule="auto" w:line="288" w:before="240" w:after="283"/>
        <w:jc w:val="both"/>
        <w:rPr/>
      </w:pPr>
      <w:r>
        <w:rPr>
          <w:rFonts w:ascii="Times New Roman;serif" w:hAnsi="Times New Roman;serif"/>
          <w:b/>
          <w:i/>
          <w:color w:val="000000"/>
          <w:sz w:val="20"/>
        </w:rPr>
        <w:t>Audience Profiling:</w:t>
      </w:r>
      <w:r>
        <w:rPr>
          <w:color w:val="000000"/>
        </w:rPr>
        <w:t xml:space="preserve"> </w:t>
      </w:r>
      <w:r>
        <w:rPr>
          <w:rFonts w:ascii="Times New Roman;serif" w:hAnsi="Times New Roman;serif"/>
          <w:b/>
          <w:i/>
          <w:color w:val="000000"/>
          <w:sz w:val="20"/>
        </w:rPr>
        <w:t>Profiler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audience profiling solution, Profiler, provides insights into our customers' target consumers, identifying the most cost effective and engaging channels, partners, and strategies for our customers. Audience profiling enables clients to maximize marketing dollars, focusing on channels their targets are most likely to be consuming, and more specifically focusing on the media partners within those channels. This is critical to upfront planning as well as periodic analysis to ensure efficient use of marketing budgets.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Audience Activation and Media Execution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primary media offering is banner messaging delivered to HCPs. Banner messages include brand messaging, therapeutic support messaging, affordability messaging, limited distribution drug information, and patient support program messaging. We can deliver these in a number of ways via our HCP point of care (“POC”) network (EHR systems and eRx platforms), programmatic social media, and programmatic display.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With the acquisition of Medicx, our omnichannel solutions expanded further to offering media execution solutions to consumer audiences. To reach consumer audiences - brand eligible patients - we deliver messages via our consumer omnichannel network including through display programmatic CTV/OTT, programmatic social media, ATV, digital OOH, programmatic audio (podcasts, apps, radio), and email/direct mail.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Pharmacy Alerts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Pharmacy Alerts improves the existing workflow for prescribing HCPs by informing them in real time about which pharmacies are able to dispense a patient’s prescription. Currently, HCPs typically see a list of pharmacies near their patients, sorted by proximity, without regard to whether each pharmacy carries the medication or is permitted to fill it (in case of a limited distribution drug). Pharmacy Alerts flags pharmacies that have the medication in stock and are able to fill the prescriptions, resulting in less frustration and added work for prescribing physicians, pharmacies and patients and less waiting time to get essential medications to the patients.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Financial Messaging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Financial Messaging provides prescribers visibility to branded copay offers for patients directly within their EHR systems and eRx platforms. It allows prescribers to print or digitally send copay offer details to the dispensing pharmacy. Our solution addresses the fact that many healthcare systems and prescribers are looking for an easier, more effective way to increase affordable access to their prescribed branded medications.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go-to-market strategy for the business aligns sales and marketing efforts while keeping customer engagement at the core. Engaging customers early, providing value throughout their journey, and nurturing long-term relationships drive sustainable growth and retention. Our sales, marketing and account management teams include over 50 individuals focused on awareness, adoption and expansion of data and technology solutions designed to address the digital engagement needs of life sciences brands and their agency partners.</w:t>
      </w:r>
    </w:p>
    <w:p>
      <w:pPr>
        <w:pStyle w:val="TextBody"/>
        <w:bidi w:val="0"/>
        <w:spacing w:lineRule="auto" w:line="288" w:before="240" w:after="283"/>
        <w:jc w:val="both"/>
        <w:rPr/>
      </w:pPr>
      <w:r>
        <w:rPr>
          <w:rFonts w:ascii="Times New Roman;serif" w:hAnsi="Times New Roman;serif"/>
          <w:b w:val="false"/>
          <w:color w:val="000000"/>
          <w:sz w:val="20"/>
          <w:shd w:fill="FFFFFF" w:val="clear"/>
        </w:rPr>
        <w:t>DAAP, our patent pending patient-centric omnichannel engagement platform combines AI and human intelligence (</w:t>
      </w:r>
      <w:r>
        <w:rPr>
          <w:color w:val="000000"/>
        </w:rPr>
        <w:t>“</w:t>
      </w:r>
      <w:r>
        <w:rPr>
          <w:rFonts w:ascii="Times New Roman;serif" w:hAnsi="Times New Roman;serif"/>
          <w:b w:val="false"/>
          <w:color w:val="000000"/>
          <w:sz w:val="20"/>
          <w:shd w:fill="FFFFFF" w:val="clear"/>
        </w:rPr>
        <w:t>HI</w:t>
      </w:r>
      <w:r>
        <w:rPr>
          <w:color w:val="000000"/>
        </w:rPr>
        <w:t>”</w:t>
      </w:r>
      <w:r>
        <w:rPr>
          <w:rFonts w:ascii="Times New Roman;serif" w:hAnsi="Times New Roman;serif"/>
          <w:b w:val="false"/>
          <w:color w:val="000000"/>
          <w:sz w:val="20"/>
          <w:shd w:fill="FFFFFF" w:val="clear"/>
        </w:rPr>
        <w:t>), to determine the optimal time to engage patients and physicians.</w:t>
      </w:r>
      <w:r>
        <w:rPr>
          <w:color w:val="000000"/>
        </w:rPr>
        <w:t xml:space="preserve"> </w:t>
      </w:r>
      <w:r>
        <w:rPr>
          <w:rFonts w:ascii="Times New Roman;serif" w:hAnsi="Times New Roman;serif"/>
          <w:b w:val="false"/>
          <w:color w:val="000000"/>
          <w:sz w:val="20"/>
          <w:shd w:fill="FFFFFF" w:val="clear"/>
        </w:rPr>
        <w:t>We synchronize HCP and DTC marketing across the programmatic and point-of-care channels to increase brand conversions, streamline therapy starts, and build stronger brand relationships. Our commercial team works to cultivate customer relationships. We use a number of methods to market and promote our solutions, including digital advertising, industry events, trade shows, conferences, media coverage, social media, and email.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Technology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proprietary technology platform enables us to curate privacy safe DTC audiences, dynamic HCP and DTC audiences, and effectively manage digital media campaigns for our advertiser clients (agencies, and manufacturer/brands) across our broad publisher partner network. Our platform consists of a unified data intelligence technology stack, multiple cloud-based data warehouses, and in-house applications and application programming interface layers. Collectively, this platform enables us with a collaborative environment for data engineering, data science, and machine learning, an efficient method to curate privacy safe DTC audiences, and a scalable means to manage both point-of-care media campaigns and the supply-side inventory request volume. For the management of point-of-care media campaigns, the platform integrates advanced features of a Supply-Side Platform (“SSP”), allowing us to provide seamless access to an expansive range of point-of-care inventory via our strategic partnerships. As an SSP, our platform enables us to manage and optimize our point-of-care network’s ad inventory, maximizing their revenue. On the demand side, our platform empowers our account and program managers to efficiently manage our customers’ campaign(s). Our technology is built on a scalable and secure architecture that supports high-performance data processing, real-time decisioning, and integration with publisher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support our growth and provide maximum security, scalability, and flexibility, all our systems, including from acquisitions, are now hosted and integrated in the cloud. Our technology development and systems management core team is in the U.S. and in Croatia, with contractors in India, Ukraine, the U.S., and Croatia, to provide bench depth, rich skills experience, and business economies. The teams are organized into Centers of Excellence focused on Product Development, Quality Assurance, Information Security, Data Warehousing, Business Intelligence, Platform Services, and Internal Systems Support. System enhancements are routinely a part of our annual plan to ensure high performance, high security, scalability, automation, and ease of maintenance. The enhancements we made in 2025 included system and framework upgrades, documentation of processes and procedures, security implementation for ongoing cybersecurity, Sarbanes-Oxley, Health Insurance Portability and Accountability Act of 1996 (“HIPAA”), and customer security assessments, and in achieving both System and Organization Controls (“SOC”) 2 Type 1 and Type 2 certifications.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Major Customers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Because the pharmaceutical industry is dominated by large companies with multiple brands, our revenue is concentrated in a relatively small number of customers. Although we have over 100 pharmaceutical manufacturers as customers, during the year ended December 31, 2025, our top five customers accounted for approximately 47% of our revenues. In 2025 and 2024, we had three customers and two customers, respectively, that represented over 10% of our revenues.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competitive landscape within life sciences digital marketing is constantly evolving. </w:t>
      </w:r>
      <w:r>
        <w:rPr>
          <w:rFonts w:ascii="Times New Roman;serif" w:hAnsi="Times New Roman;serif"/>
          <w:b w:val="false"/>
          <w:color w:val="000000"/>
          <w:sz w:val="20"/>
        </w:rPr>
        <w:t>Our solutions face competition from numerous other companies.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compete broadly in the dynamic and ever-evolving pharmaceutical and life sciences digital marketing industry with healthcare data suppliers, health-focused demand-side platforms, and health-focused walled garden websites and web platforms, and advertising networks that aggregate traffic from multiple web sites or point-of-care platforms such as telehealth, EHR, eRx, physician practice management, health information exchanges (“HIE”), and site-based platforms within large health systems. Our competitors include large well-known companies with established names, solid market niches, and wide arrays of product offerings and marketing networks, many of which have greater financial, technical, product development, marketing and other resources than we do.</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innovators in the industry, we have patented and patent-pending technologies that provide unique differentiation, including a patient-centric focus on brand conversion, and value generation for our customers. Our extensive point-of-care network provides our customers with unparalleled reach to relevant prescribers. We are uniquely able to use DAAP to produce targeted, privacy-safe audiences for both consumers and their treating HCPs, allowing brand engagement to occur within the likely care window to find brand-eligible patients at the right time for brand adoption. DAAP leverages the investment in data and AI technologies, combined with human intelligence, in applying brand-specific strategies to optimize program performance. Our patented MNT technology provides a unique opportunity for pharmaceutical brands to market to consumers while adhering to HIPAA and state level privacy requirements.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more information on risks relating to our competition, see Item 1A. Risk Factors.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rely primarily on a combination of patent, copyright, trademark, and trade secret laws, as well as contractual provisions with employees and third parties, to establish and protect our intellectual property rights. Historically, we have created intellectual property or obtained intellectual property through commercial relationships and in connection with acquisitions.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own patents that are important to our business, and we expect to continue to file patent applications to protect our research and development investments in new products. As of December 31, 2025, we held five patents and two pending patent applications, including foreign counterpart patents and foreign applications. For the United States, patents may last 20 years from the date of the patent’s filing, subject to term adjustments made by the patent office.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we own registered trademarks in the United States and other countries. As of December 31, 2025, OPTIMIZERx, OPTIMIZEMD, CareSpeak, DIETWATCH, Innovate4Outcomes, SPRx, SPx, Specialty Express, TELAREP, Medicx, Micro-Neighborhood, and Geomedical Targeting are our registered trademarks.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licenses to intellectual property for the use and sale of certain of our solutions. In addition, we obtain other intellectual property rights and/or licenses used in connection with our business when practical and appropriate.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healthcare industry and, in particular, our customers and partners are subject to U.S. federal, state and local laws and regulations, including those governing fraud, abuse, privacy and security. Additionally, we and certain of our customers are also subject to certain foreign laws and regulations, including without limitation those governing privacy and security and fair business practices. Many of these laws and regulations are complicated and how they might apply to us, our customers, our partners, or the specific services and relationships we have with our customers and partners are not always well-defined. Many states have enacted laws regulating the processing of personal information which may reduce demand for placing digital ads in general, especially when those ads relate to medications, medical products, or health conditions. Although our solutions address these laws by using publicly available information and by processing de-identified and aggregated information, and we use this data to target geographies rather than individuals, our customers and partners in the advertising industry remain subject to these regulatory pressures and may not process personal information in this same way. Our failure, or perceived failure, to accurately apply, or comply with, these laws and regulations could subject us to significant fines and liability, result in reputational harm, and adversely affect our business. Any new or amended laws or regulations that impose significant operational restrictions and compliance requirements may negatively impact our business. See Item 1A. Risk Factors for more information on the impact of Government Regulations on OptimizeRx.</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104 full-time employees and 1 part-time employee in the U.S, as well as 28 full-time employees in Croatia. None of our employees are represented by a labor union or collective bargaining agreement with respect to their employment with us. The majority of our employees work remotely and are geographically distributed across the United States and Croatia. We supplement our workforce with contractors in the United States and internationally, including in Croatia, India, and in the Ukraine, on an as-needed basis. We consider our relationship with our employees to be good and have not experienced any work stoppages.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dedicated to providing a supportive and respectful environment for our employees where everyone feels valued, and we celebrate both the difference and similarities among our people. We prioritize recruiting, retaining, and incentivizing a highly qualified, diverse workforce as the success of our Company is dependent on the skills, experience, and efforts of our employees. We believe that a skilled workforce not only improves a company’s performance but also contributes to overall employee satisfaction and enhances human capital. We have increased our focus on training and development for our current employees and have implemented a Learning Management System where current and future training modules will be presented and tracked for reporting purposes. We offer other learning and development opportunities and resources to support our employees in achieving and enhancing their development objectives. We equip our managers with the skills and tools to provide ongoing coaching and feedback so employees can maximize their performance and potential, delivering success for the Company and the employee.</w:t>
      </w:r>
    </w:p>
    <w:p>
      <w:pPr>
        <w:pStyle w:val="TextBody"/>
        <w:bidi w:val="0"/>
        <w:spacing w:lineRule="auto" w:line="288" w:before="240" w:after="283"/>
        <w:jc w:val="both"/>
        <w:rPr/>
      </w:pPr>
      <w:r>
        <w:rPr>
          <w:rFonts w:ascii="Times New Roman;serif" w:hAnsi="Times New Roman;serif"/>
          <w:b w:val="false"/>
          <w:color w:val="000000"/>
          <w:sz w:val="20"/>
          <w:shd w:fill="FFFFFF" w:val="clear"/>
        </w:rPr>
        <w:t>We pay our employees competitively and offer a broad range of company-paid benefits, which we believe are competitive with others in our industry. Moreover, we believe our long-term incentives are structured in a manner to provide time-based vesting schedules that are retentive,</w:t>
      </w:r>
      <w:r>
        <w:rPr>
          <w:color w:val="000000"/>
        </w:rPr>
        <w:t xml:space="preserve"> </w:t>
      </w:r>
      <w:r>
        <w:rPr>
          <w:rFonts w:ascii="Times New Roman;serif" w:hAnsi="Times New Roman;serif"/>
          <w:b w:val="false"/>
          <w:color w:val="000000"/>
          <w:sz w:val="20"/>
        </w:rPr>
        <w:t>and we incentivize select employees through the granting of stock-based awards and cash-based performance bonus awards.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Smaller Reporting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the Securities Exchange Act of 1934, as amended (the “Exchange Act”). As a result, we may take advantage of certain reduced disclosure obligations available to smaller reporting companies, including the exemption from compliance with the auditor attestation requirements pursuant to the Sarbanes-Oxley Act of 2022, reduced disclosure about our executive compensation arrangements and the requirements to provide only two years of audited financial statements in our annual reports and registration statements. We will continue to be a “smaller reporting company” as long as (1) we have a public float (i.e., the market value of our common stock held by non-affiliates) of less than $250 million calculated as of the last business day of our most recently completed second fiscal quarter, or (2) our annual revenues are less than $100 million for our previous fiscal year and we have either no public float or a public float of less than $700 million as of the end of that fiscal year’s second fiscal quarter. Decreased disclosures in our filings with the Securities and Exchange Commission (“SEC”) due to our status as a “smaller reporting company” may make it harder for investors to analyze our results of operations and financial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31, 2006, Optimizer Systems, L.L.C. was formed in the State of Michigan and, on October 16, 2007, OptimizeRx Corporation was separately incorporated in Michigan. On October 22, 2007, Optimizer Systems, LLC merged into OptimizeRx Corporation, a Michigan corporation, and the name OptimizeRx Corporation remained unchanged following the merger.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April 14, 2008, an alternative reporting company with the OTC Market Group, Inc., known at the time as RFID Ltd., and formed in the State of Colorado, entered into a share exchange agreement with the stockholders of OptimizeRx Corporation, pursuant to which the stockholders of OptimizeRx Corporation exchanged all of the issued and outstanding capital stock of OptimizeRx Corporation for shares of common stock of RFID Ltd. As of April 30, 2008, RFID’s officers and directors resigned their positions and RFID changed its business to OptimizeRx’s business. On April 15, 2008, RFID Ltd’s corporate name was changed to OptimizeRx Corporation, a Colorado corporation. On September 4, 2008, the Company then completed a migratory merger, thereby changing the Company’s state of incorporation from Colorado to Nevada, resulting in OptimizeRx Corporation, a Nevada corporation becoming the parent corporation of OptimizeRx Corporation, a Michigan corporation. On April 11, 2023, OptimizeRx Corporation, a Michigan corporation was merged with and into OptimizeRx Corporation, a Nevada corporation.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October 11, 2023, the Company acquired Healthy Offers, Inc. (d/b/a “Medicx” or “Medicx Health”), a Nevada corporation, in a merger transaction, resulting in Medicx becoming a wholly-owned subsidiary of the Company upon completion of the merger. On November 24, 2025, Medicx Health was merged into OptimizeRx Corporation.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certain of our operations through our wholly-owned subsidiary OptimizeRx d.o.o. (formerly known as CareSpeak Communications, d.o.o.), a controlled foreign corporation incorporated in Croatia. </w:t>
      </w:r>
    </w:p>
    <w:p>
      <w:pPr>
        <w:pStyle w:val="TextBody"/>
        <w:bidi w:val="0"/>
        <w:spacing w:lineRule="auto" w:line="288" w:before="240" w:after="283"/>
        <w:jc w:val="both"/>
        <w:rPr/>
      </w:pPr>
      <w:r>
        <w:rPr>
          <w:rFonts w:ascii="Times New Roman;serif" w:hAnsi="Times New Roman;serif"/>
          <w:b w:val="false"/>
          <w:color w:val="000000"/>
          <w:sz w:val="20"/>
        </w:rPr>
        <w:t xml:space="preserve">Our principal executive offices are located at 260 Charles Street Suite 302, Waltham, MA 02453 and our telephone number is (248) 651-6568. Our website address is </w:t>
      </w:r>
      <w:r>
        <w:rPr>
          <w:rFonts w:ascii="Times New Roman;serif" w:hAnsi="Times New Roman;serif"/>
          <w:b w:val="false"/>
          <w:i/>
          <w:color w:val="000000"/>
          <w:sz w:val="20"/>
        </w:rPr>
        <w:t>www.optimizerx.com</w:t>
      </w:r>
      <w:r>
        <w:rPr>
          <w:rFonts w:ascii="Times New Roman;serif" w:hAnsi="Times New Roman;serif"/>
          <w:b w:val="false"/>
          <w:color w:val="000000"/>
          <w:sz w:val="20"/>
        </w:rPr>
        <w:t>. Information contained on or accessible through this website is not incorporated by reference in, or otherwise a part of, this Annual Report on Form 10-K, and any references to this website are intended to be inactive textual references only.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the informational requirements of the Exchange Act and in accordance therewith, we file reports, proxy and information statements and other information with the SEC. You can access and read our SEC filings through the Internet at the SEC’s website at www.sec.gov. Our filings with the SEC are also available free of charge through the investor relations section of our website at www.optimizerx.com. Reports are available free of charge as soon as reasonably practicable after we electronically file them with, or furnish them to, the SEC. From time to time, we also use multiple social media channels to communicate with the public about OptimizeRx. It is possible that the information we post on social media could be deemed to be material information. Therefore, we encourage you to review the information we post on the social media channels listed on our investor relations website, if any.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Information contained on or accessible through the websites and social media channels referred to above is not incorporated by reference in, or otherwise a part of, this Annual Report on Form 10-K, and any references to these websites and social media channels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Financial Position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a history of losses, and may not be able to achieve profitability, or, if achieved, sustain profitability.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With the exception of 2021 and 2025, we have historically incurred losses as a result of investing in future growth. While we have increased revenues, we have not yet consistently achieved profitability due to these investments and non-cash expenses. Our ability to achieve consistent profitability depends on our ability to generate sales through our technology platform and advertising model, while maintaining reasonable expense levels. If we do not achieve sustainable profitability, it may negatively impact our ability to continue our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need to raise additional capital to grow our business and may not be able to do so on favorable terms, if at all.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need to raise additional capital in the future, including to expand our operations and pursue our growth strategies, to respond to competitive pressures, or to meet capital needs in response to operating losses or unanticipated working capital requirements. If we are unable to raise capital in sufficient amounts on acceptable terms when needed, our ability to continue to operate our business and further expand our operations may be limited.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Servicing debt and funding other obligations requires a significant amount of cash, and our ability to generate sufficient cash depends on many factors, some of which are beyond our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make payments on and refinance our indebtedness and to fund our operations and capital expenditures depends on our ability to generate cash flow and secure financing in the future. Our ability to generate future cash flow depends on, among other things, future operating performance, general economic conditions, competition, and legislative and regulatory factors affecting our operations and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Some of these factors are beyond our control. There is no assurance that our business will generate cash flow from operations or that future debt or equity financings will be available to us to enable us to pay our indebtedness or to fund other needs. As a result, we may need to refinance all or a portion of our indebtedness on or before maturity. There is no assurance that we will be able to refinance any of our indebtedness on favorable terms, or at all. Any inability to generate sufficient cash flow or refinance our indebtedness on favorable terms could have a material adverse effect on our financial condition and material business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Restrictions in our Term Loan could adversely affect our business, financial condition, results of operations, ability to make distributions, and the value of our securities.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The $40,000 term loan (the </w:t>
      </w:r>
      <w:r>
        <w:rPr>
          <w:color w:val="000000"/>
        </w:rPr>
        <w:t>“</w:t>
      </w:r>
      <w:r>
        <w:rPr>
          <w:rFonts w:ascii="Times New Roman;serif" w:hAnsi="Times New Roman;serif"/>
          <w:b w:val="false"/>
          <w:color w:val="000000"/>
          <w:sz w:val="20"/>
        </w:rPr>
        <w:t>Term Loan”) that the Company obtained in 2023 to partially finance the Medicx Health transaction,</w:t>
      </w:r>
      <w:r>
        <w:rPr>
          <w:color w:val="212529"/>
        </w:rPr>
        <w:t xml:space="preserve"> </w:t>
      </w:r>
      <w:r>
        <w:rPr>
          <w:rFonts w:ascii="Times New Roman;serif" w:hAnsi="Times New Roman;serif"/>
          <w:b w:val="false"/>
          <w:color w:val="212529"/>
          <w:sz w:val="20"/>
        </w:rPr>
        <w:t>contains customary affirmative covenants, including, among others, covenants pertaining to the delivery of financial statements; certain financial covenants; notices of default and certain other material events; payment of obligations; preservation of corporate existence, rights, privileges, permits, licenses, franchises and intellectual property; maintenance of property and insurance and compliance with laws, as well as customary negative covenants, including, among others, limitations on the incurrence of liens and entering into capital leases, investments and indebtedness, mergers and certain other fundamental changes, dispositions of assets, restricted payments, changes in our line of business, and transactions with affiliates and burdensome agreements. These covenants could affect our ability to operate our business, increase the amount of interest expense we ultimately pay pursuant to the Term Loan, and may limit our ability to take advantage of potential business opportunities as they arise.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Our ability to comply with the covenants and restrictions contained in our Term Loan, may be affected by events beyond our control, including prevailing economic, financial, and industry conditions. If market or other economic conditions deteriorate, our ability to comply with these covenants may be impaired. A failure to comply with these provisions could result in a default or an event of default. Upon an event of default, unless waived, the lenders could elect to terminate their commitments, cease making further loans, cause their loans to become due and payable in full, foreclose against any assets securing the debt under our Term Loan and force us and our subsidiaries into bankruptcy or liquidation. If the payment of our debt is accelerated, our assets may be insufficient to repay such debt in full, and the holders of our stock could experience a partial or total loss of their investment.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Business: Our Industry, Operations, and Competition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Seasonal trends in the pharmaceutical brand marketing industry could affect our operating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Additionally, changes in capital allocations and the timing of marketing spend by our customers could materially impact our operating results from quarter to quarter. Accordingly, revenues for any quarter are not necessarily indicative of revenues for any future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Developing and implementing new and updated applications, features and services for our solutions may be more difficult than expected, may take longer and cost more than expected and may not result in sufficient increases in revenue to justify the costs.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Attracting and retaining users of our solutions requires us to continue to improve the technology underlying those solutions and to continue to develop new and updated applications, features and services for those solutions.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rely on a combination of internal development, strategic relationships, licensing and acquisitions to develop our solutions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Any failure to offer high-quality customer support for our solutions may adversely affect our relationships with our customers and harm our financial results.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Once our solutions are implemented, our customers use our account management and support teams to resolve technical issues relating to our solutions. Increased demand for our support services may increase our costs without corresponding increases in revenue, which could adversely affect our operating results. Further, the sale of our solutions is highly dependent on the ease of use of our solutions, on our business reputation, and on favorable recommendations from our existing customers. Any failure to maintain high-quality and responsive customer support, or a market perception that we do not maintain high-quality support, could harm our reputation, cause us to lose customers, adversely affect our ability to sell our solutions to prospective customers, and harm our business, operating results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dependent on a concentrated group of customers, and the loss of one or more of any of the pharmaceutical brands that purchase our solutions could cause our revenue to decline.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Because the pharmaceutical industry is dominated by large companies with multiple brands, our revenue is concentrated in a relatively small number of companies. We have over 100 pharmaceutical manufacturers as customers, and our revenues are concentrated in these customers. Our top five customers represented approximately 47% of revenue for the year ended December 31, 2025. In 2025 and 2024, respectively, we had three customers and two customers that represented over 10% of our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that we will continue to depend upon a relatively small number of customers for a significant portion of our total revenues for the foreseeable future. The loss of any of these customers or groups of customers for any reason, a year over year reduction in sales of one or more of our larger customers, a change of relationship with any of our key customers, or a loss of one or more of any of the pharmaceutical brands that purchase our solutions, could cause a material decrease in our total revenues and could have a material impact on our operating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Additionally, mergers or consolidations among our customers in the healthcare industry could reduce the number of our customers and could adversely affect our revenues and sales. In particular, if our customers are acquired by entities that are not also our customers, that do not use our solutions or that have more favorable contract terms with competitors and choose to discontinue, reduce or change the terms of their use of our solutions, our business and operating results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unable to maintain our contracts with electronic prescribing platforms and electronic health record systems, our business will suffer.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reliant upon our contracts with leading eRx platforms and EHR systems to generate a portion of the revenues received from our customers. Such arrangements subject us to a number of risks, including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eRx and EHR channel partners may experience financial, regulatory or operational difficulties, which may impair their ability to focus on and fulfill their contract obligations to us;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Legal disputes or disagreements, including regarding the ownership of intellectual property, may occur with one or more of our eRx and EHR channel partners and may lead to lengthy and expensive litigation or arbitration;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Significant changes in an eRx and/or EHR channel partner’s business strategy may adversely affect such partner’s willingness or ability to satisfy obligations under any such arrangement;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An eRx and EHR channel partner could terminate their partnership arrangements with us, which could negatively impact our ability to sell our solutions and achieve revenues;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failure of an eRx or EHR channel partner to provide accurate and complete financial information to us or to maintain adequate and effective internal control over its financial reporting may negatively affect our ability to meet our financial reporting obligations as required by the SEC. See Part II, Item 9A.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generated 62% and 57% of our revenue through our two largest channel partners in 2025 and 2024, respectively. As such, the inability to maintain one or more of these relationships could materially adversely impact our business.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agreements with eRx and EHR channel partners could be subject to audit.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agreements with our eRx and EHR channel partners provide for revenue-sharing payments to them based on the revenue we generate through their platforms and systems. These payments could be subject to an audit by our channel partners, at their cost, and if there is a dispute as to the calculation, we may be liable for additional payments. Some agreements would require us to also pay for the cost of the audit if an underpayment is determined to be in excess of a certain amount.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attract new customers or retain and expand existing customers, our business and future prospects may be materially and adversely impacted.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currently work with many leading pharmaceutical companies, medical device manufacturers, life sciences marketing agencies, and other companies. Consolidation of companies within the life sciences industry we serve, and more specifically within our customer base, may reduce the volume of solutions purchased by the consolidated customers following an acquisition or merger. Moreover, our relationships with customers or potential customers who are in competition with each other may adversely impact the degree to which other customers or potential customers buy or use our solutions. While we have experienced customer growth, this growth may not continue at the same pace in the future or at all. Achieving growth in our customer base may require us to engage in increasingly sophisticated and costly sales and marketing efforts that may not result in additional customers. We may also need to modify our solution set and/or pricing model to attract and retain such customers. If we fail to attract new customers or fail to maintain or expand existing relationships in a cost-effective manner, our business and future prospects may be materially and adversely impacted.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expect to face increasing competition in the markets for our solutions.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markets in which we operate are competitive, continually evolving and, in some cases, subject to rapid change, resulting in our solutions facing competition from numerous other companies. We compete for revenue from healthcare advertisers and sponsors (pharmaceutical manufacturers) with healthcare data suppliers, health-focused demand-side platforms, and health-focused walled garden websites and web platforms, and advertising networks that aggregate traffic from multiple web sites or point-of-care platforms such as telehealth, EHR, eRx, physician practice management, HIE, and site-based platforms within large health systems.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competitors have greater financial, technical, product development, marketing and other resources than we do. These organizations may be better known than we are and have more customers than we do. We cannot provide assurance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that we will be able to compete successfully against these organizations or any alliances they have formed or may form. Since there are no substantial barriers to entry into the markets in which we participate, we expect that competitors will continue to enter these markets and that competition in the industry will continue to increase. If we fail to differentiate ourselves from our competitors or to gain market share, our operating results and financial position may be negatively impacted.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Developments in the healthcare industry could adversely affect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Most of our revenue is derived from pharmaceutical manufacturers and could be affected by changes affecting the broader healthcare industry, including decreased spending in the industry overall.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reductions in expenditures by healthcare industry participants could result from, among other things: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Government regulation or private initiatives that affect the manner in which healthcare industry participants interact with consumers and the general public;</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Government regulation prohibiting the use of coupons by patients covered by federally funded health insurance programs;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Consolidation of healthcare industry participants;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Reductions in governmental funding for healthcare;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Adverse changes in business or economic conditions affecting healthcare industry participants.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Even if general expenditures by industry participants remain the same or increase, developments in the healthcare industry may result in reduced spending in some or all the specific market segments that we serve now or may serve in the future. For example, the use of our solutions and services could be affected by: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 decrease in the number of new drugs or medical devices coming to market; and</w:t>
      </w:r>
    </w:p>
    <w:p>
      <w:pPr>
        <w:pStyle w:val="TextBody"/>
        <w:bidi w:val="0"/>
        <w:spacing w:lineRule="auto" w:line="288" w:before="240" w:after="283"/>
        <w:jc w:val="both"/>
        <w:rPr/>
      </w:pPr>
      <w:r>
        <w:rPr>
          <w:color w:val="000000"/>
        </w:rPr>
        <w:t>•</w:t>
      </w:r>
      <w:r>
        <w:rPr>
          <w:rFonts w:ascii="Times New Roman;serif" w:hAnsi="Times New Roman;serif"/>
          <w:b w:val="false"/>
          <w:color w:val="000000"/>
          <w:sz w:val="20"/>
        </w:rPr>
        <w:t>A decrease in marketing expenditures by pharmaceutical or medical device companies.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healthcare industry has changed significantly in recent years, and we expect that significant changes will continue to occur. However, the timing and impact of developments in the healthcare industry are difficult to predict. We cannot assure you that the demand for our solutions and services will continue to exist at current levels or that we will have adequate technical, financial and marketing resources to react to changes in the healthcare industry.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Regulatory Matters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information. In addition, our customers and service providers may be or become subject to these same rules.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may be bound by contractual obligations and other obligations relating to privacy, data protection, and information security that are more stringent than applicable laws and regulations. The costs of compliance with, and other burdens imposed by, laws, regulations, standards, and other obligations relating to privacy, data protection, and information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are significant. 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another or other legal obligations with which we must comply. Accordingly, our failure, or perceived inability, to comply with these laws, regulations, standards, and other obligations may limit the use and adoption of our solution, reduce overall demand for our solution, lead to regulatory investigations, breach of contract claims, litigation, and significant fines, penalties, or liabilities for actual or alleged noncompliance or slow the pace at which we close sales transactions, any of which could harm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HIPAA, as amended by the Health Information Technology for Economic and Clinical Health Act (the “HITECH”), and the rules promulgated thereunder require certain entities, referred to as Covered Entities, to comply with established standards, including standards regarding the privacy and security of protected health information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we are not a Covered Entity, or a business associate, we process data that has been de-identified according to the expert determination method under HIPAA’s Privacy Rule. This requires us to take measures to prevent the re-identification of that data and to comply with HIPAA if that data is re-identified.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collect and store sensitive data, including intellectual property, proprietary business information and personally identifiable information (including of our employees, customers, suppliers and business partners). Any data breach may subject us to civil fines and penalties, or regulatory orders, fines or sanctions under relevant state and federal privacy laws in the United States, including the California Consumer Privacy Act (the “CCPA”), which took effect on January 1, 2020 and was amended and expanded by the California Privacy Rights Act (the “CPRA”), which took effect on January 1, 2023, and other laws and regulations. Our failure, or the failure of our third-party vendors, to comply with applicable laws and regulations relating to data security and our involvement or the involvement of any of our third-party vendors in any data security incidents could result in legal claims and liability, obligations to report incidents to governmental agencies, regulatory investigations and penalties, and reputational damage, which could have a material adverse effect on our business, financial condition and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other laws and regulations such as federal and state anti-kickback and false claims laws may apply to us indirectly through our relationships with our customers and partners. Violations can result in considerable penalties and sanctions. If we are found to have violated, or to have facilitated the violation of such laws, we could be subject to significant penalties.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operations may be impacted by changes to current regulations and future legislation.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Executive Branch administration and regulatory agencies have proposed, and may propose additional, policy changes that create uncertainty for our business, our customers' businesses and the industries in which we operate, including for example, implementing restrictions on pharmaceutical DTC marketing.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current U.S. administration, the U.S. Department of Health and Human Services (“HHS”) and the U.S. Food and Drug Administration (“FDA”) have recently announced an initiative intended to ensure transparency and accuracy in direct-to-consumer pharmaceutical advertisements through a series of reforms that have included and are expected to continue to include FDA rulemaking, additional enforcement action, and expanded regulatory oversight of digital and social media promotional activities. Failure to comply with applicable FDA requirements for advertising and promotional activities (including those that currently apply or may apply in the future to DTC advertising) may subject a company to adverse enforcement action by the FDA, the Department of Justice, or the Office of the Inspector General of HHS, as well as state authorities. This could subject a company to a range of penalties or other consequences that could have a significant commercial impact, including warning letters, civil and criminal fines, and agreements that materially restrict the manner in which a company promotes or distributes a drug. Any such failures could also cause significant reputational harm. The applicable regulations in countries outside the U.S. grant similar powers to the competent authorities and impose similar obligations on companies. This increased regulatory scrutiny could cause our customers to limit their use of DTC advertising, which could have a material adverse effect on our business, financial condition and results of operations.</w:t>
      </w:r>
    </w:p>
    <w:p>
      <w:pPr>
        <w:pStyle w:val="TextBody"/>
        <w:bidi w:val="0"/>
        <w:spacing w:lineRule="auto" w:line="288" w:before="240" w:after="283"/>
        <w:jc w:val="both"/>
        <w:rPr/>
      </w:pPr>
      <w:r>
        <w:rPr>
          <w:rFonts w:ascii="Times New Roman;serif" w:hAnsi="Times New Roman;serif"/>
          <w:b w:val="false"/>
          <w:color w:val="000000"/>
          <w:sz w:val="20"/>
        </w:rPr>
        <w:t xml:space="preserve">Additionally, in its June 2024 decision in </w:t>
      </w:r>
      <w:r>
        <w:rPr>
          <w:rFonts w:ascii="Times New Roman;serif" w:hAnsi="Times New Roman;serif"/>
          <w:b w:val="false"/>
          <w:i/>
          <w:color w:val="000000"/>
          <w:sz w:val="20"/>
        </w:rPr>
        <w:t xml:space="preserve">Loper Bright Enterprises v. Raimondo </w:t>
      </w:r>
      <w:r>
        <w:rPr>
          <w:rFonts w:ascii="Times New Roman;serif" w:hAnsi="Times New Roman;serif"/>
          <w:b w:val="false"/>
          <w:color w:val="000000"/>
          <w:sz w:val="20"/>
        </w:rPr>
        <w:t xml:space="preserve">(the “Loper decision”), the U.S. Supreme Court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applicable to our customers’ operations, including those issued by the FDA, HHS, and the U.S. Federal Trade Commission. Additionally, the Loper decision may result in increased regulatory uncertainty, inconsistent judicial interpretations and other impacts to the agency rule-making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cannot predict which additional measures may be adopted or the impact of current and additional measures on our business, or our customers’ businesses, which could have a significant impact on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our customers’ drug prices are reduced as a result of MFN pricing initiatives or other similar regulations, our business could be adversely affected.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Executive Branch administration is pursuing policies to reduce regulations and expenditures across government including at HHS, which include the FDA and Center for Medicare &amp; Medicaid Services (“CMS”), and related agencies. In May 2025, the Executive Branch administration issued an Executive Order that, among other things, required HHS, within 30 days, to establish and communicate to drug manufacturers Most Favored Nation (“MFN”) price targets designed to bring drug prices for American patients in line with those in comparably developed nations. If significant progress towards MFN pricing is not achieved, the Executive Order requires HHS to propose a rulemaking to implement MFN pricing. In December 2025, CMS issued proposed regulations to establish, under the Center for Medicare and Medicaid Innovation, two mandatory MFN demonstration models under Medicare Parts B and D, respectively. If these rules or other MFN pricing rules are finalized, they are likely to reduce prices of at least some drugs in the United States, if they are also sold in comparator countries.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the state level, legislatures are increasingly enacting legislation and implementing regulations designed to control pharmaceutical product pricing, including price or patient reimbursement constraints, discounts, restrictions on certain product access and marketing cost disclosure and transparency measures.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that additional federal and state healthcare reform measures will be adopted in the future. If our customers’ drug prices are reduced as a result of MFN pricing initiatives or other similar regulations, our business could be adversely affected by our customers reducing their marketing and advertising spend.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our customers, partners, and third-party providers fail to comply with the extensive and changing landscape of legal and regulatory requirements affecting the pharmaceutical and healthcare industries, they could face increased costs and/or penalties, which could lead to us losing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FDA, U.S. state licensure bodies, other healthcare regulators and other comparable agencies in other jurisdictions directly regulate many of the most critical business activities of our customers, partners, and third-party providers, including research and development for biotechnology and pharmaceutical development, and pharmaceutical advertising. States increasingly have been placing greater restrictions on the marketing and advertising practices of healthcare companies, particularly pharmaceutical companies.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Any failure to comply with applicable laws, rules and regulations may result in civil and/or criminal legal proceedings and lead to fines, damages, mandatory compliance programs and other sanctions and remedies that may materially affect the business, operations and reputations of our customers, partners and third-party providers which could adversely affect our business.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Intellectual Property and Technology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dependent, in part, on our intellectual property. If we are not able to protect our proprietary rights or if those rights are invalidated or circumvented, our business may be adversely affected.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dependent, in part, on our ability to innovate, and, as a result, we are reliant on our intellectual property. We generally protect our intellectual property through patents, trademarks, trade secrets, confidentiality and nondisclosure agreements and other measures, to the extent our budget permits. There can be no assurance that patents will be issued from pending applications that we have filed or that our patents will be sufficient to protect our key technology from misappropriation or falling into the public domain, nor can assurances be made that any of our patents, patent applications, trademarks or our other intellectual property or proprietary rights will not be challenged, invalidated or circumvented. In the event a competitor or other party successfully challenges our solutions,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which could have a material adverse effect on our business, operating results and financial condition. We cannot assure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we are unable to protect our proprietary rights, we may be at a disadvantage to others who do not incur the substantial time and expense we incur. Preventing unauthorized use or infringement of our intellectual property rights is inherently difficult. Moreover, it may be difficult or practically impossible to detect theft or unauthorized use of our intellectual property. Any of the foregoing could have a material adverse effect upon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Cybersecurity incidents could disrupt business operations, result in the loss of critical and confidential information, and adversely impact our reputation and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Global cybersecurity threats can range from uncoordinated individual attempts to gain unauthorized access to our information technology (“IT”) systems to sophisticated and targeted measures known as advanced persistent threats. While we employ extensive measures to prevent, detect, address and mitigate these threats (including access controls, insurance, vulnerability assessments, continuous monitoring of our IT networks and systems, maintenance of backup and protective systems and user training and education),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reputational damage, loss of customers, loss of income, litigation with customers and other parties, loss of trade secrets and other proprietary business data and increased cybersecurity protection and remediation costs, which in turn could adversely affect our competitiveness and results of operations. In addition, while we maintain insurance coverage, our insurance coverage for cyberattacks may not be sufficient to cover all the losses, liabilities and costs we may experience as a result of a cybersecurity incident, including any disruptions resulting from such an incident, or that applicable insurance will be available to us in the future on economically reasonable terms or at all.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cybersecurity incident could be caused by disasters, insiders (through inadvertence or with malicious intent) or malicious third parties using sophisticated, targeted methods, including hacking, fraud, phishing or other forms of deception. The techniques used by threat actors change frequently, are becoming increasingly diverse and sophisticated, and may be difficult to detect for long periods of time. Although we maintain information technology measures designed to protect the confidentiality, availability, and integrity of our information systems, and protect us against intellectual property theft, data breaches, and other cybersecurity incidents, such measures will require updates and improvements, and we cannot guarantee that such measures will be adequate to detect, prevent or mitigate cybersecurity threats or incidents. The implementation, maintenance, segregation and improvement of these information systems requires significant management time, support and cost. Moreover, there are inherent risks associated with developing, improving, expanding and updating current systems, including the disruption of our data management, procurement, finance, and sales and service processes. These risks may affect our ability to manage our data and adequately protect our intellectual property or achieve and maintain compliance with, or realize available benefits under, applicable laws, regulations and contracts. Moreover, our proprietary information, confidential information, intellectual property, or personal information that we hold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work with partners and third-party service providers or vendors that collect, store and process such data on our behalf and in connection with our services. There can be no assurance that any security measures that we or our third-party service providers or vendors have implemented will be fully executed, adhered to, or effective in protecting our systems and information, including against current or future cybersecurity threats. While we have designed and developed systems and processes to protect the availability, integrity, and confidentiality of our data and information, as well as those of our customers, website visitors, employees, and others, the security measures of our third-party service providers or vendors could fail and result in security incidents, including unauthorized access to, or disclosure, acquisition, encryption, modification, misuse, loss, destruction or other compromise of such data. If a compromise of such data were to occur, we may have liability under our contracts with other parties and under applicable law for damages and incur penalties and other costs to respond to, investigate and remedy such an incident. Laws require us to provide notice to customers, regulators, credit reporting agencies or others when certain sensitive information has been compromised as a result of a security breach. There are significant differences between the laws of the U.S. and other jurisdictions, and as a result compliance in the event of a widespread data breach could be complicated and costly. Such an event could harm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reputation and result in litigation against us. Any of these results could materially adversely affect our business, prospects, financial condition and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be unable to support our technology to further scale our operations successfully.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plan is to grow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solutions, services and operations, then the quality of our services, our ability to retain key personnel and our business could be harmed.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business will suffer if our network systems fail or become unavailable.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reduction in the performance, reliability and availability of our network infrastructure would harm our ability to distribute our solutions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solutions or an increase in response time could result in a loss of potential customers, which could have a material adverse effect on our business, financial condition and results of operations. If we suffer sustained or repeated interruptions, then our solutions and services could be less attractive to our users and our business would be materially harmed.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use of AI technology in our operations and IT infrastructure could improve internal processes, but could pose security risks and privacy risks; the use of AI technology also faces regulatory uncertainty and scrutiny given that AI technology is rapidly growing and evolving.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increased efficiency through adoption and use of AI, machine learning, and similar tools and technologies that collect, aggregate, analyze or generate data or other materials or content, and we expect to continue to adopt such tools as appropriate. In addition, we expect our third-party vendors and service providers to increasingly develop and incorporate AI into their product offerings.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we anticipate that we will continue to research and implement other potential AI-based technology solutions to both mitigate risk and increase automation in our environment, it is possible that bad actors and/or competitors will leverage AI solutions more effectively to either exploit vulnerabilities or take market share. Either outcome could negatively impact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aware that generative AI tools may respond with inaccurate or fabricated information, introduce bias, or fail to provide traceability of source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intellectual property risks associated with AI include uncertainties around the ownership of AI-generated works, potential infringement of existing patents and copyrights, unauthorized use of third-party data, and exposure of proprietary algorithms or trade secrets. If we fail to secure or maintain protection for the intellectual property rights in technologies developed using AI, or later have our intellectual property rights invalidated or otherwise diminished, our competitors may be able to take advantage of our research and development efforts to develop competing products or services, which could adversely affect our business, reputation, financial condition, or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Dependence on AI systems or AI vendors means that any downtime or outages can disrupt business operations. Usage of our confidential data to train the AI models by us or our vendors could result in legal risk, especially if it involves customer data or our proprietary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are significant and evolving risks involved in utilizing AI, and no assurance can be provided that our, our third-party vendors’ or service providers’ use of AI will enhance our, our third-party vendors’ or service providers’ products or services, or produce the intended results. The adoption and incorporation of such AI tools can lead to concerns around safety and soundness, fair treatment of consumers, and compliance with applicable laws and regulations. Moreover, the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or adoption of AI and machine learning in our technology may expose us to breach of a data or software license, website terms of service claims, claimed violations of privacy rights, or other tort claims. AI solutions may also be adversely impacted by unforeseen defects, technical challenges, cyberattacks, cybersecurity breaches, service outages, or other similar incidents, or material performance issues.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new laws and regulations, or the interpretation of existing laws and regulations, in any of the jurisdictions in which we operate may affect our use of AI technology and expose us to government enforcement or civil lawsuits. For example, certain states such as California, Colorado, and Utah have recently passed laws regulating the use of AI technology, which impose additional operational burdens and may require us to modify our product offerings that utilize AI technology in order to comply with these laws. Federal regulators have also issued guidance affecting the use of AI technology in regulated sectors. The current Executive Branch administration has endorsed a federal moratorium on the enforcement of certain state AI laws, including through a December 11, 2025 executive order on “Ensuring a National Policy Framework for Artificial Intelligence.” To date, these efforts have not resulted in federal preemption of state action on AI regulation, contributing to a complicated legislative patchwork, which may be litigated in state and federal courts.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European Union (“EU”)’s Artificial Intelligence Act (“AI Act”), the world’s first comprehensive AI law, entered into force on August 1, 2024, and most provisions of the legislation are scheduled to become effective on August 2, 2026. The AI Act, which may be amended or further clarified as part of the EU’s Digital Omnibus or related legislative initiatives, imposes significant obligations on providers and deployers of certain high-risk AI systems and encourages providers and deployers of AI systems to account for EU ethical principles in their development and use of these systems.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these legislative trends to continue, and we may be required to devote significant attention and resources to address the frequently changing regulatory requirements, including by ensuring higher standards of data quality, transparency, and human oversight, as well as adhering to specific and potentially burdensome and costly ethical, accountability, and administrative requirements. As the legal and regulatory framework relating to the use of AI technology continues to change, there may be an increase in our operational and development expenses that could impact our ability to utilize certain AI technology.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the use of AI technology becomes more prevalent, we anticipate that it will continue to present new legal, reputational, technical, operational, ethical, competitive, and regulatory issues. We expect that our incorporation of AI technology in our business will require additional resources, including the incurrence of additional costs, to develop and maintain our products, services, and features to minimize potentially harmful, unintended or other adverse consequences, to comply with existing and new laws and regulations, to maintain or extend our competitive position, and to address any legal, reputational, technical, operational, ethical, competitive, and regulatory issues that may arise as a result of any of the foregoing. Our vendors may also incorporate AI technology tools into their offerings, and the providers of these AI technology tools may not meet existing or rapidly evolving regulatory or industry standards, including with respect to privacy and data security. Bad actors around the world are also using increasingly sophisticated methods, including the use of AI technology, to engage in illegal activities involving the theft and misuse of personal information, confidential information, and intellectual property. Additionally, our competitors or other third parties may incorporate AI technology into their products more quickly or more successfully than us, which could impair our ability to compete effectively. As a result, the challenges presented with our use of AI technology may result in the loss of valuable property and information, cause us to breach applicable laws and regulations, and adversely affect our business, financial condition, and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Furthermore, because AI technology itself is highly complex and rapidly developing, it is not possible to predict all the legal, operational or technological risks that may arise relating to the use of AI. We expect that our use of AI will require additional resources, including incurring additional costs to develop and maintain our products and solutions,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contrast to the generative AI productivity tools described above, we develop and sell our proprietary DAAP that utilizes machine learning. There is risk that the market, our customers, and regulators may confuse our machine learning technology with unrelated generative AI products and agentic AI products that are more controversial or that are differently regulated, which could cause reputational harm.</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Related to Managing Our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unable to manage growth, our operations could be adversely affected.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ability to manage growth effectively will depend on our ability to improve and expand operations, including our financial and management information systems, and to recruit, train and manage personnel. There can be no assurance that management will be able to manage growth effectively. To manage growth effectively, we will be required to continue to implement and improve our operating and financial systems and controls to expand, train and manage our employee base. Our ability to manage our operations and growth effectively will require us to continue to expend funds to enhance our operational, financial and management controls, reporting systems and procedures, and to attract and retain sufficient talented personnel.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we do not properly manage the growth of our business, we may experience significant strains on our management and operations and disruptions in our business. Various risks arise when companies grow too quickly. If our business grows too quickly, our ability to meet customer demand in a timely and efficient manner could be challenged. We may also experience development delays as we seek to meet increased demand for our solutions.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not be able to identify suitable acquisition candidates, complete acquisitions or integrate acquisitions successfully.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not be able to identify suitable acquisition candidates, complete acquisitions, or integrate acquisitions successfully. We may seek additional acquisition opportunities, both to further diversify our business and to penetrate or expand important product offerings or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 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Difficulties encountered with acquisitions could have a material adverse impact on our business.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acquisition activities may disrupt our ongoing business and may involve increased expenses, and we may not realize the financial and strategic goals contemplated at the time of a transaction.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acquired, and may in the future acquire, companies, businesses, products, services and technologies. Acquisitions involve significant risks and uncertainties, including:</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ongoing business may be disrupted, an acquisition may involve increased expenses, and our management's attention may be diverted by acquisition, transition, or integration activities;</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we may not further our business strategy as we expected;</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we may not </w:t>
      </w:r>
      <w:r>
        <w:rPr>
          <w:rFonts w:ascii="Times New Roman;serif" w:hAnsi="Times New Roman;serif"/>
          <w:b w:val="false"/>
          <w:color w:val="000000"/>
          <w:sz w:val="20"/>
        </w:rPr>
        <w:t>realize anticipated synergies or other anticipated benefits of an acquisition or such synergies or benefits may take longer than anticipated to be realized;</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we may overpay for our investments, or otherwise not realize the financial returns contemplated at the time of the acquisition;</w:t>
      </w:r>
      <w:r>
        <w:rPr>
          <w:color w:val="000000"/>
        </w:rPr>
        <w:t xml:space="preserve"> </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rPr>
        <w:t xml:space="preserve">integration with </w:t>
      </w:r>
      <w:r>
        <w:rPr>
          <w:rFonts w:ascii="Times New Roman;serif" w:hAnsi="Times New Roman;serif"/>
          <w:b w:val="false"/>
          <w:color w:val="000000"/>
          <w:sz w:val="20"/>
          <w:shd w:fill="FFFFFF" w:val="clear"/>
        </w:rPr>
        <w:t xml:space="preserve">acquired operations or technology </w:t>
      </w:r>
      <w:r>
        <w:rPr>
          <w:rFonts w:ascii="Times New Roman;serif" w:hAnsi="Times New Roman;serif"/>
          <w:b w:val="false"/>
          <w:color w:val="000000"/>
          <w:sz w:val="20"/>
        </w:rPr>
        <w:t xml:space="preserve">may be more costly or difficult than expected and </w:t>
      </w:r>
      <w:r>
        <w:rPr>
          <w:rFonts w:ascii="Times New Roman;serif" w:hAnsi="Times New Roman;serif"/>
          <w:b w:val="false"/>
          <w:color w:val="000000"/>
          <w:sz w:val="20"/>
          <w:shd w:fill="FFFFFF" w:val="clear"/>
        </w:rPr>
        <w:t>such integration may not be successful;</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we may be unable to retain the key employees, customers and other channel partners of the acquired operation;</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we may not realize the anticipated increases in our revenues from an acquisition; and</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use of cash to pay for acquisitions may limit other potential uses of our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Inflation, Interest Rates, and Other Adverse Economic Conditions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rate increases may adversely affect our financial condition and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our Term Loan are at variable rates of interest and expose us to interest rate risk. If interest rates increase, our debt service obligations on the variable rate indebtedness will increase even though the amount borrowed remains the same. As a result, our cash flows, including cash available for servicing our indebtedness, will correspondingly decrease. A one-percentage-point increase in the interest rates on outstanding borrowings under our Term Loan would have increased our interest expense by approximately $292 for the year ended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could be subject to economic, political, regulatory and other risks arising from our international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Operating in international markets requires significant resources and management attention and will subject us to regulatory, economic and political risks that may be different from, and incremental to, those in the United States. In addition to the risks that we face in the United States, our international operations in Croatia, may involve risks that could adversely affect our business,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difficulties and costs associated with staffing and managing foreign operations;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natural or man-made disasters, political, social and economic instability, including wars, terrorism and political unrest, outbreak of disease, boycotts, curtailment of trade, and other business restrictions;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compliance with United States laws, such as the Foreign Corrupt Practices Act, export controls and economic sanctions, and local laws prohibiting corrupt payments to government officials;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unexpected changes in regulatory requirements;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less favorable foreign intellectual property laws;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adverse tax consequences such as those related to repatriation of cash from foreign jurisdictions into the United States, non-income related taxes such as value-added tax or other indirect taxes, changes in tax laws or their interpretations, or the application of judgment in determining our global provision for income taxes and other tax liabilities given inter-company transactions and calculations where the ultimate tax determination is uncertain;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fluctuations in currency exchange rates, which could impact expenses of our international operations and expose us to foreign currency exchange rate risk;</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profit repatriation and other restrictions on the transfer of funds;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differing payment processing systems as well as use and acceptance of electronic payment methods, such as payment cards;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new and different sources of competition;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different and more stringent user protection, data protection, privacy and other laws.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failure to manage any of these risks successfully could harm our international operations and our overall business, as well as results of our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Inflation, the current interest rate environment, and other adverse economic conditions may adversely affect our business,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global economic downturns and macroeconomic trends, including heightened inflation, capital market volatility, interest rate fluctuations, tariffs, and economic slowdown or recession, may result in unfavorable conditions that could negatively affect demand for our products and solutions and exacerbate some of the other risks that affect our business, financial condition and results of operations. Domestic markets experienced significant inflationary pressures in 2024, and although inflationary pressures decreased to an extent in 2025, no assurance can be provided that such pressures will not increase again in the near or long term. Threats of multinational tariffs and retaliatory tariffs provide uncertainty as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heightened inflation in the domestic markets in the next twelve months. In an inflationary environment, we may experience increases in the prices of labor and other costs of doing business. Additionally, cost increases may outpace our expectations, causing us to use our cash and other liquid assets faster than forecasted. If we are unable to successfully manage the effects of inflation, our business, operating results, cash flows and financial condition may be adversely affected. The occurrence or perception of an economic slowdown or recession, or of a further increase in inflation, may have a negative impact on the global economy and may reduce customer demand for our products and services.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macroeconomic effects such as changes in interest rates, potential tariffs, and other measures taken by central banks and other policy makers could have a negative effect on overall economic activity that could reduce our customers’ demand for our products and services. Changing interest rates may have unpredictable effects on markets, may result in heightened market volatility and may detract from our performance to the extent we are exposed to such interest rates and/or volatility. An adjustment in rates would impact our variable rate debt. If interest rates increase or remain elevated, we could face higher debt service requirements, which would adversely affect our cash flow and could adversely impact our results of operations. If we are unable to generate sufficient cash flow to service our debt or to fund our other liquidity needs, we could need to restructure or refinance all or a portion of our debt. Any refinancing of indebtedness could be at higher interest rates, thereby resulting in an overall increase in interest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Adverse changes in demand could impact our business, collection of accounts receivable and our expected cash flow generation, which may adversely impact our financial condition and results of operations.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Impairment charges for goodwill or other long-lived assets may need to be recognized, lose a major customer or experience changes to the regulatory environment affecting pharmaceutical advertising restricting the use of our technology.</w:t>
      </w:r>
    </w:p>
    <w:p>
      <w:pPr>
        <w:pStyle w:val="TextBody"/>
        <w:bidi w:val="0"/>
        <w:spacing w:lineRule="auto" w:line="288" w:before="240" w:after="283"/>
        <w:jc w:val="both"/>
        <w:rPr/>
      </w:pPr>
      <w:r>
        <w:rPr>
          <w:rFonts w:ascii="Times New Roman;serif" w:hAnsi="Times New Roman;serif"/>
          <w:b w:val="false"/>
          <w:color w:val="000000"/>
          <w:sz w:val="20"/>
          <w:shd w:fill="FFFFFF" w:val="clear"/>
        </w:rPr>
        <w:t>Annually, we evaluate goodwill and long-lived assets to determine if impairment has occurred. Additionally, interim reviews are performed whenever events or changes to the business could indicate possible impairment. The future occurrence of a potential indicator of impairment could include matters such as (i) a decrease in expected net earnings, (ii) adverse equity market conditions, (iii) a decline in current market multiples, (iv) a decline in our common stock price, (v) a significant adverse change in legal factors or the general business climate, and (vi) an adverse action or assessment by a regulator. Any future impairment of our goodwill or long-lived assets could require us to record an impairment charge, which would negatively impact our results of operations. An impairment could be recorded as a result of changes in assumptions, estimates or circumstances, some of which are beyond our control. Since a number of factors may influence determinations of fair value, we are unable to predict whether impairments of goodwill and other long-lived assets will occur in the future, and we can provide no assurance that continued conditions will not result in future impairments of these assets. For example, i</w:t>
      </w:r>
      <w:r>
        <w:rPr>
          <w:rFonts w:ascii="Times New Roman;serif" w:hAnsi="Times New Roman;serif"/>
          <w:b w:val="false"/>
          <w:color w:val="000000"/>
          <w:sz w:val="20"/>
        </w:rPr>
        <w:t>n 2023, the Company licensed certain technology to a customer under a two year agreement. Upon receiving notice that the contract would not be renewed in 2025, and as the Company no longer utilizes the underlying technology, the patents and tradenames associated with this technology were determined to be fully impaired. Accordingly, an impairment charge of $368 was recorded and included in impairment charges within the consolidated statements of operations for the year ended December 31, 2025.</w:t>
      </w:r>
      <w:r>
        <w:rPr>
          <w:color w:val="000000"/>
          <w:shd w:fill="FFFFFF" w:val="clear"/>
        </w:rPr>
        <w:t xml:space="preserve"> </w:t>
      </w:r>
      <w:r>
        <w:rPr>
          <w:rFonts w:ascii="Times New Roman;serif" w:hAnsi="Times New Roman;serif"/>
          <w:b w:val="false"/>
          <w:color w:val="000000"/>
          <w:sz w:val="20"/>
          <w:shd w:fill="FFFFFF" w:val="clear"/>
        </w:rPr>
        <w:t xml:space="preserve">See Part II, Item 7. </w:t>
      </w:r>
      <w:r>
        <w:rPr>
          <w:color w:val="000000"/>
        </w:rPr>
        <w:t>“</w:t>
      </w:r>
      <w:r>
        <w:rPr>
          <w:rFonts w:ascii="Times New Roman;serif" w:hAnsi="Times New Roman;serif"/>
          <w:b w:val="false"/>
          <w:color w:val="000000"/>
          <w:sz w:val="20"/>
        </w:rPr>
        <w:t xml:space="preserve">Management’s Discussion and Analysis of Financial Condition and Results of Operations - Results of Operation of the Years Ended December 31, 2025 and </w:t>
      </w:r>
      <w:r>
        <w:rPr>
          <w:rFonts w:ascii="Times New Roman;serif" w:hAnsi="Times New Roman;serif"/>
          <w:b w:val="false"/>
          <w:color w:val="000000"/>
          <w:sz w:val="20"/>
          <w:shd w:fill="FFFFFF" w:val="clear"/>
        </w:rPr>
        <w:t>2024</w:t>
      </w:r>
      <w:r>
        <w:rPr>
          <w:color w:val="000000"/>
        </w:rPr>
        <w:t xml:space="preserve"> </w:t>
      </w:r>
      <w:r>
        <w:rPr>
          <w:rFonts w:ascii="Times New Roman;serif" w:hAnsi="Times New Roman;serif"/>
          <w:b w:val="false"/>
          <w:color w:val="000000"/>
          <w:sz w:val="20"/>
        </w:rPr>
        <w:t>- Operating Expenses.”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Market conditions could adversely change and our earnings could decline resulting in charges to impair intangible assets, such as goodwill.</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a result of our various acquisitions, the consolidated balance sheet at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contains goodwill of approximately </w:t>
      </w:r>
      <w:r>
        <w:rPr>
          <w:rFonts w:ascii="Times New Roman;serif" w:hAnsi="Times New Roman;serif"/>
          <w:b w:val="false"/>
          <w:color w:val="000000"/>
          <w:sz w:val="20"/>
        </w:rPr>
        <w:t xml:space="preserve">$70,869 </w:t>
      </w:r>
      <w:r>
        <w:rPr>
          <w:rFonts w:ascii="Times New Roman;serif" w:hAnsi="Times New Roman;serif"/>
          <w:b w:val="false"/>
          <w:color w:val="000000"/>
          <w:sz w:val="20"/>
          <w:shd w:fill="FFFFFF" w:val="clear"/>
        </w:rPr>
        <w:t xml:space="preserve">and intangible assets, net of approximately </w:t>
      </w:r>
      <w:r>
        <w:rPr>
          <w:rFonts w:ascii="Times New Roman;serif" w:hAnsi="Times New Roman;serif"/>
          <w:b w:val="false"/>
          <w:color w:val="000000"/>
          <w:sz w:val="20"/>
        </w:rPr>
        <w:t>$40,796</w:t>
      </w:r>
      <w:r>
        <w:rPr>
          <w:rFonts w:ascii="Times New Roman;serif" w:hAnsi="Times New Roman;serif"/>
          <w:b w:val="false"/>
          <w:color w:val="000000"/>
          <w:sz w:val="20"/>
          <w:shd w:fill="FFFFFF" w:val="clear"/>
        </w:rPr>
        <w:t>. We evaluate on an ongoing basis whether facts and circumstances indicate any impairment to the carrying value of indefinite-lived intangible assets such as goodwill. As circumstances</w:t>
      </w:r>
      <w:r>
        <w:rPr>
          <w:color w:val="000000"/>
        </w:rPr>
        <w:t xml:space="preserve"> </w:t>
      </w:r>
      <w:r>
        <w:rPr>
          <w:rFonts w:ascii="Times New Roman;serif" w:hAnsi="Times New Roman;serif"/>
          <w:b w:val="false"/>
          <w:color w:val="000000"/>
          <w:sz w:val="20"/>
          <w:shd w:fill="FFFFFF" w:val="clear"/>
        </w:rPr>
        <w:t xml:space="preserve">after an acquisition can change, we may not realize </w:t>
      </w: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value of these intangible assets.</w:t>
      </w:r>
      <w:r>
        <w:rPr>
          <w:color w:val="000000"/>
          <w:shd w:fill="FFFFFF" w:val="clear"/>
        </w:rPr>
        <w:t xml:space="preserve"> </w:t>
      </w:r>
      <w:r>
        <w:rPr>
          <w:rFonts w:ascii="Times New Roman;serif" w:hAnsi="Times New Roman;serif"/>
          <w:b w:val="false"/>
          <w:color w:val="000000"/>
          <w:sz w:val="20"/>
          <w:shd w:fill="FFFFFF" w:val="clear"/>
        </w:rPr>
        <w:t xml:space="preserve">During the years ended </w:t>
      </w:r>
      <w:r>
        <w:rPr>
          <w:rFonts w:ascii="Times New Roman;serif" w:hAnsi="Times New Roman;serif"/>
          <w:b w:val="false"/>
          <w:color w:val="000000"/>
          <w:sz w:val="20"/>
        </w:rPr>
        <w:t xml:space="preserve">December 31, 2025 and </w:t>
      </w:r>
      <w:r>
        <w:rPr>
          <w:rFonts w:ascii="Times New Roman;serif" w:hAnsi="Times New Roman;serif"/>
          <w:b w:val="false"/>
          <w:color w:val="000000"/>
          <w:sz w:val="20"/>
          <w:shd w:fill="FFFFFF" w:val="clear"/>
        </w:rPr>
        <w:t xml:space="preserve">2024, we recorded impairment charges, related to goodwill, of approximately </w:t>
      </w:r>
      <w:r>
        <w:rPr>
          <w:rFonts w:ascii="Times New Roman;serif" w:hAnsi="Times New Roman;serif"/>
          <w:b w:val="false"/>
          <w:color w:val="000000"/>
          <w:sz w:val="20"/>
        </w:rPr>
        <w:t>$0</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$7,489, respectively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Company recorded impairment charges of $368 and $0 against the value of our intangible assets during the years ended December 31, 2025 and 2024, respectively. </w:t>
      </w:r>
      <w:r>
        <w:rPr>
          <w:rFonts w:ascii="Times New Roman;serif" w:hAnsi="Times New Roman;serif"/>
          <w:b w:val="false"/>
          <w:color w:val="000000"/>
          <w:sz w:val="20"/>
          <w:shd w:fill="FFFFFF" w:val="clear"/>
        </w:rPr>
        <w:t xml:space="preserve">Any future impairment charges related to our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 long-lived assets could require us to record additional impairment charges, which would negatively impact our results of operations.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Geopolitical events may affect our business and our customer base and have a material adverse impact on our sales and operating results.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results of operations may be affected by the conditions in the global capital markets and the economy generally, both in the U.S. and elsewhere in the world. The ongoing conflict between Russia and Ukraine have caused uncertainty in the credit markets and could cause our customers and potential customers to postpone or reduce spending on technology products or services or put downward pressure on prices, which could have an adverse effect on our business.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 Risk Factors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business and growth may suffer if we are unable to attract and retain members of our senior management team and other key employees.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success has been largely dependent on the skills, experience and efforts of our senior management team and key employees and the loss of the services of any of our senior management team or other key employees, without a properly executed transition plan, could have an adverse effect on us. The loss of any member of our senior management team or any of our other key employees could damage critical customer relationships, result in the loss of vital knowledge, experience and expertise, lead to an increase in recruitment and training costs, and make it more difficult to successfully operate our business and execute our business strategy. We may not be able to find qualified potential replacements for these individuals and the integration of potential replacements may be disruptive to our business. Furthermore, our business also depends on our ability to attract and retain qualified management, sales and technical personnel. However, competition for these types of employees is intense due to the limited number of qualified professionals with expertise in our industry. Our ability to meet our business development objectives will depend in part on our ability to recruit, train, incentivize, and retain top quality people with advanced skills who understand our industry, technology, and business. Our compensation arrangements, including our equity award programs, are essential to retaining our senior management team and other key employees, but may not always be successful in attracting new employees or retaining and motivating our existing key employees for reasons that may include movement in our stock price or our ability to maintain or increase our equity pool. If we are unable to engage, incentivize, and retain the necessary personnel, our business may be materially and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The impact and effects of public health crises, pandemics and epidemics could have a material adverse effect on our business, prospects, financial condition, and operating results. </w:t>
      </w:r>
    </w:p>
    <w:p>
      <w:pPr>
        <w:pStyle w:val="TextBody"/>
        <w:bidi w:val="0"/>
        <w:spacing w:lineRule="auto" w:line="288" w:before="240" w:after="283"/>
        <w:jc w:val="both"/>
        <w:rPr/>
      </w:pPr>
      <w:r>
        <w:rPr>
          <w:rFonts w:ascii="Times New Roman;serif" w:hAnsi="Times New Roman;serif"/>
          <w:b w:val="false"/>
          <w:color w:val="000000"/>
          <w:sz w:val="20"/>
        </w:rPr>
        <w:t xml:space="preserve">The actual or perceived effects of an epidemic, pandemic, or similar widespread public health concern could negatively affect our business, financial condition, and result of operations. The extent to which a pandemic, epidemic or outbreak of an infectious disease impacts our operations will depend on future occurrences, which are highly uncertain and cannot be predicted with confidence, including the duration of any outbreak and the actions to contain or treat its impact, among others. We are prepared to take steps to modify our business practices and mitigate the impact of the emergence and spread of new variants and resurgences, or another pandemic or epidemic; however, there can be no assurance that such steps will be successful, or that our business operations, or the operations of our customers </w:t>
      </w:r>
      <w:r>
        <w:rPr>
          <w:rFonts w:ascii="Times New Roman;serif" w:hAnsi="Times New Roman;serif"/>
          <w:b w:val="false"/>
          <w:color w:val="000000"/>
          <w:sz w:val="20"/>
          <w:shd w:fill="FFFFFF" w:val="clear"/>
        </w:rPr>
        <w:t xml:space="preserve">or partners </w:t>
      </w:r>
      <w:r>
        <w:rPr>
          <w:rFonts w:ascii="Times New Roman;serif" w:hAnsi="Times New Roman;serif"/>
          <w:b w:val="false"/>
          <w:color w:val="000000"/>
          <w:sz w:val="20"/>
        </w:rPr>
        <w:t>will not be materially and adversely affected by the consequences of such pandemic or epidemic, which could materially impact our results of operations, cash flows, and financial condition.</w:t>
      </w:r>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Relating to Our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a market for our common stock is not maintained, shareholders may be unable to sell their shares.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common stock is traded under the symbol “OPRX” on the Nasdaq Capital Market. We do not currently have a consistent active trading market. There can be no assurance that a consistent active and liquid trading market will develop or, if developed, that it will be sustained.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Historically, our securities have been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market price of our common stock may be highly volatile and could fluctuate widely in price in response to various factors, many of which are beyond our control.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stock price is subject to a number of factors, many of which are out of our control,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Factors generally affecting the broader life-sciences, pharmaceutical, and digital marketing industries;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Technological innovations or new solutions and services by us or our competitors;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Government regulation of our solutions and services;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establishment of partnerships with other healthcare companies;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Intellectual property disputes;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Consolidation within the life sciences and pharmaceutical industries leading to fewer potential clients for our products and services;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Sales of our common stock;</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Trading volume of our common stock;</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execute our business plan;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Operating results below or exceeding expectations;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operating and financial performance and prospects;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Loss or addition of any strategic relationship;</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General financial, domestic, international, economic, industry and other market trends or conditions;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Period-to-period fluctuations in our financial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stock price fluctuated widely in 2025, and may continue to fluctuate widely, as a result of any of the above. In addition, the securities markets have from time-to-time experienced significant price and volume fluctuations that are unrelated to the operating performance of particular companies. These market fluctuations may also materially and adversely affect the market price or liquidity of our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do not expect to pay dividends in the foreseeable future and any return on investment may be limited to the value of our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We currently intend to retain all available funds and future earnings, if any, to fund our future growth and do not expect to declare or pay any dividend on shares of our common stock in the foreseeable future. As a result, the success of an investment in our common stock may depend entirely upon any future appreciation in its value. There is no guarantee that our common stock will appreciate in value or even maintain the price at which it is purchased.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Certain provision of our articles of incorporation, bylaws and Nevada law may discourage takeover attempts and business combinations that shareholders might consider in their best interests.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Nevada corporation. Anti-takeover provisions in Nevada law, our articles of incorporation, and Fourth Amended and Restated Bylaws (our “bylaws”) could make it more difficult for a third-party to acquire control of us. These provisions could adversely affect the market price of the common stock and could reduce the amount that shareholders might receive if the Company is sold. For example, our articles of incorporation provide that the Board may issue, without shareholder approval, preferred stock in one or more series, with such voting power, full or limited, or without voting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powers and with such designations, preferences and relative, participating, optional or other special rights, qualifications, limitations or restrictions thereof, as shall be stated and expressed in the resolution or resolutions providing for the issue thereof adopted by the Board. Such a series of preferred stock could be designated in connection with the adoption by the Board of a shareholder rights plan. Pursuant to the provisions of Nevada Revised Statutes (“NRS”) §78.195(5), Nevada corporations are generally permitted to adopt shareholder rights plans without shareholder approval. In addition, our bylaws require shareholders to provide proper and timely advance notice of their intent to bring director nominations or other business before an annual meeting of shareholders, provide that the Company’s secretary is only required to call shareholder requested special meetings upon the written request of shareholders who together own of record not less than 50.1% of the capital stock of the Company issued and outstanding and entitled to vote at such meeting, shareholders cannot act by written consent and that directors may be removed by shareholders only with the approval of the holders of not less than two-thirds of the voting power of the issued and outstanding stock entitled to vote at an annual or special meeting of the shareholders.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Nevada has a business combination law (NRS §78.411 through §78.444, inclusive) which prohibits certain business combinations between certain Nevada corporations and any person deemed to be an “interested stockholders” for two years after the “interested stockholder” first becomes an “interested stockholder,” unless the Board approves the combination in advance or thereafter by both the Board and 60% of the disinterested stockholders. For purposes of Nevada law, an “interested stockholder” is any person who is (i) the beneficial owner, directly or indirectly, of ten percent or more of the voting power of the outstanding voting shares of the corporation, or (ii) an affiliate or associate of the corporation and at any time within the two previous years was the beneficial owner, directly or indirectly, of ten percent or more of the voting power of the then outstanding shares of the corporation. The definition of the term “business combination” is sufficiently broad to cover virtually any kind of transaction that would allow a potential acquirer to use the corporation’s assets to finance the acquisition or otherwise to benefit its own interests rather than the interests of the corporation and its other stockholders. This law generally applies to Nevada corporations with 200 or more stockholders of record. The effect of Nevada’s business combination law is to potentially discourage parties interested in taking control of us from doing so if it cannot obtain the approval of the Board. Pursuant to NRS 78.434, a Nevada corporation may elect in its articles of incorporation not to be governed by these particular laws, but if such election is not made in the corporation’s original articles of incorporation, the amendment (1) must be approved by the affirmative vote of the holders of stock representing a majority of the outstanding voting power of the corporation not beneficially owned by interested stockholders or their affiliates and associates, and (2) is not effective until 18 months after the vote approving the amendment and does not apply to any combination with a person who first became an interested stockholder on or before the effective date of the amendment. We have not made such an election in our original articles of incorporation, and we have not amended our articles of incorporation to so elect. The NRS also contains provisions governing the acquisition of a controlling interest in certain Nevada corporations. Nevada’s “acquisition of controlling interest” statutes (NRS §78.378 through §78.3793, inclusive) govern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will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Nevada law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Actions of activist stockholders could be disruptive and costly and could adversely affect our results of operations, financial condition, and/or share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we strive to maintain constructive communications with our stockholders, we may, from time to time, be subject to demands from activist stockholders. Any activist campaign against the Company that contests, conflicts with, or seeks to change, the Board composition, leadership, strategic direction, or business mix could have an adverse effect on us because: (i) responding to actions by activist stockholders could disrupt our operations, be costly or time-consuming, or divert the attention of the Board and senior management from their regular duties, which could adversely affect our results of operations or financial condition; (ii) perceived uncertainties as to our future direction, including as a result of possible changes to the composition of the Board, may lead to the perception of a change in the direction of the business or lack of continuity, any of which may be exploited by our competitors, cause concern to our customers, employees, and/or business partners and result in the loss of potential business opportunities, or make it more difficult to attract and retain qualified personnel and business partners, and may adversely affect our relationships with vendors, customers, business partners, and other third parties; (iii) these types of actions could cause significant fluctuations in our share price based on temporary or speculative market perceptions or other factors that do not necessarily reflect the underlying fundamentals and prospects of our business; and (iv) if individuals are elected to the Board with a specific agenda, it may adversely affect our ability to effectively implement our business strategy and create additional value for our stockholders.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Being a Public Company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identified a material weakness in our internal control over financial reporting. Failure to remediate the material weakness or any other material weaknesses that we identify in the future could result in material misstatements in our future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Section 404 of the Sarbanes-Oxley Act of 2002, as amended,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pStyle w:val="TextBody"/>
        <w:bidi w:val="0"/>
        <w:spacing w:lineRule="auto" w:line="288" w:before="240" w:after="283"/>
        <w:jc w:val="both"/>
        <w:rPr/>
      </w:pPr>
      <w:r>
        <w:rPr>
          <w:rFonts w:ascii="Times New Roman;serif" w:hAnsi="Times New Roman;serif"/>
          <w:b w:val="false"/>
          <w:color w:val="000000"/>
          <w:sz w:val="20"/>
        </w:rPr>
        <w:t xml:space="preserve">The Company has identified a material weakness in the Company’s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t>
      </w:r>
      <w:r>
        <w:rPr>
          <w:rFonts w:ascii="Times New Roman;serif" w:hAnsi="Times New Roman;serif"/>
          <w:b w:val="false"/>
          <w:color w:val="000000"/>
          <w:sz w:val="20"/>
          <w:shd w:fill="FFFFFF" w:val="clear"/>
        </w:rPr>
        <w:t>To address such material weakness in the Company’s internal control over financial reporting, the Company performed additional analyses and other procedures to prepare the audited consolidated financial statements in accordance with generally accepted accounting principles (</w:t>
      </w:r>
      <w:r>
        <w:rPr>
          <w:color w:val="000000"/>
        </w:rPr>
        <w:t>“</w:t>
      </w:r>
      <w:r>
        <w:rPr>
          <w:rFonts w:ascii="Times New Roman;serif" w:hAnsi="Times New Roman;serif"/>
          <w:b w:val="false"/>
          <w:color w:val="000000"/>
          <w:sz w:val="20"/>
          <w:shd w:fill="FFFFFF" w:val="clear"/>
        </w:rPr>
        <w:t>GAAP</w:t>
      </w:r>
      <w:r>
        <w:rPr>
          <w:color w:val="000000"/>
        </w:rPr>
        <w:t>”</w:t>
      </w:r>
      <w:r>
        <w:rPr>
          <w:rFonts w:ascii="Times New Roman;serif" w:hAnsi="Times New Roman;serif"/>
          <w:b w:val="false"/>
          <w:color w:val="000000"/>
          <w:sz w:val="20"/>
          <w:shd w:fill="FFFFFF" w:val="clear"/>
        </w:rPr>
        <w:t xml:space="preserve">). Accordingly, management believes that the consolidated financial statements included in this Annual Report on Form 10-K fairly present, in all material respects, our financial condition, results of operations and cash flows for the periods presented. </w:t>
      </w:r>
      <w:r>
        <w:rPr>
          <w:rFonts w:ascii="Times New Roman;serif" w:hAnsi="Times New Roman;serif"/>
          <w:b w:val="false"/>
          <w:color w:val="000000"/>
          <w:sz w:val="20"/>
        </w:rPr>
        <w:t>For further discussion of the material weaknesses, see Item 9A,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cannot provide assurance that we have identified all, or that we will not in the future have additional, material weaknesses in our internal control over financial reporting. As a result, we may be required to implement further remedial measures and to design enhanced processes and controls to address deficiencies. If we do not effectively remediate the material weakness identified by management and maintain adequate internal controls over financial reporting in the future, we may not be able to prepare reliable financial reports and comply with our reporting obligations under the Exchange Act on a timely basis. Any such delays in the preparation of financial reports and the filing of our periodic reports may result in a loss of public confidence in the reliability of our financial statements, which, in turn, could materially adversely affect our business, the market value of our common stock and our access to capital markets.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Conflicting views on environmental, social and governance matters may have a negative impact on our business, impose additional costs on us, and expose us to additional risks.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stakeholders have pressured companies on initiatives relating to environmental, social and governance (“ESG”) matters, including environmental stewardship, social responsibility, and corporate governance. Organizations that provide information to investors on corporate governance and related matters have developed ratings processes for evaluating companies on their approach to ESG matters, which in turn, are used by some investors to inform their investment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voting decisions. Any failure, or perceived failure, by us to achieve our goals, further our initiatives, adhere to our public statements, comply with federal, state or international ESG laws and regulations, or meet evolving and varied stakeholder expectations and standards could result in reputational harm, loss of investor confidence, legal and regulatory proceedings against us and materially affect our business, reputation, results of operations, financial condition and stock price.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recent years, “anti-ESG” sentiment has gained momentum across the United States, with several states and the federal government having proposed or enacted anti-ESG policies, legislation or initiatives, or issued related legal opinions. Additionally, the current Executive Branch administration’s initiatives and executive actions surrounding ESG and diversity, equity, and inclusion matters (“DEI”) may conflict with our stakeholder initiatives on such matters, which may cause us to experience conflicts between governmental regulations and stakeholder expectations which could impose additional costs on our business and negatively impact investor sentiment. The current Executive Branch administration also recently issued an executive order opposing DEI initiatives in the private sector. Such anti-ESG and anti-DEI-related policies, legislation, initiatives, litigation, legal opinions and scrutiny could result in us facing additional compliance obligations, becoming the subject of investigations, enforcement actions or litigation, sustaining reputational harm, and/or requiring certain investors to divest, or discouraging certain investors from investing in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Risk Management and Strategy</w:t>
      </w:r>
    </w:p>
    <w:p>
      <w:pPr>
        <w:pStyle w:val="TextBody"/>
        <w:bidi w:val="0"/>
        <w:spacing w:lineRule="auto" w:line="288" w:before="240" w:after="283"/>
        <w:jc w:val="both"/>
        <w:rPr/>
      </w:pPr>
      <w:r>
        <w:rPr>
          <w:rFonts w:ascii="Times New Roman;serif" w:hAnsi="Times New Roman;serif"/>
          <w:b w:val="false"/>
          <w:color w:val="000000"/>
          <w:sz w:val="20"/>
        </w:rPr>
        <w:t>Our information security and risk management program is designed to identify, assess, and manage material risks from cybersecurity threats to our applications, computer networks, third-party hosted services, communications systems, hardware and software, and our critical data, including intellectual property, confidential information that is proprietary, strategic or competitive in nature, personal information, or PHI (collectively, “Information Systems”).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information security program’s basis is a comprehensive set of policies and procedures covering various information security domains (collectively, “Information Security Policy”), including, but not limited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Access control,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Endpoint protection,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Third-party oversight,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Education, training, and awareness,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Network security,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Risk management,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Incident response,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Business continuity and disaster recovery,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Data protection and privacy,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 security domains.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risk management process is based on a standard methodology, and risks are identified based 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Annual risk assessments,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Information on past incidents,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Internal audits,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Security penetration tests,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Other security assessments.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risks are documented in a central Risk Register and tracked for mitigation and other treatment decisions.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information security program is audited annually against a well-known security framework, by an accredited third-party via the SOC 2 assessment, which covers the trust services criteria of security, confidentiality, privacy, and accessibility.</w:t>
      </w:r>
    </w:p>
    <w:p>
      <w:pPr>
        <w:pStyle w:val="TextBody"/>
        <w:bidi w:val="0"/>
        <w:spacing w:lineRule="auto" w:line="288" w:before="240" w:after="283"/>
        <w:jc w:val="both"/>
        <w:rPr/>
      </w:pPr>
      <w:r>
        <w:rPr>
          <w:rFonts w:ascii="Times New Roman;serif" w:hAnsi="Times New Roman;serif"/>
          <w:b w:val="false"/>
          <w:color w:val="000000"/>
          <w:sz w:val="20"/>
        </w:rPr>
        <w:t>Our external audits and assessments identify and evaluate material risks from cybersecurity threats against our overall business objectives on a periodic basis and form the basis of internal reports, which are shared with the management team, the Audit Committee of the Board (“Audit Committee”), and the Board to evaluate our overall enterprise risk.</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incident response program consists of an Incident Response Plan document and a cross-functional Incident Response Team, which are defined in our Information Security Policies. All workforce members are trained on incident reporting procedures, and there is a single point of contact for reporting all incidents. Incident response training is conducted annually, followed by a tabletop exercise. Our Incident Response Plan instructs personnel on how to notify our Incident Response Team in case of an incident. Our Vice President (“VP”) of Information Security is the point person for incident responses and coordinates mitigation and remediation of cybersecurity incidents. We log all incidents and response plans for purposes of internal documentation. We report critical incidents to the management team, the Audit Committee, and the Board.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VP of Information Security is responsible for implementing the Information Security Policy on a day-to-day basis along with the Security Committee (as defined in the Information Security Policy), which includes the heads of the following departments, at a minimum: Information Security, Technology, Compliance, Product Management, Internal Audit, and Legal.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use third-party service providers to perform a variety of functions throughout our business, including, but not limited to infrastructure support and maintenance, customer relationship management, contract management, product development, data hosting, and miscellaneous finance and accounting projects. We assess our vendors with respect to cybersecurity risk according to the services provided, the sensitivity of the Information Systems at issue, and the provider’s identity. In appropriate cases, we will seek enhanced contractual obligations or guarantees related to cybersecurity on the service provider. Vendor risk assessments are performed before each vendor is engaged, and annual reviews are conducted to ensure vendors continue to meet security requirements.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maintain technical errors and omissions insurance which includes a cyber incident endorsement of up to $20 million. This endorsement provides coverage for Network Security and Privacy, Privacy Regulation Proceeding, Privacy Event Expense Reimbursement, Extortion Demand Reimbursement, Data Restoration, Network Restoration, Business Interruption and System Failure. This coverage reimburses the most common costs for information security incidents, including attorney’s fees, consumer notification costs, and regulatory fines.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our knowledge, during 2025, there were no material cybersecurity incidents or threats that materially affected or are reasonably likely to materially affect the Company’s business strategy, results of operations, or financial condition.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more information on risks from cybersecurity threats that may materially affect the Company, see Item 1A. “Risk Factors”.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Board’s oversight function includes cybersecurity risk management. The Board has three members with skills and experience in information security and cybersecurity through their experience as current and former executives of digital technology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Board has tasked the Audit Committee with overseeing the Company’s cybersecurity risk management processes and determining which threats are likely to impact the Company’s strategy, business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its charter, the Audit Committee reviews the Company’s policies regarding information technology security and protection from cyber risks. In particular, the Audit Committee reviews with management the Company’s key IT Systems and evaluates the adequacy of the Company’s information security program, compliance, and controls.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cybersecurity risk assessment and management processes are implemented and maintained by our VP of Information Security, our Senior VP of Internal Controls, and the Security Committee. For strategic decisions regarding cybersecurity, our VP of Information Security consults with our Chief Technology Officer, our Chief Financial Officer, our Chief Legal Officer, and our VP of Compliance.</w:t>
      </w:r>
    </w:p>
    <w:p>
      <w:pPr>
        <w:pStyle w:val="TextBody"/>
        <w:bidi w:val="0"/>
        <w:spacing w:lineRule="auto" w:line="288" w:before="240" w:after="283"/>
        <w:jc w:val="both"/>
        <w:rPr/>
      </w:pPr>
      <w:r>
        <w:rPr>
          <w:rFonts w:ascii="Times New Roman;serif" w:hAnsi="Times New Roman;serif"/>
          <w:b w:val="false"/>
          <w:color w:val="000000"/>
          <w:sz w:val="20"/>
        </w:rPr>
        <w:t>Our VP of Information Security is responsible for hiring appropriate personnel, performing vendor risk assessments, and communicating information security priorities to relevant personnel, so that we can build cybersecurity risk considerations into our business practices. Our VP of Information Security also plans related budgets, designs cybersecurity processes, and reviews security assessments and related reports.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Currently, we do not own any real estate. As of December 31, 2025, we had operating leases for office space in four multi-tenant facilities. The leases include office spaces in Waltham, Massachusetts, Clarkston, Michigan, Scottsdale, Arizona, and Zagreb, Croatia. Our principal executive offices are located at 260 Charles Street, Waltham, Massachusetts 02453.</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lease in Waltham, Massachusetts expires July 31, 2026, and has a monthly rent with escalating payments of $5.8 to $6.8. The lease in Clarkston, Michigan expires November 30, 2027, and has a monthly rent of $2.5. The lease in Scottsdale, Arizona expires July 31, 2028, and has a monthly rent with escalating payments of $7.9 to $8.5. The lease in Zagreb, Croatia expires on June 30, 2028, but grants the tenant the option to terminate the lease with 30-day notice before each lease anniversary, and has a monthly rent of approximately $3.3.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From time to time, we may become involved in legal proceedings or be subject to claims arising in the ordinary course of our business. </w:t>
      </w:r>
      <w:r>
        <w:rPr>
          <w:rFonts w:ascii="Times New Roman;serif" w:hAnsi="Times New Roman;serif"/>
          <w:b w:val="false"/>
          <w:color w:val="000000"/>
          <w:sz w:val="20"/>
        </w:rPr>
        <w:t>We are currently not a party to any material legal or administrative proceedings, and we are not aware of any pending or threatened material legal or administrative proceedings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4.1 Information About Our Executive Officers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information sets forth the names, ages, and positions of our executive officers as of March 12, 2026.</w:t>
      </w:r>
    </w:p>
    <w:tbl>
      <w:tblPr>
        <w:tblW w:w="6248" w:type="dxa"/>
        <w:jc w:val="left"/>
        <w:tblInd w:w="0" w:type="dxa"/>
        <w:tblLayout w:type="fixed"/>
        <w:tblCellMar>
          <w:top w:w="28" w:type="dxa"/>
          <w:left w:w="28" w:type="dxa"/>
          <w:bottom w:w="28" w:type="dxa"/>
          <w:right w:w="28" w:type="dxa"/>
        </w:tblCellMar>
      </w:tblPr>
      <w:tblGrid>
        <w:gridCol w:w="656"/>
        <w:gridCol w:w="576"/>
        <w:gridCol w:w="582"/>
        <w:gridCol w:w="109"/>
        <w:gridCol w:w="109"/>
        <w:gridCol w:w="109"/>
        <w:gridCol w:w="145"/>
        <w:gridCol w:w="145"/>
        <w:gridCol w:w="146"/>
        <w:gridCol w:w="109"/>
        <w:gridCol w:w="109"/>
        <w:gridCol w:w="109"/>
        <w:gridCol w:w="978"/>
        <w:gridCol w:w="978"/>
        <w:gridCol w:w="1388"/>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Positions and Offices Held</w:t>
            </w:r>
          </w:p>
        </w:tc>
      </w:tr>
      <w:tr>
        <w:trPr/>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L. Silvestro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Marion Odence-Ford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Legal &amp; Administrative Officer</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&amp; Strategy Officer</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 Besch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Product &amp; Technology Officer</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Theresa Greco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Commercial Officer</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Brendan Merrell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Andrew D’Silva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Business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Set forth below is a brief description of the background and business experience of each of our current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Stephen L. Silvestro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Mr. Silvestro was appointed the Chief Executive Officer in March 2025, after having served as Interim Chief Executive Officer commencing in January 2025. He joined the Company as Chief Commercial Officer in April 2019 and has since served as President from October 2023 until his appointment as interim Chief Executive Officer. Prior to joining the Company, Mr. Silvestro was with CCH®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Marion Odence-Ford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Ms. Odence-Ford was named the Chief Legal &amp; Administrative Officer in August 2025. She joined the Company as General Counsel &amp; Chief Compliance Officer in February 2021 and was appointed the Chief Legal Officer &amp; Chief Human Resources Officer in January 2025, a position she held until her appointment as Chief Legal &amp; Administrative Officer. From April 2013 to June 2020, Ms. Odence-Ford was Vice President &amp; Deputy General Counsel at Decision Resources Group, a multi-national corporation that provides high value global data solutions, analytics and consulting services to pharmaceutical, biotech, medical device, healthcare provider and payer, and managed care companies. From November 2004 to November 2012, Ms. Odence-Ford was Vice President &amp; Associate General Counsel at CRA International, Inc. (d/b/a Charles River Associates), a global consulting firm that offers economic, financial, and strategic expertise to major law firms, corporations, accounting firms, and governments around the world. From May 2004 to November 2004, Ms. Odence-Ford was a member of the GTC Law Group, LLP, a law firm specializing in the business affairs of companies in the high tech and biotech industries. Prior to joining the GTC Law Group, Ms. Odence-Ford worked on the legal teams of Bank of America Corporation/Fleet Boston Financial Corporation from November 2002 to May 2004, and Akamai Technologies, Inc. from October 1999 to November 2002. Ms. Odence-Ford began her legal career in private practice at Mintz, Levin, Cohn, Ferris, Glovsky and Popeo, PC, where she advised public and private companies on corporate matters.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Edward Stelmakh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Mr. Stelmakh was named the Chief Financial &amp; Strategy Officer in August 2025. He joined the Company as Chief Financial Officer &amp; Chief Operations Officer in October 2021, a position he held until his appointment as Chief Financial &amp; Strategy Officer. Prior to joining the Company, Mr. Stelmakh served as Senior VP, Chief Financial Officer and Chief Operating Officer of Otsuka America Pharmaceuticals Inc. (“Otsuka”), a US division of a Japanese global healthcare enterprise, since April 2020. Previously, he held various positions at Otsuka including Senior Vice President and Chief Financial Officer (December 2017 – March 2020) and Vice President and Chief Financial Officer (December 2015 – November 2017). From March 2010 to December 2015, Mr. Stelmakh worked at Covance, a division of LabCorp, Inc., as Vice President, Finance, Clinical Development and Commercialization Services. Prior thereto, Mr. Stelmakh held a variety of positions of increasing responsibilities at Johnson &amp; Johnson, Sanofi-Aventis, Organon/Schering-Plough and Mylan.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Doug Besch</w:t>
      </w:r>
    </w:p>
    <w:p>
      <w:pPr>
        <w:pStyle w:val="TextBody"/>
        <w:bidi w:val="0"/>
        <w:spacing w:lineRule="auto" w:line="288" w:before="240" w:after="283"/>
        <w:jc w:val="both"/>
        <w:rPr/>
      </w:pPr>
      <w:r>
        <w:rPr>
          <w:rFonts w:ascii="Times New Roman;serif" w:hAnsi="Times New Roman;serif"/>
          <w:b w:val="false"/>
          <w:color w:val="000000"/>
          <w:sz w:val="20"/>
        </w:rPr>
        <w:t>Dr. Besch was named the Chief Product &amp; Technology Officer in January 2025. He joined the Company in May 2021 as Senior VP Product Strategy &amp; Innovation and became the Company’s Chief Product Officer in October 2022.</w:t>
      </w:r>
      <w:r>
        <w:rPr>
          <w:color w:val="000000"/>
        </w:rPr>
        <w:t xml:space="preserve"> </w:t>
      </w:r>
      <w:r>
        <w:rPr>
          <w:rFonts w:ascii="Times New Roman;serif" w:hAnsi="Times New Roman;serif"/>
          <w:b w:val="false"/>
          <w:color w:val="000000"/>
          <w:sz w:val="20"/>
        </w:rPr>
        <w:t>Prior to joining the Company, from January 2018 to May 2021, Dr. Besch was the Vice President over Payor and Market Access Solutions for Clarivate (previously Decision Resources Group (“DRG”)), a multi-national corporation that provides high value global data solutions, analytics and consulting services to pharmaceutical, biotech, medical device, healthcare provider and payer, and managed care companies.</w:t>
      </w:r>
      <w:r>
        <w:rPr>
          <w:color w:val="000000"/>
        </w:rPr>
        <w:t xml:space="preserve"> </w:t>
      </w:r>
      <w:r>
        <w:rPr>
          <w:rFonts w:ascii="Times New Roman;serif" w:hAnsi="Times New Roman;serif"/>
          <w:b w:val="false"/>
          <w:color w:val="000000"/>
          <w:sz w:val="20"/>
        </w:rPr>
        <w:t>Prior to Clarivate, from January 2012 to June 2017, Dr. Besch was a co-founder and the Chief Product Officer for Rx Savings Solutions, a company which helps</w:t>
      </w:r>
      <w:r>
        <w:rPr>
          <w:color w:val="000000"/>
          <w:shd w:fill="FFFFFF" w:val="clear"/>
        </w:rPr>
        <w:t xml:space="preserve"> </w:t>
      </w:r>
      <w:r>
        <w:rPr>
          <w:rFonts w:ascii="Times New Roman;serif" w:hAnsi="Times New Roman;serif"/>
          <w:b w:val="false"/>
          <w:color w:val="000000"/>
          <w:sz w:val="20"/>
          <w:shd w:fill="FFFFFF" w:val="clear"/>
        </w:rPr>
        <w:t xml:space="preserve">members and payers reduce prescription drug costs through a combination of clinical technology, transparency, member engagement and concierge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pPr>
      <w:r>
        <w:rPr>
          <w:rFonts w:ascii="Times New Roman;serif" w:hAnsi="Times New Roman;serif"/>
          <w:b w:val="false"/>
          <w:color w:val="000000"/>
          <w:sz w:val="20"/>
          <w:shd w:fill="FFFFFF" w:val="clear"/>
        </w:rPr>
        <w:t>support</w:t>
      </w:r>
      <w:r>
        <w:rPr>
          <w:rFonts w:ascii="Times New Roman;serif" w:hAnsi="Times New Roman;serif"/>
          <w:b w:val="false"/>
          <w:color w:val="000000"/>
          <w:sz w:val="20"/>
        </w:rPr>
        <w:t>. Prior to RxSavings Solutions, Dr. Besch practiced as a pharmacist for the Walgreens Boots Alliance corporation from 2007 through 2013.</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Theresa Greco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Ms. Greco joined the Company in October 2023 as the Company’s Chief Commercial Officer with the Company’s acquisition of Healthy Offers, Inc. (“Medicx Health”), where Ms. Greco served as its President from August 2022 through October 2023. Prior to joining Medicx Health, Ms. Greco was at Prognos Health, Inc., a healthcare data and analytics company, from August 2018 to January 2022 as its Chief Commercial Officer where she led all aspects of product strategy, marketing, sales, and customer delivery. Prior to Prognos, Ms. Greco held the Chief Commercial Officer position at MediSpend, a global technology company focused on life sciences compliance solutions. From August 2010 through August 2017, Ms. Greco was with LexisNexis Healthcare through their acquisition of Health Market Science, where she held a variety of progressive executive positions including in Customer Success, Product Strategy, Commercial Strategy, and Sales that contributed to revenue growth and profitability that yielded a successful exit. Ms. Greco led the Life Sciences consulting group providing consultation and technology solutions to life sciences companies for master data management at Computer Sciences Corporation from April 2008 to August 2010. Prior to 2008, Ms. Greco held various positions at IQVIA and Pfizer.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Brendan Merrell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Mr. Merrell was named the Chief Operating Officer in August 2025. He joined the Company in February 2020 and has held various progressive senior management positions within commercial operations, including most recently serving as the Company's Senior VP, Client Strategy and Program Management from October 2023 through August 2025, Senior VP, Client Strategy from October 2021 through October 2023 and Senior VP, Patient Engagement from February 2020 through October 2021. Prior to joining the Company, from July 2011 through February 2020, Mr. Merrell was at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Head of Commercial Excellence.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Andrew D’Silva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Mr. D’Silva was appointed Chief Business Officer in August 2025. He joined the Company in September 2021 as Senior VP, Corporate Finance, overseeing financial planning and analysis and investor relations, a position he held until his appointment as Chief Business Officer. Since joining the Company, Mr. D’Silva has supported the Company’s merger and acquisition and other strategic activities in collaboration with senior leadership. Prior to joining the Company, from August 2016 through August 2021, Mr. D’Silva was a Senior Healthcare Research Analyst at B. Riley Securities, a full service, middle market investment bank and, from September 2012 through August 2016, he served as a Managing Director on the equity research team of Merriman Capital, Inc,, an investment banking firm. Mr. D’Silva began his career in the construction industry as a Project Manager, working closely with real estate development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Market for Registrant’s Common Equity and Related Stockholder Matters and Issuer Purchases of Equity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common stock is traded under the symbol “OPRX” on the Nasdaq Capital Market. At February 26, 2026, there were approximately 243 shareholders of record of our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future earnings for the operation of our business. We have never declared or paid cash dividends on our common stock, and we do not anticipate paying any cash dividends in the foreseeable future. Any payment of future dividends will be at the discretion of the Board and will depend upon, among other things, our earnings, financial condition, capital requirements, level of indebtedness, and other factors that the Board deems relevant.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information regarding our equity compensation plans, see PART III, 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14, 2023, we announced that our Board had authorized the repurchase of up to $15,000 of our outstanding common stock. Under this program, share repurchases may be made from time to time depending on market conditions, share price and availability and other factors at our discretion. No shares were repurchased under the program during 2024. This stock repurchase authorization expired on March 12,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5, 2026, the Company announced that its’ Board authorized the repurchase of up to $10,000 of the Company’s outstanding common stock. Under this new program, share repurchases may be made from time to time depending on market conditions, share price, share availability, and other factors at the Company’s discretion. This share repurchase authorization is effective on March 12, 2026 and expires on the earlier of March 15, 2027 or when the repurchase of $10,000 of shares has been reached.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OptimizeRx is a digital healthcare technology company that connects over two million HCPs and millions of their patients through an intelligent technology platform embedded within a proprietary omnichannel network. OptimizeRx helps life sciences organizations engage and support their customers through our combined HCP and DTC marketing strategies.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OptimizeRx has historically generated revenue by delivering messages to HCPs via their EHR systems and eRx platforms using our proprietary network of channel partners. We have gradually expanded our offerings to include audience development, audience creation, and media execution across different messaging types and media distribution channels.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Overall, we employ a “land and expand” strategy focused on growing our existing customer base and generating greater and more consistent revenues in part through a continued shift in our business model toward enterprise level engagements, while also broadening our platform with innovative proprietary virtual communication solutions such as our patented Micro-Neighborhood® Targeting and our AI-powered DAAP, which uses sophisticated machine learning algorithms to find the best audiences in the correct channels at the right time.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strategy for driving revenue growth is also expected to work in tandem with our efforts to increase margin and profitability as revenue drivers such as DAAP have inherently higher margins than most other messaging solutions we offer. In addition, by aiming to transition our DAAP customers to a more predictable subscription-based model for data services, we believe will further improve margins, increase visibility, and enhance the overall predictability of our revenue streams over time.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Customer Concentration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the pharmaceutical industry is dominated by large companies with multiple brands, our revenue is concentrated in a relatively small number of companies. We have over 100 pharmaceutical manufacturers as customers, and our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are concentrated in these customers. Our top five customers represented approximately 47% and 49% of our revenue for the years ended December 31, 2025 and 2024, respectively. In 2025 and 2024, we had three customers and two customers, respectively, that represented more than 10% of our revenues. Loss or a year over year reduction in sales of one of more of our larger customers, or a loss of one or more of any of the pharmaceutical brands that purchase our solutions, could have a material negative impact on our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general, the pharmaceutical brand marketing industry spends its advertising budget seasonally. Many pharmaceutical companies allocate the largest portion of their brand marketing to the fourth quarter of the calendar year. As a result, the first quarter tends to reflect lower activity levels and lower revenue, with gradual increases in the following quarters. We expect these seasonality trends to continue and our ability to effectively manage our resources in anticipation of these trends may affect our operating results.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Impact of Macroeconomic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Unfavorable conditions in the economy may negatively affect the growth of our business and our results of operations. For example, macroeconomic events including rising inflation and the U.S. Federal Reserve raising interest rates have led to economic uncertainty in the recent past, and threats of multinational tariffs and retaliatory tariffs provide uncertainty as to heightened inflation in the domestic markets in the next twelve months.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2024 revenue”. We previously used “The top 20 pharma companies by 2023 revenue”. As a result of this change, prior periods have been restated for comparative purposes.</w:t>
      </w:r>
    </w:p>
    <w:p>
      <w:pPr>
        <w:pStyle w:val="TextBody"/>
        <w:bidi w:val="0"/>
        <w:spacing w:lineRule="auto" w:line="288" w:before="240" w:after="283"/>
        <w:jc w:val="both"/>
        <w:rPr/>
      </w:pPr>
      <w:r>
        <w:rPr>
          <w:rFonts w:ascii="Times New Roman;serif" w:hAnsi="Times New Roman;serif"/>
          <w:b/>
          <w:color w:val="000000"/>
          <w:sz w:val="20"/>
        </w:rPr>
        <w:t xml:space="preserve">Average revenue per top 20 pharmaceutical manufacturers. </w:t>
      </w:r>
      <w:r>
        <w:rPr>
          <w:rFonts w:ascii="Times New Roman;serif" w:hAnsi="Times New Roman;serif"/>
          <w:b w:val="false"/>
          <w:color w:val="000000"/>
          <w:sz w:val="20"/>
        </w:rPr>
        <w:t>Average revenue per top 20 pharmaceutical manufacturer is calculated by taking the total revenue the company recognized through pharmaceutical manufacturers listed in Fierce Pharma’s “The top 20 pharma companies by 2024 revenue” over the last twelve months, divided by 20, representing the aforementioned pharmaceutical manufacturers highlighted on that list. The Company uses this metric to monitor its progress in “landing and expanding” with key customers within its largest customer vertical and believe it also provides investors with a transparent way to chart our progress in penetrating this important customer segment. The decrease in the average in 2025, as compared to 2024, is primarily the result of lower revenue in the overall top 20 client accounts, all of which are included in the average revenue per top 20 pharmaceutical manufacturer KPI calculation.</w:t>
      </w:r>
    </w:p>
    <w:tbl>
      <w:tblPr>
        <w:tblW w:w="8273" w:type="dxa"/>
        <w:jc w:val="left"/>
        <w:tblInd w:w="0" w:type="dxa"/>
        <w:tblLayout w:type="fixed"/>
        <w:tblCellMar>
          <w:top w:w="28" w:type="dxa"/>
          <w:left w:w="28" w:type="dxa"/>
          <w:bottom w:w="28" w:type="dxa"/>
          <w:right w:w="28" w:type="dxa"/>
        </w:tblCellMar>
      </w:tblPr>
      <w:tblGrid>
        <w:gridCol w:w="2185"/>
        <w:gridCol w:w="1920"/>
        <w:gridCol w:w="1924"/>
        <w:gridCol w:w="211"/>
        <w:gridCol w:w="616"/>
        <w:gridCol w:w="109"/>
        <w:gridCol w:w="109"/>
        <w:gridCol w:w="109"/>
        <w:gridCol w:w="109"/>
        <w:gridCol w:w="211"/>
        <w:gridCol w:w="616"/>
        <w:gridCol w:w="154"/>
      </w:tblGrid>
      <w:tr>
        <w:trPr/>
        <w:tc>
          <w:tcPr>
            <w:tcW w:w="218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Twelve Months Ended</w:t>
              <w:br/>
              <w:t>December 31</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revenue per top 20 pharmaceutical manufacturers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20"/>
        </w:rPr>
        <w:t>Percent of total revenue attributable to top 20 pharmaceutical manufacturers.</w:t>
      </w:r>
      <w:r>
        <w:rPr>
          <w:color w:val="000000"/>
        </w:rPr>
        <w:t xml:space="preserve"> </w:t>
      </w:r>
      <w:r>
        <w:rPr>
          <w:rFonts w:ascii="Times New Roman;serif" w:hAnsi="Times New Roman;serif"/>
          <w:b w:val="false"/>
          <w:color w:val="000000"/>
          <w:sz w:val="20"/>
        </w:rPr>
        <w:t xml:space="preserve">Percent of total revenue attributable to top 20 pharmaceutical manufacturers is calculated by taking the total revenue the company recognized through pharmaceutical manufacturers listed in Fierce Pharma’s “The top 20 pharma companies by 2024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This decrease in our percent of total revenue attributable to top 20 pharmaceutical manufacturers, in conjunction with the decrease in average revenue per top 20 pharmaceutical manufacturer discussed above, is due in part to a decrease in our activity with top 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pharmaceutical manufacturers as well as the onboarding and growth of other customers that are not top 20 pharmaceutical manufacturers.</w:t>
      </w:r>
    </w:p>
    <w:tbl>
      <w:tblPr>
        <w:tblW w:w="8368" w:type="dxa"/>
        <w:jc w:val="left"/>
        <w:tblInd w:w="0" w:type="dxa"/>
        <w:tblLayout w:type="fixed"/>
        <w:tblCellMar>
          <w:top w:w="28" w:type="dxa"/>
          <w:left w:w="28" w:type="dxa"/>
          <w:bottom w:w="28" w:type="dxa"/>
          <w:right w:w="28" w:type="dxa"/>
        </w:tblCellMar>
      </w:tblPr>
      <w:tblGrid>
        <w:gridCol w:w="2277"/>
        <w:gridCol w:w="2001"/>
        <w:gridCol w:w="2006"/>
        <w:gridCol w:w="206"/>
        <w:gridCol w:w="161"/>
        <w:gridCol w:w="400"/>
        <w:gridCol w:w="161"/>
        <w:gridCol w:w="161"/>
        <w:gridCol w:w="161"/>
        <w:gridCol w:w="206"/>
        <w:gridCol w:w="161"/>
        <w:gridCol w:w="467"/>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Twelve Months Ended</w:t>
              <w:br/>
              <w:t xml:space="preserve">December 31 </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total revenue attributable to top 20 pharmaceutical manufacturers</w:t>
            </w:r>
          </w:p>
        </w:tc>
        <w:tc>
          <w:tcPr>
            <w:tcW w:w="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color w:val="000000"/>
          <w:sz w:val="20"/>
        </w:rPr>
        <w:t>Net revenue retention.</w:t>
      </w:r>
      <w:r>
        <w:rPr>
          <w:color w:val="000000"/>
        </w:rPr>
        <w:t xml:space="preserve"> </w:t>
      </w:r>
      <w:r>
        <w:rPr>
          <w:rFonts w:ascii="Times New Roman;serif" w:hAnsi="Times New Roman;serif"/>
          <w:b w:val="false"/>
          <w:color w:val="000000"/>
          <w:sz w:val="20"/>
        </w:rPr>
        <w:t>Net revenue retention is a comparison of revenue generated from all customers in the previous twelve-month period to total 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Net revenue retention declined in 2025 because the period ended December 31, 2025 did not include the inorganic benefit of the Medicx Health acquisition, while the comparable 2024 period benefited from its timing. The acquisition closed on October 12, 2023, resulting in the inclusion of Medicx Health revenue in the entire 2024 period but not in the full trailing twelve-month comparator period. Despite this, the Company achieved 116% net revenue retention driven by strong organic growth from existing customers.</w:t>
      </w:r>
    </w:p>
    <w:p>
      <w:pPr>
        <w:pStyle w:val="TextBody"/>
        <w:bidi w:val="0"/>
        <w:spacing w:before="0" w:after="0"/>
        <w:jc w:val="left"/>
        <w:rPr/>
      </w:pPr>
      <w:r>
        <w:rPr/>
      </w:r>
    </w:p>
    <w:tbl>
      <w:tblPr>
        <w:tblW w:w="4157" w:type="dxa"/>
        <w:jc w:val="left"/>
        <w:tblInd w:w="0" w:type="dxa"/>
        <w:tblLayout w:type="fixed"/>
        <w:tblCellMar>
          <w:top w:w="28" w:type="dxa"/>
          <w:left w:w="28" w:type="dxa"/>
          <w:bottom w:w="28" w:type="dxa"/>
          <w:right w:w="28" w:type="dxa"/>
        </w:tblCellMar>
      </w:tblPr>
      <w:tblGrid>
        <w:gridCol w:w="679"/>
        <w:gridCol w:w="596"/>
        <w:gridCol w:w="600"/>
        <w:gridCol w:w="266"/>
        <w:gridCol w:w="200"/>
        <w:gridCol w:w="400"/>
        <w:gridCol w:w="161"/>
        <w:gridCol w:w="161"/>
        <w:gridCol w:w="161"/>
        <w:gridCol w:w="266"/>
        <w:gridCol w:w="200"/>
        <w:gridCol w:w="467"/>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Twelve Months Ended</w:t>
              <w:br/>
              <w:t xml:space="preserve">December 31 </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retention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color w:val="000000"/>
          <w:sz w:val="20"/>
        </w:rPr>
        <w:t>Revenue per average full-time employee.</w:t>
      </w:r>
      <w:r>
        <w:rPr>
          <w:color w:val="000000"/>
        </w:rPr>
        <w:t xml:space="preserve"> </w:t>
      </w:r>
      <w:r>
        <w:rPr>
          <w:rFonts w:ascii="Times New Roman;serif" w:hAnsi="Times New Roman;serif"/>
          <w:b w:val="false"/>
          <w:color w:val="000000"/>
          <w:sz w:val="20"/>
        </w:rPr>
        <w:t>We define revenue per average full-time employee (“FTE”) as total revenue over the last twelve months 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increased year over year due to revenue growing at a higher rate than the average number of FTEs over the last 12 month period.</w:t>
      </w:r>
    </w:p>
    <w:tbl>
      <w:tblPr>
        <w:tblW w:w="6642" w:type="dxa"/>
        <w:jc w:val="left"/>
        <w:tblInd w:w="0" w:type="dxa"/>
        <w:tblLayout w:type="fixed"/>
        <w:tblCellMar>
          <w:top w:w="28" w:type="dxa"/>
          <w:left w:w="28" w:type="dxa"/>
          <w:bottom w:w="28" w:type="dxa"/>
          <w:right w:w="28" w:type="dxa"/>
        </w:tblCellMar>
      </w:tblPr>
      <w:tblGrid>
        <w:gridCol w:w="1665"/>
        <w:gridCol w:w="1465"/>
        <w:gridCol w:w="1475"/>
        <w:gridCol w:w="221"/>
        <w:gridCol w:w="489"/>
        <w:gridCol w:w="114"/>
        <w:gridCol w:w="114"/>
        <w:gridCol w:w="114"/>
        <w:gridCol w:w="114"/>
        <w:gridCol w:w="221"/>
        <w:gridCol w:w="489"/>
        <w:gridCol w:w="161"/>
      </w:tblGrid>
      <w:tr>
        <w:trPr/>
        <w:tc>
          <w:tcPr>
            <w:tcW w:w="16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Twelve Months Ended </w:t>
              <w:br/>
              <w:t>December 31</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average full-time employee (in thousands)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 for the Years Ended December 31, 2025 and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the dollar value and percentage of total return represented by certain items in our consolidated statements of operations (in thousands):</w:t>
      </w:r>
    </w:p>
    <w:tbl>
      <w:tblPr>
        <w:tblW w:w="8367" w:type="dxa"/>
        <w:jc w:val="left"/>
        <w:tblInd w:w="0" w:type="dxa"/>
        <w:tblLayout w:type="fixed"/>
        <w:tblCellMar>
          <w:top w:w="28" w:type="dxa"/>
          <w:left w:w="28" w:type="dxa"/>
          <w:bottom w:w="28" w:type="dxa"/>
          <w:right w:w="28" w:type="dxa"/>
        </w:tblCellMar>
      </w:tblPr>
      <w:tblGrid>
        <w:gridCol w:w="1431"/>
        <w:gridCol w:w="1262"/>
        <w:gridCol w:w="1266"/>
        <w:gridCol w:w="211"/>
        <w:gridCol w:w="826"/>
        <w:gridCol w:w="109"/>
        <w:gridCol w:w="308"/>
        <w:gridCol w:w="308"/>
        <w:gridCol w:w="271"/>
        <w:gridCol w:w="109"/>
        <w:gridCol w:w="109"/>
        <w:gridCol w:w="109"/>
        <w:gridCol w:w="211"/>
        <w:gridCol w:w="796"/>
        <w:gridCol w:w="109"/>
        <w:gridCol w:w="308"/>
        <w:gridCol w:w="308"/>
        <w:gridCol w:w="316"/>
      </w:tblGrid>
      <w:tr>
        <w:trPr/>
        <w:tc>
          <w:tcPr>
            <w:tcW w:w="143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36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Balances and percentage of total revenue information may not add due to rounding</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net revenue increased 19% to $109,429 for the year ended December 31, 2025 from $92,127 for the year ended December 31, 2024. The increase in net revenue was a result of the growth across all solutions, with the most significant drivers being DAAP and DTC related sales.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240" w:after="283"/>
        <w:jc w:val="both"/>
        <w:rPr/>
      </w:pPr>
      <w:r>
        <w:rPr>
          <w:rFonts w:ascii="Times New Roman;serif" w:hAnsi="Times New Roman;serif"/>
          <w:b w:val="false"/>
          <w:color w:val="000000"/>
          <w:sz w:val="20"/>
        </w:rPr>
        <w:t>Our total cost of revenues, composed primarily of revenue-share expense paid to our channel partners, increased for the year ended December 31, 2025 to $35,834</w:t>
      </w:r>
      <w:r>
        <w:rPr>
          <w:color w:val="000000"/>
        </w:rPr>
        <w:t xml:space="preserve"> </w:t>
      </w:r>
      <w:r>
        <w:rPr>
          <w:rFonts w:ascii="Times New Roman;serif" w:hAnsi="Times New Roman;serif"/>
          <w:b w:val="false"/>
          <w:color w:val="000000"/>
          <w:sz w:val="20"/>
        </w:rPr>
        <w:t>compared to $32,749 for the year ended December 31, 2024. Our cost of revenues as a percentage of revenue decreased to approximately 33% for the year ended December 31, 2025 from approximately 36% for the year ended December 31, 2024. This improvement in our cost of revenues as a percentage of revenue was primarily a result of solution and channel partner mix.</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gross margin, which is the difference between our revenues and our cost of revenues, divided by our revenues, increased for the year ended December 31, 2025 compared to the year ended December 31, 2024, primarily due to product and channel partner mix. Further, the increase in revenue year over year diluted the effect of certain fixed cost of revenues on gross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decreased to $61,902 for the year ended December 31, 2025 from $73,084 for the year ended December 31, 2024, a decrease of approximately 15%. The detail by major category is reflected in the table below (in thousands). </w:t>
      </w:r>
    </w:p>
    <w:tbl>
      <w:tblPr>
        <w:tblW w:w="6332" w:type="dxa"/>
        <w:jc w:val="left"/>
        <w:tblInd w:w="0" w:type="dxa"/>
        <w:tblLayout w:type="fixed"/>
        <w:tblCellMar>
          <w:top w:w="28" w:type="dxa"/>
          <w:left w:w="28" w:type="dxa"/>
          <w:bottom w:w="28" w:type="dxa"/>
          <w:right w:w="28" w:type="dxa"/>
        </w:tblCellMar>
      </w:tblPr>
      <w:tblGrid>
        <w:gridCol w:w="1262"/>
        <w:gridCol w:w="1106"/>
        <w:gridCol w:w="1112"/>
        <w:gridCol w:w="211"/>
        <w:gridCol w:w="721"/>
        <w:gridCol w:w="109"/>
        <w:gridCol w:w="308"/>
        <w:gridCol w:w="308"/>
        <w:gridCol w:w="109"/>
        <w:gridCol w:w="211"/>
        <w:gridCol w:w="721"/>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decreased to $6,962 for the year ended December 31, 2025 from $11,467 for the year ended December 31, 2024. The decrease in stock-based compensation expense primarily reflects changes in the Company’s stock price, which affects the grant-date fair value of awards. The Company’s stock price peaked in 2021, resulting in higher grant-date fair values for awards issued during that period. These higher-valued awards were generally amortized over a three-year vesting period, which concluded in 2024. In addition, stock-based compensation expense in the prior year included costs associated with awards granted to the former CEO, which were forfeited as of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remained consistent at $4,327 for the year ended December 31, 2025 from $4,329 for the year ended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impairment charges of $368 against the value of our intangible assets the year ended December 31, 2025, whereas the Company recorded goodwill impairment in the amount of $7,489 in the year ended December 31, 2024. In 2023, the Company licensed certain technology to a customer under a two-year agreement. Upon receiving notice that the contract would not be renewed in 2025, and as the Company no longer utilizes the underlying technology, the patents and tradenames associated with this technology were determined to be fully impaired. Accordingly, an impairment charge of $368 was recorded and included in impairment charges. The 2024 amount represented the excess of the book value of the Company’s equity over the estimated fair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Transaction related costs for the year ended December 31, 2024 arose due to the acquisition of Medicx Health.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 increased to $50,245 for the year ended December 31, 2025 from $49,556 for the year ended December 31, 2024. This increase is primarily a result of an increase in compensation expense. The increase reflects higher variable compensation tied to sales achievement and performance-based incentive plans aligned with our operating results. These increases were partially offset by cost savings realized across various expense categories as a result of ongoing efficiency initiatives.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was comprised of the following (in thousands):</w:t>
      </w:r>
    </w:p>
    <w:tbl>
      <w:tblPr>
        <w:tblW w:w="4433" w:type="dxa"/>
        <w:jc w:val="left"/>
        <w:tblInd w:w="0" w:type="dxa"/>
        <w:tblLayout w:type="fixed"/>
        <w:tblCellMar>
          <w:top w:w="28" w:type="dxa"/>
          <w:left w:w="28" w:type="dxa"/>
          <w:bottom w:w="28" w:type="dxa"/>
          <w:right w:w="28" w:type="dxa"/>
        </w:tblCellMar>
      </w:tblPr>
      <w:tblGrid>
        <w:gridCol w:w="737"/>
        <w:gridCol w:w="650"/>
        <w:gridCol w:w="652"/>
        <w:gridCol w:w="211"/>
        <w:gridCol w:w="691"/>
        <w:gridCol w:w="109"/>
        <w:gridCol w:w="109"/>
        <w:gridCol w:w="109"/>
        <w:gridCol w:w="109"/>
        <w:gridCol w:w="211"/>
        <w:gridCol w:w="691"/>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decreased to $5,294 for the year ended December 31, 2025 from $6,160 for the year ended December 31, 2024. Interest expense represents interest charges on our Term Loan, together with the amortization of the related issuance costs. The decrease is primarily a result of the decrease in the interest rate on the Term Loan and a lower average principal balance for the year ended December 31, 2025 as compared to the year ended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income slightly increased to $353 for the year ended December 31, 2025 from $329 for the year ended December 31, 2024. The variability in interest income is a result of the fluctuation in interest rates as the balance in the Company's money market account has remained consistent.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was $1,818, or an effective rate of 26.2%, for the year ended December 31, 2025 compared to an income tax expense of $725, or an effective rate of (3.7)%, for the year ended December 31, 2024. The utilization of previously reserved net operating losses reduced our tax rate for the year ended December 31, 2025. For further information, see Part II, Item 8. “Financial Statements; Note 15 — Income Taxes in the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Net income (loss)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had a net income of $5,132 for the year ended December 31, 2025 compared to a net loss of $20,110 for the year ended December 31, 2024. The reasons and specific components associated with the change are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our primary sources of liquidity have been cash receipts from customers and proceeds from equity offerings. In addition, on October 11, 2023, the Company entered into a Term Loan of $40,000 in order to partially fund the acquisition of Medicx Health. As of December 31, 2025, the total principal balance outstanding on the Term Loan was approximately $26,290 and we were in compliance with all of the financial covenants of the Term Loan. Subsequent to December 31, 2025, the maturity date of the Term Loan was extended to October 11, 2029.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total current assets of $64,715, compared with current liabilities of $21,264, resulting in working capital of $43,451 and a current ratio of 3.0 to 1. This compares with a working capital balance of $35,317 and a current ratio of 2.9 to 1 at December 31, 2024. This increase in working capital, as discussed in more detail below, is primarily the result of a $9,985 increase in our cash and cash equivalents.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funds generated from operations, together with existing cash, will be sufficient to finance our current operations and meet our obligations under the Term Loan for the next twelve (12) months. In addition, we believe we can generate the cash needed to operate beyond the next 12 months from operations. However, we may seek additional debt, equity financing, or lines of credit to supplement cash from operations to fund acquisitions or strategic partner relationships, make capital expenditures, and satisfy working capital needs. We currently have an effective shelf registration statement, which allows us to issue, from time to time, up to $75,000 of any combination of our common stock, preferred stock, debt securities, warrants, or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5, 2026, the Company announced that its’ Board authorized the repurchase of up to $10,000 of the Company’s outstanding common stock. Under this new program, share repurchases may be made from time to time depending on market conditions, share price, share availability, and other factors at the Company’s discretion. This share repurchase authorization is effective on March 12, 2026 and expires on the earlier of March 15, 2027 or when the repurchase of $10,000 of shares has been reached.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repurchase of shares will take place in open market transactions or privately negotiated transactions in accordance with applicable securities and other laws, including the Securities Exchange Act of 1934. The Company intends to finance the purchase using its available cash and cash equivalents. The Board may modify, suspend, extend or terminate the repurchase program at any time.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table with summary data from the consolidated statements of cash flows for the years ended December 31, 2025 and 2024, as presented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6668" w:type="dxa"/>
        <w:jc w:val="left"/>
        <w:tblInd w:w="0" w:type="dxa"/>
        <w:tblLayout w:type="fixed"/>
        <w:tblCellMar>
          <w:top w:w="28" w:type="dxa"/>
          <w:left w:w="28" w:type="dxa"/>
          <w:bottom w:w="28" w:type="dxa"/>
          <w:right w:w="28" w:type="dxa"/>
        </w:tblCellMar>
      </w:tblPr>
      <w:tblGrid>
        <w:gridCol w:w="1563"/>
        <w:gridCol w:w="1376"/>
        <w:gridCol w:w="1380"/>
        <w:gridCol w:w="211"/>
        <w:gridCol w:w="721"/>
        <w:gridCol w:w="109"/>
        <w:gridCol w:w="109"/>
        <w:gridCol w:w="109"/>
        <w:gridCol w:w="109"/>
        <w:gridCol w:w="211"/>
        <w:gridCol w:w="616"/>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Our operating activities provided $18,715 during the year ended December 31, 2025, compared with $4,889 during the year ended December 31, 2024. The net increase in net cash provided by operating activities was mainly attributable to a $25,243 increase in net income (loss). There was a 19% increase in revenue, increasing customer receipts while operating expenses remained relatively consistent. This was partially offset by a $7,120</w:t>
      </w:r>
      <w:r>
        <w:rPr>
          <w:color w:val="000000"/>
        </w:rPr>
        <w:t xml:space="preserve"> </w:t>
      </w:r>
      <w:r>
        <w:rPr>
          <w:rFonts w:ascii="Times New Roman;serif" w:hAnsi="Times New Roman;serif"/>
          <w:b w:val="false"/>
          <w:color w:val="000000"/>
          <w:sz w:val="20"/>
        </w:rPr>
        <w:t>decrease in noncash expense related to goodwill impairment and a $4,505 decrease in noncash expense related to stock 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Investing activities provided $68 during the year ended December 31, 2025, compared with investing activities used of $450 in the same period in 2024. The change in net cash provided by or used in investing activities was mainly attributed to a decrease in capitalization of internally developed software.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Financing activities used $8,798 during the year ended December 31, 2025, compared with $4,911 in the same period in 2024. The increase in net cash used for financing activities was primarily related to the repayment of long-term debt.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Term Loan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11, 2023, we entered into a Financing Agreement (the “Financing Agreement”) which provided for the $40,000 Term Loan.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outstanding principal amount of the Term Loan is repayable in quarterly installments on the last business day of each fiscal quarter, commencing on December 31, 2023, in an amount equal to 1.25% of the principal amount. The outstanding unpaid principal amount of the Term Loan, and all accrued and unpaid interest thereon, shall be due and payable on the earliest of (i) the fourth anniversary of the closing of the Financing Agreement and funding of the Term Loan and (ii) the date on which the Term Loan is declared due and payable pursuant to the terms of the Financing Agreement.  The Term Loan bears interest at a variable rate, which was 12.5% at December 31, 2025.</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We incurred debt issuance costs of approximately $2,300, in connection with this Term Loan and made repayments of approximately $8,000 and $4,000</w:t>
      </w:r>
      <w:r>
        <w:rPr>
          <w:color w:val="000000"/>
        </w:rPr>
        <w:t xml:space="preserve"> </w:t>
      </w:r>
      <w:r>
        <w:rPr>
          <w:rFonts w:ascii="Times New Roman;serif" w:hAnsi="Times New Roman;serif"/>
          <w:b w:val="false"/>
          <w:color w:val="000000"/>
          <w:sz w:val="20"/>
        </w:rPr>
        <w:t>for the years ended December 31, 2025 and 2024, respectively.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As of December 31, 2025, total obligations under the Term Loan were $26,290, with $4,255 of principal payments due over the next twelve months.</w:t>
      </w:r>
      <w:r>
        <w:rPr>
          <w:color w:val="000000"/>
        </w:rPr>
        <w:t xml:space="preserve"> </w:t>
      </w:r>
      <w:r>
        <w:rPr>
          <w:rFonts w:ascii="Times New Roman;serif" w:hAnsi="Times New Roman;serif"/>
          <w:b w:val="false"/>
          <w:color w:val="000000"/>
          <w:sz w:val="20"/>
        </w:rPr>
        <w:t>We are subject to market risks arising from changes in interest rates which relate primarily to the Term Loan, which is variable rate debt. We estimate our potential additional interest expense over the next twelve months that would result from a hypothetical, instantaneous and unfavorable change of 100 basis points in the interest rate on our Term Loan would be approximately $263 on a pre-tax basis. See Part II, Item 8. “Financials Statements and Supplementary Data; Note 12 - Long Term Debt for additional information regarding the Term Loan.”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Other Contractual Obligations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obligations under our operating leases for office space. Total obligations under short and long-term operating leases were $458, with $213 due over the next twelve months. For details regarding short and long-term operating lease liabilities, see Part II, Item 8. “Financial Statements and Supplementary Data; Note 13 – Leases in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obligations under our former employee severance agreements. As of December 31, 2025, total obligations under former employee severance agreements were $225 over the next twelve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Off Balance Sheet Arrangements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From time to time, the Company enters into arrangements with channel partners to acquire minimum amounts of media, data or messaging capabilities.</w:t>
      </w:r>
      <w:r>
        <w:rPr>
          <w:color w:val="000000"/>
        </w:rPr>
        <w:t xml:space="preserve"> </w:t>
      </w:r>
      <w:r>
        <w:rPr>
          <w:rFonts w:ascii="Times New Roman;serif" w:hAnsi="Times New Roman;serif"/>
          <w:b w:val="false"/>
          <w:color w:val="000000"/>
          <w:sz w:val="20"/>
        </w:rPr>
        <w:t xml:space="preserve">As of December 31, 2025, the Company had commitments with channel partners for future minimum payments of $29,761 that will be reflected in cost of revenues during the years from 2026 through 2030,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$13,536 due over the next twelve months. See Part II, Item 8. “Financial Statements and Supplementary Data; Note 16 – Commitments.”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the Consolidated Financial Statements, which have been prepared in accordance with U.S. generally accepted accounting principles. The preparation of these financial statements requires us to make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Part II, Item 8. “Financial Statements and Supplementary Data; Note 2 - Summary of Significant Accounting Policies”, for a discussion of significant accounting policies. Actual results may differ materially from these estimates due to different assumptions or conditions. The following areas all require the use of subjective or complex judgments, estimates and assumptions: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Recognition of revenue requires evidence of a contract, probable collection of proceeds, and completion of substantially all performance obligations. We use a 5-step model to recognize revenue: (1) identify the contract with a customer, (2) identify the performance obligations in the contract, (3) determine the transaction price, (4) allocate the transaction price to the performance obligations in the contract, and (5) recognize revenue when or as the performance obligations are satisfied.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 The Company also generates revenue through data subscriptions. Data subscriptions can be contracted on a stand-alone basis or as a complement to content delivery. Additional services include set up and reporting. We consider these services to be complimentary to the primary performance obligation and recognized through performance of delivery of content or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certain contracts which are satisfied at a point in time, primarily for consulting projects or NPI data target lists. For such contracts, we recognize revenue upon delivery of the related data, study or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contracts generally all have terms of less than one year and the primary performance obligation is delivery of messages, or our forms of content, but the contract may contain additional services.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year's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each of the years ended December 31, 2025 and 2024, there were two contracts with customers that included a rebate clause.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or as a flat fee occurring over a period of time,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contract. Should a program be cancelled before completion, the balance of set up revenue is recognized at the time of cancellation, as set up fees are nonrefundable. Additionally, the Company also recognizes revenue for providing program performance reporting and maintenance. This reporting revenue is recognized over time as the messages are delivered. Program design, which is the design of the content delivery program, and related consulting services are recognized as services are performed.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some instances, we license certain of our software applications in arrangements that do not include other performance obligations. In those instances, we record license revenue when the software is delivered for use to the licensee.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instances where our contracts include Software as a Service, the revenue is recognized over the subscription period as services are delivered to the customer.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some instances, the Company also resells messaging solutions that are available through channel partners that are complementary to the HCP marketing business and customer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In instances where we resell these messaging solutions and have all financial risk and significant operation input and risk, we record the revenue based on the gross amount sold and the amount paid to the channel partner as a cost of revenues.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Cost of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includes primarily revenue-share expense and data acquisition costs. Cost of revenues does not include depreciation and amortization which is listed separately on the consolidated statements of operations. Based on the volume of transactions that are delivered through a channel partner network, we provide a revenue-share to compensate the channel partner for its promotion of the campaign. Revenue-shares are a negotiated percentage of the transaction fees and can also be specific to special considerations and campaigns. In addition, we pay revenue-share to ConnectiveRx as a result of a 2014 legal settlement in an amount equal to the greater of 10% of financial messaging distribution revenues generated through our integrated network, or $0.37 per financial message distributed through our integrated network. As our solution mix has expanded and our revenues have grown, financial messaging has become a smaller percentage of our revenues and these payments to ConnectiveRx, a smaller portion of our revenue-share. The contractual amount due to the channel partners is recorded as an expense at the time the message is distributed. Data acquisition costs consist primarily of the costs to acquire data through flat-fee data licensing agreements. Data acquisition costs are amortized over the period for which we have access to the data.</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Intangible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are reviewed whenever events or changes in circumstances indicate that the related carrying amounts may not be recoverable. Impairment of assets with definite-lives is generally determined by comparing projected undiscounted cash flows expected to be generated by the asset, or asset groups, to its carrying value. If the carrying value of the long-lived asset or asset group is not recoverable on an undiscounted basis, an impairment is recognized to the extent fair value exceeds carrying value. Determining the extent of impairment, if any, typically requires various estimates and assumptions including cash flows directly attributable to the asset, the useful life of the asset and residual value, if any. When necessary, the Company uses internal cash flow estimates, quoted market prices and appraisals, as appropriate, to determine fair value. Actual results could vary from these estimates. In addition, the remaining useful life of the impaired asset is revised, if necessary.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impairment charges of $368 and $0 against the value of our intangible assets during the years ended December 31, 2025 and 2024,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Assets and liabilities of acquired businesses are measured at their estimated fair values at the dates of acquisition. The excess of the purchase price over the estimated fair value of the net assets acquired, including identified intangibles, is recorded as goodwill. The determination and allocation of fair value to the assets acquired and liabilities assumed is based on various assumptions and valuation methodologies requiring considerable management judgment, including estimates based on historical information, current market data and future expectations.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goodwill for impairment during our fiscal fourth quarter, or more frequently if an event occurs or circumstances change. Management performs its annual goodwill impairment test as of December 31. Goodwill is tested for impairment at the reporting unit level.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 entity is permitted to first assess qualitative factors to determine if a quantitative impairment test is necessary. If we choose to use qualitative factors and determine that it is more likely than not that the fair value of a reporting unit is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than its carrying amount, then the quantitative goodwill impairment test would be required. The goodwill impairment test requires the Company to estimate the fair value of the reporting unit and to compare the fair value of the reporting unit with its carrying amount.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estimating the reporting unit’s fair value, the Company performed a valuation analysis, utilizing a discounted cash flow income approach and a guideline public company market approach. We assigned a probability weighting to each approach of 50%. The determination of the fair value of the reporting unit requires the Company to make significant estimates and assumptions about the reporting unit’s expected future cash flows. These estimates and assumptions primarily include, but are not limited to, the discount rate, revenue growth rates, operating margins and multiples of earnings. These estimates and assumptions were determined in connection with support from a third-party valuation specialist. The discount rate used is based on the estimated weighted-average cost of capital for companies with profiles similar to our profile and based on an assessment of the risk inherent in those future cash flows. To forecast the reporting unit’s cash flows, the Company takes into consideration economic conditions and trends, historical results and recent performance, estimated future operating results, management’s and a market participant’s view of growth rates, management’s ability to execute on planned future strategic initiatives and anticipates future economic conditions. The market approach compares the valuation multiples of similar companies to that of the associated reporting unit. The Company then reconciles the calculated fair values to its market capitalization. The fair value is then compared to its carrying value including goodwill. If the fair value is in excess of its carrying value, the related goodwill is not impaired. If the fair value is less than carrying value, an impairment charge is recognized, equivalent to the amount that the carrying value exceeds the fair value.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our annual review determined there was no impairment as our single reporting unit had a fair value in excess of its carrying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2024, the Company experienced a Triggering Event due to a sustained decline in its stock price and overall market capitalization. Accordingly, the Company conducted a quantitative impairment test of its goodwill at September 30, 2024. The Company estimated the implied fair value of its goodwill using a combination of a market approach and income approach. A noncash charge of $7,489, representing the amount by which the Company’s book value exceeds its estimated fair value, was recorded as a goodwill impairment in the year ended December 31, 2024. The valuation was repeated as of December 31, 2024 and it was determined that the Company’s single reporting unit was exactly equal to its carrying value at December 31, 2024.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Assessment of the potential impairment </w:t>
      </w:r>
      <w:r>
        <w:rPr>
          <w:rFonts w:ascii="Times New Roman;serif" w:hAnsi="Times New Roman;serif"/>
          <w:b w:val="false"/>
          <w:color w:val="000000"/>
          <w:sz w:val="20"/>
        </w:rPr>
        <w:t>of</w:t>
      </w:r>
      <w:r>
        <w:rPr>
          <w:color w:val="000000"/>
          <w:shd w:fill="FFFFFF" w:val="clear"/>
        </w:rPr>
        <w:t xml:space="preserve"> </w:t>
      </w:r>
      <w:r>
        <w:rPr>
          <w:rFonts w:ascii="Times New Roman;serif" w:hAnsi="Times New Roman;serif"/>
          <w:b w:val="false"/>
          <w:color w:val="000000"/>
          <w:sz w:val="20"/>
          <w:shd w:fill="FFFFFF" w:val="clear"/>
        </w:rPr>
        <w:t>goodwill and intangible assets is an integral part of our normal ongoing review of operations. Testing for potential impairment of these assets is significantly dependent on numerous assumptions and reflects management</w:t>
      </w:r>
      <w:r>
        <w:rPr>
          <w:color w:val="000000"/>
        </w:rPr>
        <w:t>’</w:t>
      </w:r>
      <w:r>
        <w:rPr>
          <w:rFonts w:ascii="Times New Roman;serif" w:hAnsi="Times New Roman;serif"/>
          <w:b w:val="false"/>
          <w:color w:val="000000"/>
          <w:sz w:val="20"/>
          <w:shd w:fill="FFFFFF" w:val="clear"/>
        </w:rPr>
        <w:t xml:space="preserve">s best estimates at a particular point in time. Estimates based on these assumptions may differ significantly from actual results. Changes in factors and assumptions used in assessing potential impairments can have a significant impact on the existence and magnitude of impairments, as well as the time in which such impairments are recognized. </w:t>
      </w:r>
      <w:r>
        <w:rPr>
          <w:rFonts w:ascii="Times New Roman;serif" w:hAnsi="Times New Roman;serif"/>
          <w:b w:val="false"/>
          <w:color w:val="000000"/>
          <w:sz w:val="20"/>
        </w:rPr>
        <w:t xml:space="preserve">Any amount of negative change to the above disclosed key assumptions could result in future impairment to goodwill. </w:t>
      </w:r>
    </w:p>
    <w:p>
      <w:pPr>
        <w:pStyle w:val="TextBody"/>
        <w:bidi w:val="0"/>
        <w:spacing w:lineRule="auto" w:line="288"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impairment charges may be recognized in future periods to the extent changes in factors or circumstances occur, including deterioration in the macro-economic environment or in the equity markets, including a decline in the market value of the Company’s common shares, deterioration in its performance or its future projections, or changes in its plans for one or more reporting units.</w:t>
      </w:r>
    </w:p>
    <w:p>
      <w:pPr>
        <w:pStyle w:val="TextBody"/>
        <w:bidi w:val="0"/>
        <w:spacing w:lineRule="auto" w:line="288" w:before="240" w:after="240"/>
        <w:jc w:val="both"/>
        <w:rPr/>
      </w:pPr>
      <w:r>
        <w:rPr>
          <w:rFonts w:ascii="Times New Roman;serif" w:hAnsi="Times New Roman;serif"/>
          <w:b w:val="false"/>
          <w:color w:val="000000"/>
          <w:sz w:val="20"/>
          <w:u w:val="single"/>
          <w:shd w:fill="FFFFFF" w:val="clear"/>
        </w:rPr>
        <w:t>Stock-based Compen</w:t>
      </w:r>
      <w:r>
        <w:rPr>
          <w:rFonts w:ascii="Times New Roman;serif" w:hAnsi="Times New Roman;serif"/>
          <w:b w:val="false"/>
          <w:color w:val="000000"/>
          <w:sz w:val="20"/>
          <w:u w:val="single"/>
        </w:rPr>
        <w:t>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use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time-based options, fair value is estimated using the Black-Scholes option pricing model that uses the following assumptions. Estimated volatilities are based on the historical volatility of our stock over the same period as the expected term of the options. The expected term of options granted represents the period of time that options granted are expected to be outstanding. We use historical data to estimate option exercise behavior and to determine this term. The risk-free rate used is based on the U.S. Treasury yield curve in effect at the time of the grant using a time period equal to the expected option term. We have never paid dividends and do not expect to pay any dividends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Our stock options have characteristics significantly different from those of traded options, and changes in the subjective input assumptions could materially affect the fair value estimate.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restricted stock units, the fair value is based on the market value of the Company’s common stock on the date of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40" w:after="283"/>
        <w:jc w:val="both"/>
        <w:rPr/>
      </w:pPr>
      <w:r>
        <w:rPr>
          <w:rFonts w:ascii="Times New Roman;serif" w:hAnsi="Times New Roman;serif"/>
          <w:b w:val="false"/>
          <w:color w:val="000000"/>
          <w:sz w:val="20"/>
        </w:rPr>
        <w:t xml:space="preserve">In November 2023, the Financial Accounting Standards Board (“FASB”) issued ASU No. 2023-07 (“ASU 2023-07”),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rPr>
        <w:t>. ASU 2023-07 requires annual and interim disclosures that are expected to improve reportable segment disclosures, primarily through enhanced disclosures about significant segment expenses. The standard was effective for the Company’s fiscal year beginning January 1, 2024 and the Company elected to apply the standard prospectively. The requirements of this ASU are disclosure-related and the adoption of this standard did not have a material effect on our financial position, results of operations, or 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standard was effective for the Company’s fiscal year beginning January 1, 2025 and the Company elected to apply the standard prospectively. The requirements of this ASU are disclosure-related and the adoption of this standard did not have a material effect on our financial position, results of operations, or cash flows. See Part II, Item 8. “Financial Statements; Note 15 — Income Taxes in the Consolidated Financial Statements for additional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(“ASU 2024-03”), Income Statement - Reporting Comprehensive Income - Expense Disaggregation Disclosures (Subtopic 220-40).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(“ASU 2025-05”), ASU No. 2025-05, Financial Instruments – Credit Losses (Topic 326): Measurement of Credit Losses for Accounts Receivable and Contract Assets. ASU 2025-05 provides (1) all entities with a practical expedient and (2) entities other than public business entities, with an accounting policy election when estimating credit losses for current accounts receivable and current contract assets arising from transactions accounted for under Topic 606. If elected, this expedient removes the requirement, when estimating expected credit losses, to consider changes in forecasted macroeconomic conditions, such as changes in unemployment rates or gross domestic product growth. Instead, companies electing the expedient may assume that current conditions as of the balance sheet date will not change for the remaining life of the asset. This authoritative guidance is effective for annual periods beginning after December 15, 2025, and interim reporting periods within those annual reporting periods, with early adoption permitted. The Company adopted the practical expedient of ASU 2025-05 on October 1, 2025 and elected to apply the standard prospectively. The adoption had no material impact on its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(“ASU 2025-06”), ASU No. 2025-06, Intangibles—Goodwill and Other — Internal-Use Software (Subtopic 350-40): Targeted Improvements to the Accounting for Internal-Use Software. ASU 2025-06 updates the cost capitalization threshold for internal-use software development costs by removing all references to software project development stages and providing new guidance on how to evaluate whether the probable-to-complete recognition threshold has been met. This authoritative guidance is effective for annual periods beginning after December 15, 2027, and interim periods within those annual reporting periods. The Company is currently evaluating the effect of this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7A. Quantitative and Qualitative Disclosures About Market Risk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of the Exchange Act and are not required to provide the information otherwise required under this Item 7A.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Index to Financial Statements Required by Article 8 of Regulation S-X:</w:t>
      </w:r>
    </w:p>
    <w:tbl>
      <w:tblPr>
        <w:tblW w:w="9571" w:type="dxa"/>
        <w:jc w:val="left"/>
        <w:tblInd w:w="0" w:type="dxa"/>
        <w:tblLayout w:type="fixed"/>
        <w:tblCellMar>
          <w:top w:w="28" w:type="dxa"/>
          <w:left w:w="28" w:type="dxa"/>
          <w:bottom w:w="28" w:type="dxa"/>
          <w:right w:w="28" w:type="dxa"/>
        </w:tblCellMar>
      </w:tblPr>
      <w:tblGrid>
        <w:gridCol w:w="467"/>
        <w:gridCol w:w="412"/>
        <w:gridCol w:w="412"/>
        <w:gridCol w:w="2422"/>
        <w:gridCol w:w="2422"/>
        <w:gridCol w:w="3436"/>
      </w:tblGrid>
      <w:tr>
        <w:trPr/>
        <w:tc>
          <w:tcPr>
            <w:tcW w:w="46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957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Audited Financial Statements:</w:t>
            </w:r>
          </w:p>
        </w:tc>
      </w:tr>
      <w:tr>
        <w:trPr/>
        <w:tc>
          <w:tcPr>
            <w:tcW w:w="95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w:t>
            </w:r>
            <w:hyperlink w:anchor="icef27198db334b6ea0c2003211feb57d_82">
              <w:r>
                <w:rPr>
                  <w:rStyle w:val="InternetLink"/>
                  <w:rFonts w:ascii="Times New Roman;serif" w:hAnsi="Times New Roman;serif"/>
                  <w:b w:val="false"/>
                  <w:strike w:val="false"/>
                  <w:dstrike w:val="false"/>
                  <w:color w:val="000000"/>
                  <w:sz w:val="20"/>
                  <w:u w:val="none"/>
                  <w:effect w:val="none"/>
                </w:rPr>
                <w:t>1</w:t>
              </w:r>
            </w:hyperlink>
          </w:p>
        </w:tc>
        <w:tc>
          <w:tcPr>
            <w:tcW w:w="82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ef27198db334b6ea0c2003211feb57d_82">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1195);</w:t>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w:t>
            </w:r>
            <w:hyperlink w:anchor="icef27198db334b6ea0c2003211feb57d_85">
              <w:r>
                <w:rPr>
                  <w:rStyle w:val="InternetLink"/>
                  <w:rFonts w:ascii="Times New Roman;serif" w:hAnsi="Times New Roman;serif"/>
                  <w:b w:val="false"/>
                  <w:strike w:val="false"/>
                  <w:dstrike w:val="false"/>
                  <w:color w:val="000000"/>
                  <w:sz w:val="20"/>
                  <w:u w:val="none"/>
                  <w:effect w:val="none"/>
                </w:rPr>
                <w:t>3</w:t>
              </w:r>
            </w:hyperlink>
          </w:p>
        </w:tc>
        <w:tc>
          <w:tcPr>
            <w:tcW w:w="82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ef27198db334b6ea0c2003211feb57d_85">
              <w:r>
                <w:rPr>
                  <w:rStyle w:val="InternetLink"/>
                  <w:rFonts w:ascii="Times New Roman;serif" w:hAnsi="Times New Roman;serif"/>
                  <w:b w:val="false"/>
                  <w:color w:val="0000FF"/>
                  <w:sz w:val="20"/>
                  <w:u w:val="single"/>
                </w:rPr>
                <w:t>Consolidated Balance Sheets as of December 31, 2025 and 2024;</w:t>
              </w:r>
            </w:hyperlink>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w:t>
            </w:r>
            <w:hyperlink w:anchor="icef27198db334b6ea0c2003211feb57d_88">
              <w:r>
                <w:rPr>
                  <w:rStyle w:val="InternetLink"/>
                  <w:rFonts w:ascii="Times New Roman;serif" w:hAnsi="Times New Roman;serif"/>
                  <w:b w:val="false"/>
                  <w:strike w:val="false"/>
                  <w:dstrike w:val="false"/>
                  <w:color w:val="000000"/>
                  <w:sz w:val="20"/>
                  <w:u w:val="none"/>
                  <w:effect w:val="none"/>
                </w:rPr>
                <w:t>4</w:t>
              </w:r>
            </w:hyperlink>
          </w:p>
        </w:tc>
        <w:tc>
          <w:tcPr>
            <w:tcW w:w="82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ef27198db334b6ea0c2003211feb57d_88">
              <w:r>
                <w:rPr>
                  <w:rStyle w:val="InternetLink"/>
                  <w:rFonts w:ascii="Times New Roman;serif" w:hAnsi="Times New Roman;serif"/>
                  <w:b w:val="false"/>
                  <w:color w:val="0000FF"/>
                  <w:sz w:val="20"/>
                  <w:u w:val="single"/>
                </w:rPr>
                <w:t>Consolidated Statements of Operations for the Years Ended December 31, 2025 and 2024;</w:t>
              </w:r>
            </w:hyperlink>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w:t>
            </w:r>
            <w:hyperlink w:anchor="icef27198db334b6ea0c2003211feb57d_91">
              <w:r>
                <w:rPr>
                  <w:rStyle w:val="InternetLink"/>
                  <w:rFonts w:ascii="Times New Roman;serif" w:hAnsi="Times New Roman;serif"/>
                  <w:b w:val="false"/>
                  <w:strike w:val="false"/>
                  <w:dstrike w:val="false"/>
                  <w:color w:val="000000"/>
                  <w:sz w:val="20"/>
                  <w:u w:val="none"/>
                  <w:effect w:val="none"/>
                </w:rPr>
                <w:t>5</w:t>
              </w:r>
            </w:hyperlink>
          </w:p>
        </w:tc>
        <w:tc>
          <w:tcPr>
            <w:tcW w:w="82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ef27198db334b6ea0c2003211feb57d_91">
              <w:r>
                <w:rPr>
                  <w:rStyle w:val="InternetLink"/>
                  <w:rFonts w:ascii="Times New Roman;serif" w:hAnsi="Times New Roman;serif"/>
                  <w:b w:val="false"/>
                  <w:color w:val="0000FF"/>
                  <w:sz w:val="20"/>
                  <w:u w:val="single"/>
                </w:rPr>
                <w:t>Consolidated Statement of Changes in Stockholders’ Equity for the Year Ended December 31, 2025;</w:t>
              </w:r>
            </w:hyperlink>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w:t>
            </w:r>
            <w:hyperlink w:anchor="icef27198db334b6ea0c2003211feb57d_94">
              <w:r>
                <w:rPr>
                  <w:rStyle w:val="InternetLink"/>
                  <w:rFonts w:ascii="Times New Roman;serif" w:hAnsi="Times New Roman;serif"/>
                  <w:b w:val="false"/>
                  <w:strike w:val="false"/>
                  <w:dstrike w:val="false"/>
                  <w:color w:val="000000"/>
                  <w:sz w:val="20"/>
                  <w:u w:val="none"/>
                  <w:effect w:val="none"/>
                </w:rPr>
                <w:t>6</w:t>
              </w:r>
            </w:hyperlink>
          </w:p>
        </w:tc>
        <w:tc>
          <w:tcPr>
            <w:tcW w:w="82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ef27198db334b6ea0c2003211feb57d_94">
              <w:r>
                <w:rPr>
                  <w:rStyle w:val="InternetLink"/>
                  <w:rFonts w:ascii="Times New Roman;serif" w:hAnsi="Times New Roman;serif"/>
                  <w:b w:val="false"/>
                  <w:color w:val="0000FF"/>
                  <w:sz w:val="20"/>
                  <w:u w:val="single"/>
                </w:rPr>
                <w:t>Consolidated Statement of Changes in Stockholders’ Equity for the Year Ended December 31, 2024;</w:t>
              </w:r>
            </w:hyperlink>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w:t>
            </w:r>
            <w:hyperlink w:anchor="icef27198db334b6ea0c2003211feb57d_97">
              <w:r>
                <w:rPr>
                  <w:rStyle w:val="InternetLink"/>
                  <w:rFonts w:ascii="Times New Roman;serif" w:hAnsi="Times New Roman;serif"/>
                  <w:b w:val="false"/>
                  <w:strike w:val="false"/>
                  <w:dstrike w:val="false"/>
                  <w:color w:val="000000"/>
                  <w:sz w:val="20"/>
                  <w:u w:val="none"/>
                  <w:effect w:val="none"/>
                </w:rPr>
                <w:t>7</w:t>
              </w:r>
            </w:hyperlink>
          </w:p>
        </w:tc>
        <w:tc>
          <w:tcPr>
            <w:tcW w:w="82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ef27198db334b6ea0c2003211feb57d_97">
              <w:r>
                <w:rPr>
                  <w:rStyle w:val="InternetLink"/>
                  <w:rFonts w:ascii="Times New Roman;serif" w:hAnsi="Times New Roman;serif"/>
                  <w:b w:val="false"/>
                  <w:color w:val="0000FF"/>
                  <w:sz w:val="20"/>
                  <w:u w:val="single"/>
                </w:rPr>
                <w:t>Consolidated Statements of Cash Flows for the Years Ended December 31, 2025 and 2024; and</w:t>
              </w:r>
            </w:hyperlink>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w:t>
            </w:r>
            <w:hyperlink w:anchor="icef27198db334b6ea0c2003211feb57d_100">
              <w:r>
                <w:rPr>
                  <w:rStyle w:val="InternetLink"/>
                  <w:rFonts w:ascii="Times New Roman;serif" w:hAnsi="Times New Roman;serif"/>
                  <w:b w:val="false"/>
                  <w:strike w:val="false"/>
                  <w:dstrike w:val="false"/>
                  <w:color w:val="000000"/>
                  <w:sz w:val="20"/>
                  <w:u w:val="none"/>
                  <w:effect w:val="none"/>
                </w:rPr>
                <w:t>8</w:t>
              </w:r>
            </w:hyperlink>
          </w:p>
        </w:tc>
        <w:tc>
          <w:tcPr>
            <w:tcW w:w="82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ef27198db334b6ea0c2003211feb57d_100">
              <w:r>
                <w:rPr>
                  <w:rStyle w:val="InternetLink"/>
                  <w:rFonts w:ascii="Times New Roman;serif" w:hAnsi="Times New Roman;serif"/>
                  <w:b w:val="false"/>
                  <w:color w:val="0000FF"/>
                  <w:sz w:val="20"/>
                  <w:u w:val="single"/>
                </w:rPr>
                <w:t>Notes to Consolidated Financial Statements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240" w:after="283"/>
        <w:jc w:val="left"/>
        <w:rPr/>
      </w:pPr>
      <w:r>
        <w:rPr/>
        <w:drawing>
          <wp:inline distT="0" distB="0" distL="0" distR="0">
            <wp:extent cx="1552575" cy="361950"/>
            <wp:effectExtent l="0" t="0" r="0" b="0"/>
            <wp:docPr id="4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 descr=""/>
                    <pic:cNvPicPr>
                      <a:picLocks noChangeAspect="1" noChangeArrowheads="1"/>
                    </pic:cNvPicPr>
                  </pic:nvPicPr>
                  <pic:blipFill>
                    <a:blip r:embed="rId2"/>
                    <a:stretch>
                      <a:fillRect/>
                    </a:stretch>
                  </pic:blipFill>
                  <pic:spPr bwMode="auto">
                    <a:xfrm>
                      <a:off x="0" y="0"/>
                      <a:ext cx="1552575" cy="361950"/>
                    </a:xfrm>
                    <a:prstGeom prst="rect">
                      <a:avLst/>
                    </a:prstGeom>
                  </pic:spPr>
                </pic:pic>
              </a:graphicData>
            </a:graphic>
          </wp:inline>
        </w:drawing>
      </w:r>
      <w:bookmarkStart w:id="0" w:name="i-1"/>
      <w:bookmarkEnd w:id="0"/>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the Stockholders and Board of Directors of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OptimizeRx Corporation</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Opinion on the Financial Statements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audited the accompanying consolidated balance sheets of OptimizeRx Corporation and Subsidiaries (the “Company”) as of December 31, 2025 and 2024, and the related consolidated statements of operations, changes in stockholders’ equity and cash flows for the years then ended, and the related notes (collectively referred to as the consolidated financial statements). In our opinion, the consolidated financial statements referred to above present fairly, in all material respects, the financial position of the Company as of December 31, 2025 and 2024, and the results of its operations and its cash flows for the years then ended, in conformity with accounting principles generally accepted in the United Sates of America.</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Basis for Opinion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Audit Matters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Stockholders and Board of Directors of OptimizeRx Corporation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Page Two</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Critical Audit Matter - 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disclosed in Note 2 to the consolidated financial statements, the Company recognizes revenue upon transfer of control of promised products or services to customers in an amount that reflects the consideration the Company expects to receive in exchange for those products or services.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revenue recognition is a critical audit matter is that significant judgment is exercised in determining revenue recognition for customer agreements and includes the following: (1) determining whether services are considered distinct performance obligations that should be accounted for separately versus together, (2) the pattern and timing of delivery for each distinct performance obligation, and (3) identification and treatment of contract terms that may impact the timing and amount of revenue recognized.</w:t>
      </w:r>
    </w:p>
    <w:p>
      <w:pPr>
        <w:pStyle w:val="TextBody"/>
        <w:bidi w:val="0"/>
        <w:spacing w:lineRule="auto" w:line="288" w:before="24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How the Critical Audit Matter Was Addressed in the Audit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audit procedures we performed to address this critical audit matter included the following: (1) obtaining an understanding of the design and implementation of controls related to identifying distinct performance obligations, determining the timing of revenue recognition, and estimating any variable consideration, (2) selecting of a sample of customer agreements and testing management’s identification and treatment of contract terms, (3) testing the mathematical accuracy of management’s calculations of revenue and the associated timing of revenue recognized in the consolidated financial statements, (4) confirming data utilized to recognize revenue with third-party service providers to ensure completeness and accuracy of the data used to recognize revenue, and (5) confirming with the Company’s customers the contract terms and conditions of agreements and completion of the Company’s performance obligations under the contract.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served as the Company’s auditor since 2020.</w:t>
      </w:r>
    </w:p>
    <w:tbl>
      <w:tblPr>
        <w:tblW w:w="2366" w:type="dxa"/>
        <w:jc w:val="left"/>
        <w:tblInd w:w="0" w:type="dxa"/>
        <w:tblLayout w:type="fixed"/>
        <w:tblCellMar>
          <w:top w:w="28" w:type="dxa"/>
          <w:left w:w="28" w:type="dxa"/>
          <w:bottom w:w="28" w:type="dxa"/>
          <w:right w:w="28" w:type="dxa"/>
        </w:tblCellMar>
      </w:tblPr>
      <w:tblGrid>
        <w:gridCol w:w="158"/>
        <w:gridCol w:w="139"/>
        <w:gridCol w:w="139"/>
        <w:gridCol w:w="484"/>
        <w:gridCol w:w="484"/>
        <w:gridCol w:w="488"/>
        <w:gridCol w:w="139"/>
        <w:gridCol w:w="139"/>
        <w:gridCol w:w="196"/>
      </w:tblGrid>
      <w:tr>
        <w:trPr/>
        <w:tc>
          <w:tcPr>
            <w:tcW w:w="1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UHY LLP</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Sterling Heights, Michigan</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88"/>
        <w:gridCol w:w="2343"/>
        <w:gridCol w:w="2351"/>
        <w:gridCol w:w="202"/>
        <w:gridCol w:w="760"/>
        <w:gridCol w:w="112"/>
        <w:gridCol w:w="109"/>
        <w:gridCol w:w="109"/>
        <w:gridCol w:w="109"/>
        <w:gridCol w:w="201"/>
        <w:gridCol w:w="759"/>
        <w:gridCol w:w="162"/>
      </w:tblGrid>
      <w:tr>
        <w:trPr/>
        <w:tc>
          <w:tcPr>
            <w:tcW w:w="2988"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br/>
              <w:t>2024</w:t>
            </w:r>
          </w:p>
        </w:tc>
      </w:tr>
      <w:tr>
        <w:trPr/>
        <w:tc>
          <w:tcPr>
            <w:tcW w:w="7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$260 and $335 at December 31, 2025 and 2024,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 rights,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assets,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 and customer relationships,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 and other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117,047 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176,918 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171,168 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share payable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16)</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none issued and outstanding at December 31, 2025 and 2024,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166,666,667 shares authorized, 20,500,986 and 20,194,697 shares issued at December 31, 2025 and 2024,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$0.001 par value,1,741,397 shares purchased at December 31, 2025 and 2024</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(79,236)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128,294 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116,998 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176,918 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171,168 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391"/>
        <w:gridCol w:w="2092"/>
        <w:gridCol w:w="2103"/>
        <w:gridCol w:w="302"/>
        <w:gridCol w:w="1166"/>
        <w:gridCol w:w="153"/>
        <w:gridCol w:w="109"/>
        <w:gridCol w:w="109"/>
        <w:gridCol w:w="109"/>
        <w:gridCol w:w="313"/>
        <w:gridCol w:w="1135"/>
        <w:gridCol w:w="223"/>
      </w:tblGrid>
      <w:tr>
        <w:trPr/>
        <w:tc>
          <w:tcPr>
            <w:tcW w:w="239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6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w:t>
              <w:br/>
              <w:t>Year Ended</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w:t>
              <w:br/>
              <w:t>Year Ended</w:t>
              <w:br/>
              <w:t>December 31, 2024</w:t>
            </w:r>
          </w:p>
        </w:tc>
      </w:tr>
      <w:tr>
        <w:trPr/>
        <w:tc>
          <w:tcPr>
            <w:tcW w:w="6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r>
      <w:tr>
        <w:trPr/>
        <w:tc>
          <w:tcPr>
            <w:tcW w:w="6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73,084 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(13,706)</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basic</w:t>
            </w:r>
          </w:p>
        </w:tc>
        <w:tc>
          <w:tcPr>
            <w:tcW w:w="14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18,555,343 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18,292,935 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diluted</w:t>
            </w:r>
          </w:p>
        </w:tc>
        <w:tc>
          <w:tcPr>
            <w:tcW w:w="14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18,998,463 </w:t>
            </w:r>
          </w:p>
        </w:tc>
        <w:tc>
          <w:tcPr>
            <w:tcW w:w="1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18,292,935 </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 basic</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 diluted</w:t>
            </w:r>
          </w:p>
        </w:tc>
        <w:tc>
          <w:tcPr>
            <w:tcW w:w="3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 OF CHANGES IN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772" w:type="dxa"/>
        <w:jc w:val="left"/>
        <w:tblInd w:w="0" w:type="dxa"/>
        <w:tblLayout w:type="fixed"/>
        <w:tblCellMar>
          <w:top w:w="28" w:type="dxa"/>
          <w:left w:w="28" w:type="dxa"/>
          <w:bottom w:w="28" w:type="dxa"/>
          <w:right w:w="28" w:type="dxa"/>
        </w:tblCellMar>
      </w:tblPr>
      <w:tblGrid>
        <w:gridCol w:w="734"/>
        <w:gridCol w:w="263"/>
        <w:gridCol w:w="264"/>
        <w:gridCol w:w="540"/>
        <w:gridCol w:w="541"/>
        <w:gridCol w:w="211"/>
        <w:gridCol w:w="109"/>
        <w:gridCol w:w="109"/>
        <w:gridCol w:w="109"/>
        <w:gridCol w:w="237"/>
        <w:gridCol w:w="406"/>
        <w:gridCol w:w="123"/>
        <w:gridCol w:w="109"/>
        <w:gridCol w:w="109"/>
        <w:gridCol w:w="109"/>
        <w:gridCol w:w="495"/>
        <w:gridCol w:w="496"/>
        <w:gridCol w:w="211"/>
        <w:gridCol w:w="109"/>
        <w:gridCol w:w="109"/>
        <w:gridCol w:w="109"/>
        <w:gridCol w:w="273"/>
        <w:gridCol w:w="351"/>
        <w:gridCol w:w="142"/>
        <w:gridCol w:w="109"/>
        <w:gridCol w:w="109"/>
        <w:gridCol w:w="109"/>
        <w:gridCol w:w="211"/>
        <w:gridCol w:w="826"/>
        <w:gridCol w:w="109"/>
        <w:gridCol w:w="109"/>
        <w:gridCol w:w="109"/>
        <w:gridCol w:w="109"/>
        <w:gridCol w:w="236"/>
        <w:gridCol w:w="826"/>
        <w:gridCol w:w="124"/>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20,194,697 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stock options exercised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 net of cancelled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282,482 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the year</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20,500,986 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(79,236)</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 OF CHANGES IN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881" w:type="dxa"/>
        <w:jc w:val="left"/>
        <w:tblInd w:w="0" w:type="dxa"/>
        <w:tblLayout w:type="fixed"/>
        <w:tblCellMar>
          <w:top w:w="28" w:type="dxa"/>
          <w:left w:w="28" w:type="dxa"/>
          <w:bottom w:w="28" w:type="dxa"/>
          <w:right w:w="28" w:type="dxa"/>
        </w:tblCellMar>
      </w:tblPr>
      <w:tblGrid>
        <w:gridCol w:w="734"/>
        <w:gridCol w:w="263"/>
        <w:gridCol w:w="264"/>
        <w:gridCol w:w="540"/>
        <w:gridCol w:w="541"/>
        <w:gridCol w:w="211"/>
        <w:gridCol w:w="109"/>
        <w:gridCol w:w="109"/>
        <w:gridCol w:w="109"/>
        <w:gridCol w:w="237"/>
        <w:gridCol w:w="406"/>
        <w:gridCol w:w="123"/>
        <w:gridCol w:w="109"/>
        <w:gridCol w:w="109"/>
        <w:gridCol w:w="109"/>
        <w:gridCol w:w="211"/>
        <w:gridCol w:w="991"/>
        <w:gridCol w:w="109"/>
        <w:gridCol w:w="109"/>
        <w:gridCol w:w="109"/>
        <w:gridCol w:w="109"/>
        <w:gridCol w:w="273"/>
        <w:gridCol w:w="351"/>
        <w:gridCol w:w="142"/>
        <w:gridCol w:w="109"/>
        <w:gridCol w:w="109"/>
        <w:gridCol w:w="109"/>
        <w:gridCol w:w="211"/>
        <w:gridCol w:w="826"/>
        <w:gridCol w:w="109"/>
        <w:gridCol w:w="109"/>
        <w:gridCol w:w="109"/>
        <w:gridCol w:w="109"/>
        <w:gridCol w:w="236"/>
        <w:gridCol w:w="826"/>
        <w:gridCol w:w="124"/>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19,899,679 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 net of cancelled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for the year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20,194,697 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(84,368)</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430"/>
        <w:gridCol w:w="2090"/>
        <w:gridCol w:w="2096"/>
        <w:gridCol w:w="325"/>
        <w:gridCol w:w="1113"/>
        <w:gridCol w:w="168"/>
        <w:gridCol w:w="109"/>
        <w:gridCol w:w="109"/>
        <w:gridCol w:w="109"/>
        <w:gridCol w:w="301"/>
        <w:gridCol w:w="1132"/>
        <w:gridCol w:w="223"/>
      </w:tblGrid>
      <w:tr>
        <w:trPr/>
        <w:tc>
          <w:tcPr>
            <w:tcW w:w="243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w:t>
              <w:br/>
              <w:t>Year Ended</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w:t>
              <w:br/>
              <w:t>Year Ended</w:t>
              <w:br/>
              <w:t>December 31, 2024</w:t>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w:t>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payable</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 and payable</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loan fees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employee withholding taxes related to the vesting of restricted stock units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net of cash paid for withholding taxes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 BEGINNING OF PERIOD</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6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 – ORGANIZATION AND NATURE OF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OptimizeRx Corporation and its wholly owned subsidiaries (collectively, “OptimizeRx”, the “Company”, “we”, “our”, or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OptimizeRx is a digital healthcare technology company that connects over two million HCPs and millions of their patients through an intelligent technology platform embedded within a proprietary omnichannel network. OptimizeRx helps life sciences organizations engage and support their customers through our combined HCP and DTC marketing strategies.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2 – SUMMARY OF SIGNIFICANT ACCOUNTING POLICIES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the Company have been prepared in accordance with generally accepted accounting principles in the United States of America and are presented in US dollars.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allowance for credit losses, carrying value of assets, fair values assigned to acquired long-lived assets, depreciable and amortizable lives of tangible and intangible assets, the carrying value of liabilities, the valuation allowance for deferred tax assets, the timing of revenue recognition and related revenue-share expenses, and inputs used in the calculation of stock based compensation. Actual results could differ from these estimates.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financial statements reflect the consolidated results of OptimizeRx Corporation, a Nevada corporation, and its wholly owned subsidiaries: Healthy Offers, Inc., a Nevada corporation, and OptimizeRx d.o.o. (formerly known as CareSpeak Communications d.o.o.), a controlled foreign corporation incorporated in Croatia. Collectively, these companies are referred to as “OptimizeRx” or the “Company.” All material intercompany transactions have been eliminated.</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one reportable segment and use consolidated net income (loss) as our measure of segment profit and loss. Overall, our business involves connecting life sciences companies to patients and providers. We have a common customer base of life sciences customers geographically located in the U.S. for all of our solutions, which primarily focus on all communications between our life sciences customers and with healthcare providers or patients. We do not prepare separate internal income statements by solution, as our focus is on selling enterprise arrangements covering multiple solutions that span the entire patient journey with a specific brand.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Chief Executive Officer (“CEO”). The CODM allocates resources and assesses performance of the business and other activities at the operating segment level. The CODM assesses performance for the operating segment and decides how to allocate resources based on net income (loss) that is also reported on the consolidated statements of operations as consolidated net income (loss). The measure of segment assets is reported on the consolidated balance sheets as total assets.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CODM uses consolidated net income (loss) to evaluate the income generated in deciding whether to reinvest profits into the segment or to use such profits for other purposes, such as for acquisitions or share repurchases. Consolidated net income (loss) is used to monitor budget versus actual results. The CODM also uses consolidated net income (loss)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competitive analyses by benchmarking to the Company’s competitors. The competitive analysis along with the monitoring of budget versus actual results are used in assessing performance of the segment, and in establishing management and variable compensation. The CODM also regularly reviews the consolidated statements of operations for segment expenses, of which the significant expenses are related to cost of revenues, exclusive of depreciation and amortization, and operating expenses. Since we operate as a single reportable segment, the measure of segment profit or loss and related financial information are consistent with the amounts presented in the consolidated financial statements.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items in the previous year financial statements have been reclassified to match the current year presentation.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Foreign Currency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functional currency is the U.S. dollar, however it pays certain expenses related to its foreign subsidiary in Croatia in the local currency, which is the Euro. All transactions are recorded at the exchange rate at the time of payment. If there is a time lag between the time of recording the liability and the time of payment, a gain or loss is recorded in the consolidated statements of operations due to any fluctuations in the exchange rate.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lineRule="auto" w:line="288" w:before="240" w:after="283"/>
        <w:jc w:val="both"/>
        <w:rPr/>
      </w:pPr>
      <w:r>
        <w:rPr>
          <w:rFonts w:ascii="Times New Roman;serif" w:hAnsi="Times New Roman;serif"/>
          <w:b w:val="false"/>
          <w:color w:val="000000"/>
          <w:sz w:val="20"/>
        </w:rPr>
        <w:t xml:space="preserve">Cash equivalents include items almost as liquid as cash, comprised of investments in AAA rated money market funds that invest in first-tier only securities, which primarily include domestic commercial paper and securities issued or guaranteed by the U.S. government or its agencies. We account for marketable equity securities in accordance with ASC 321-10, </w:t>
      </w:r>
      <w:r>
        <w:rPr>
          <w:rFonts w:ascii="Times New Roman;serif" w:hAnsi="Times New Roman;serif"/>
          <w:b w:val="false"/>
          <w:i/>
          <w:color w:val="000000"/>
          <w:sz w:val="20"/>
        </w:rPr>
        <w:t>Investments - Equity Securities</w:t>
      </w:r>
      <w:r>
        <w:rPr>
          <w:rFonts w:ascii="Times New Roman;serif" w:hAnsi="Times New Roman;serif"/>
          <w:b w:val="false"/>
          <w:color w:val="000000"/>
          <w:sz w:val="20"/>
        </w:rPr>
        <w:t>, as the shares have a readily determinable fair value quoted on the national stock exchange and are classified within Level 1 of the fair value hierarchy.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Investments</w:t>
      </w:r>
    </w:p>
    <w:p>
      <w:pPr>
        <w:pStyle w:val="TextBody"/>
        <w:bidi w:val="0"/>
        <w:spacing w:lineRule="auto" w:line="288" w:before="240" w:after="283"/>
        <w:jc w:val="both"/>
        <w:rPr/>
      </w:pPr>
      <w:r>
        <w:rPr>
          <w:rFonts w:ascii="Times New Roman;serif" w:hAnsi="Times New Roman;serif"/>
          <w:b w:val="false"/>
          <w:color w:val="000000"/>
          <w:sz w:val="20"/>
        </w:rPr>
        <w:t xml:space="preserve">We account for marketable securities in accordance with ASC 320, </w:t>
      </w:r>
      <w:r>
        <w:rPr>
          <w:rFonts w:ascii="Times New Roman;serif" w:hAnsi="Times New Roman;serif"/>
          <w:b w:val="false"/>
          <w:i/>
          <w:color w:val="000000"/>
          <w:sz w:val="20"/>
        </w:rPr>
        <w:t>Investments - Debt Securities</w:t>
      </w:r>
      <w:r>
        <w:rPr>
          <w:rFonts w:ascii="Times New Roman;serif" w:hAnsi="Times New Roman;serif"/>
          <w:b w:val="false"/>
          <w:color w:val="000000"/>
          <w:sz w:val="20"/>
        </w:rPr>
        <w:t xml:space="preserve">, which require that certain debt securities be classified into one of three categories: held-to-maturity, available-for-sale, or trading securities, and depending upon the classification, value the security at amortized cost or fair market value.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of Financial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 Inputs are based upon unadjusted quoted prices for identical instruments traded in active markets.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carrying amounts of financial instruments including cash and cash equivalents, accounts receivable, accounts payable, and other current liabilities approximate their fair values due to their short maturities.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Accounts Receivable and Allowance for Credit Losses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are reported at realizable value, net of allowances for credit losses, which is estimated and recorded in the period the related revenue is recorded. The Company does not seek collateral to secure its accounts receivable, and amounts billed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credit losses. In addition, the Company regularly assesses the state of its billing operations in order to identify issues which may impact the collectability of these receivables or reserve estimates. If current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customers are primarily large well-capitalized companies, and historically there has been very little bad debt expense. Provision for credit losses was $0 and $208 for the years ended December 31, 2025 and 2024, respectively. The allowance for credit losses was $260 and $335 as of December 31, 2025 and 2024,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in each of the years ended December 31, 2025 and 2024, were as follows:</w:t>
      </w:r>
    </w:p>
    <w:tbl>
      <w:tblPr>
        <w:tblW w:w="4404" w:type="dxa"/>
        <w:jc w:val="left"/>
        <w:tblInd w:w="0" w:type="dxa"/>
        <w:tblLayout w:type="fixed"/>
        <w:tblCellMar>
          <w:top w:w="28" w:type="dxa"/>
          <w:left w:w="28" w:type="dxa"/>
          <w:bottom w:w="28" w:type="dxa"/>
          <w:right w:w="28" w:type="dxa"/>
        </w:tblCellMar>
      </w:tblPr>
      <w:tblGrid>
        <w:gridCol w:w="891"/>
        <w:gridCol w:w="783"/>
        <w:gridCol w:w="786"/>
        <w:gridCol w:w="211"/>
        <w:gridCol w:w="466"/>
        <w:gridCol w:w="109"/>
        <w:gridCol w:w="109"/>
        <w:gridCol w:w="109"/>
        <w:gridCol w:w="109"/>
        <w:gridCol w:w="211"/>
        <w:gridCol w:w="46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record revenue based on our revenue recognition policies described below in advance of being able to invoice the customer. Included in accounts receivable are unbilled amounts of $3,943, and $3,241, at December 31, 2025 and 2024,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Property and Equipment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Lease-related assets, or Operating lease right-of-use (“ROU”)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The Company reviews all options to extend, terminate, or purchase its ROU assets at the commencement of the lease and on an ongoing basis and accounts for these options when they are reasonably certain of being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Operating lease expense is recognized on a straight-line basis over the lease term, while variable lease payments are expensed as incurred.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short-term lease recognition exemption is applied for leases with terms at commencement of not greater than 12 months.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Intangible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 These assets are evaluated when there is a triggering event.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and amortizing intangible assets are reviewed whenever events or changes in circumstances indicate that the related carrying amounts may not be recoverable. Impairment of assets with definite-lives is generally determined by comparing projected undiscounted cash flows expected to be generated by the asset, or asset groups, to its carrying value. If the carrying value of the long-lived asset or asset group is not recoverable on an undiscounted basis, an impairment is recognized to the extent fair value exceeds carrying value. Determining the extent of impairment, if any, typically requires various estimates and assumptions including cash flows directly attributable to the asset, the useful life of the asset and residual value, if any. When necessary, the Company uses internal cash flow estimates, quoted market prices and appraisals, as appropriate, to determine fair value. Actual results could vary from these estimates. In addition, the remaining useful life of the impaired asset is revised, if necessary.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impairment charges of $368 and $0 against the value of our intangible assets during the years ended December 31, 2025 and 2024,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assigned to the net tangible and identifiable intangible assets of an acquired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is assessed for impairment at least annually as of December 31 of each year, or more frequently if an event occurs or circumstances change that would reduce the fair value of a reporting unit below its carrying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 entity is permitted to first assess qualitative factors to determine if a quantitative impairment test is necessary. If we choose to use qualitative factors and determine that it is more likely than not that the fair value of a reporting unit is less than its carrying amount, then the quantitative goodwill impairment test would be required. The goodwill impairment test requires the Company to estimate the fair value of the reporting unit and to compare the fair value of the reporting unit with its carrying amount.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a reporting unit is calculated using the income approach (including Discounted Cash Flow (“DCF”)) and validated using a market approach with the involvement of a third-party valuation specialist. The income approach uses expected future cash flows for the reporting unit and discounts those cash flows to present value. Expected future cash flows are estimated using management assumptions of growth rates, including long-term growth rates, capital expenditures and cost efficiencies. The judgments made in determining the expected future cash flows used to estimate the fair value can materially impact the Company’s financial condition and results of operations. Future acquisitions or divestitures are not included in the expected future cash flows. The Company uses a discount rate based on a calculated weighted average cost of capital which is adjusted for company specific risk premiums. The market approach compares the valuation multiples of similar companies to that of the associated reporting unit. The Company then reconciles the calculated fair values to its market capitalization. The fair value is then compared to its carrying value including goodwill. If the fair value is in excess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its carrying value, the related goodwill is not impaired. If the fair value is less than carrying value, an impairment charge is recognized, equivalent to the amount that the carrying value exceeds the fair value.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recorded impairment charges of $0 and $7,489 against the value of our goodwill during the years ended December 31, 2025 and 2024,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240" w:after="283"/>
        <w:jc w:val="both"/>
        <w:rPr/>
      </w:pPr>
      <w:r>
        <w:rPr>
          <w:rFonts w:ascii="Times New Roman;serif" w:hAnsi="Times New Roman;serif"/>
          <w:b w:val="false"/>
          <w:color w:val="000000"/>
          <w:sz w:val="20"/>
        </w:rPr>
        <w:t xml:space="preserve">Under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recognition of revenue requires evidence of a contract, probable collection of proceeds, and completion of substantially all performance obligations. We use a 5-step model to recognize revenue: (1) identify the contract with a customer, (2) identify the performance obligations in the contract, (3) determine the transaction price, (4) allocate the transaction price to the performance obligations in the contract, and (5) recognize revenue when or as the performance obligations are satisfied.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 The Company also generates revenue through data subscriptions. Data subscriptions can be contracted on a stand-alone basis or as a complement to content delivery. Additional services include set up and reporting. We consider these services to be complimentary to the primary performance obligation and recognized through performance of delivery of content or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certain contracts which are satisfied at a point in time, primarily for consulting projects or NPI data target lists. For such contracts, we recognize revenue upon delivery of the related data, study or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contracts generally all have terms of less than one year and the primary performance obligation is delivery of messages, or our forms of content, but the contract may contain additional services. The net contract balance for contracts in progress at December 31, 2025 and 2024 was $5,615 and $4,288, respectively. The outstanding performance obligations are expected to be satisfied during the year ended December 31,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year's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each of the years ended December 31, 2025 and 2024, there were two contracts with customers that included a rebate clause.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contract. Should a program be cancelled before completion, the balance of set up revenue is recognized at the time of cancellation, as set up fees are nonrefundable. Additionally, the Company also recognizes revenue for providing program performance reporting and maintenance. This reporting revenue is recognized over time as the messages are delivered. Program design, which is the design of the content delivery program, and related consulting services are recognized as services are performed.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some instances, we license certain of our software applications in arrangements that do not include other performance obligations. In those instances, we record license revenue when the software is delivered for use to the licensee.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instances where our contracts include Software as a Service, the revenue is recognized over the subscription period as services are delivered to the customer.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some instances, the Company also resells messaging solutions that are available through channel partners that are complementary to the HCP marketing business and customer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In instances where we resell these messaging solutions and have all financial risk and significant operation input and risk, we record the revenue based on the gross amount sold and the amount paid to the channel partner as a cost of revenues. The amount of revenue recognized on a net basis was $13,642 and $10,999 for the years ended December 31, 2025 and 2024,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Disaggregation of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Consistent with ASC 606, we have disaggregated our revenue by timing of revenue recognition. The majority of our revenue is recognized over time as solutions are provided. A small portion of our revenue related to program development, NPI data lists, and other solutions is recognized at a point in time upon delivery to customers. A break down is set forth in the table below.</w:t>
      </w:r>
    </w:p>
    <w:tbl>
      <w:tblPr>
        <w:tblW w:w="5768" w:type="dxa"/>
        <w:jc w:val="left"/>
        <w:tblInd w:w="0" w:type="dxa"/>
        <w:tblLayout w:type="fixed"/>
        <w:tblCellMar>
          <w:top w:w="28" w:type="dxa"/>
          <w:left w:w="28" w:type="dxa"/>
          <w:bottom w:w="28" w:type="dxa"/>
          <w:right w:w="28" w:type="dxa"/>
        </w:tblCellMar>
      </w:tblPr>
      <w:tblGrid>
        <w:gridCol w:w="1163"/>
        <w:gridCol w:w="1022"/>
        <w:gridCol w:w="1024"/>
        <w:gridCol w:w="211"/>
        <w:gridCol w:w="826"/>
        <w:gridCol w:w="109"/>
        <w:gridCol w:w="109"/>
        <w:gridCol w:w="109"/>
        <w:gridCol w:w="109"/>
        <w:gridCol w:w="211"/>
        <w:gridCol w:w="721"/>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a point in time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Cost of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includes primarily revenue-share expense and data acquisition costs. Cost of revenues does not include depreciation and amortization, which is listed separately on the statements of operations. Based on the volume of transactions that are delivered through a channel partner network, we provide a revenue-share to compensate the channel partner for its promotion of the campaign. Revenue-shares are a negotiated percentage of the transaction fees and can also be specific to special considerations and campaigns. In addition, we pay revenue-share to ConnectiveRx as a result of a 2014 legal settlement in an amount equal to the greater of 10% of financial messaging distribution revenues generated through our integrated network, or $0.37 per financial message distributed through our integrated network. As our solution mix has expanded and our revenues have grown, financial messaging has become a smaller percentage of our revenues and these payments to ConnectiveRx, a smaller portion of our revenue-share. The contractual amount due to the channel partners is recorded as an expense at the time the message is distributed. Data acquisition costs consist primarily of the costs to acquire data through flat-fee data licensing agreements. Data acquisition costs are amortized over the period for which we have access to the data.</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Significant judgments are required in order to determine the realizability of these deferred tax assets. In assessing the need for a valuation allowance, the Company evaluates all significant available positive and negative evidence, including historical operating results, estimates of future taxable income and the existence of prudent and feasible tax planning strategies. Changes in the expectations regarding the realization of deferred tax assets could materially impact income tax expense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Concentration of Credit Risks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 As of December 31, 2025 and 2024, the Company had $22,980 and $12,973, respectively, in cash balances in excess of federally insured limits, primarily at Bank of America.</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expenses research and development expenses as incurred. There was no research and development expense for the years ended December 31, 2025 and 2024.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Advertising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expenses advertising costs as incurred. Advertising costs, included in Other general and administrative expenses, were $454 and $1,049, for the years ended December 31, 2025 and 2024, respectively.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restricted stock awards, the fair value is based on the market value of the Company’s common stock on the date of grant.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options, fair value is estimated using the Black-Scholes option pricing model that uses the following assumptions. Estimated volatilities are based on the historical volatility of the Company’s common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risk-free rate used is based on the U.S. Treasury yield curve in effect at the time of the grant using a time period equal to the expected option term. The Company has never paid dividends and does not expect to pay any dividends in the future. Forfeiture rate is assumed to be zero and recognized as incurred.</w:t>
      </w:r>
    </w:p>
    <w:tbl>
      <w:tblPr>
        <w:tblW w:w="6626" w:type="dxa"/>
        <w:jc w:val="left"/>
        <w:tblInd w:w="0" w:type="dxa"/>
        <w:tblLayout w:type="fixed"/>
        <w:tblCellMar>
          <w:top w:w="28" w:type="dxa"/>
          <w:left w:w="28" w:type="dxa"/>
          <w:bottom w:w="28" w:type="dxa"/>
          <w:right w:w="28" w:type="dxa"/>
        </w:tblCellMar>
      </w:tblPr>
      <w:tblGrid>
        <w:gridCol w:w="1180"/>
        <w:gridCol w:w="1036"/>
        <w:gridCol w:w="1039"/>
        <w:gridCol w:w="359"/>
        <w:gridCol w:w="873"/>
        <w:gridCol w:w="462"/>
        <w:gridCol w:w="109"/>
        <w:gridCol w:w="109"/>
        <w:gridCol w:w="109"/>
        <w:gridCol w:w="274"/>
        <w:gridCol w:w="665"/>
        <w:gridCol w:w="411"/>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3.66% - 4.01%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3.52% - 4.59%</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option term</w:t>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 years - 4.0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Turnover/forfeiture rate</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75% - 78%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66% - 72%</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Black-Scholes option valuation model has limitations on its effectiveness, including that it was developed for use in estimating the fair value of traded options which have no vesting restrictions and are fully transferable and it requires the use of highly subjective assumptions, such as expected stock price volatility. The Company’s stock options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characteristics significantly different from those of traded options, and changes in the subjective input assumptions could materially affect the fair value estimate.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Earnings (Loss) Per Common and Common Equivalent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earnings (loss) per common share (“EPS”) is computed using the weighted average number of common shares outstanding during the year. The computation of diluted earnings (loss) per common share is based on the basic weighted average number of shares outstanding during the year plus common stock equivalents, which would arise from the exercise of options and warrants outstanding using the treasury stock method and the average market price per share during the year. The number of common shares issuable upon the exercise of certain awards that were included in the diluted earnings per common share calculation in 2025 was 288,639 related to options, and 154,481 related to restricted stock units, for a total of 443,120. The number of common shares potentially issuable upon the exercise of certain awards that were excluded from the diluted loss per common share calculation in 2024 was 212,798 related to options, and 78,203 related to restricted stock units, for a total of 291,001, because they are anti-dilutive, as a result of the net loss incurred in the year ended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computation of weighted average shares outstanding and the basic and diluted earnings (loss) per common share for the years ended December 31, 2025 and 2024 consisted of the following:</w:t>
      </w:r>
    </w:p>
    <w:tbl>
      <w:tblPr>
        <w:tblW w:w="6893" w:type="dxa"/>
        <w:jc w:val="left"/>
        <w:tblInd w:w="0" w:type="dxa"/>
        <w:tblLayout w:type="fixed"/>
        <w:tblCellMar>
          <w:top w:w="28" w:type="dxa"/>
          <w:left w:w="28" w:type="dxa"/>
          <w:bottom w:w="28" w:type="dxa"/>
          <w:right w:w="28" w:type="dxa"/>
        </w:tblCellMar>
      </w:tblPr>
      <w:tblGrid>
        <w:gridCol w:w="837"/>
        <w:gridCol w:w="731"/>
        <w:gridCol w:w="741"/>
        <w:gridCol w:w="233"/>
        <w:gridCol w:w="681"/>
        <w:gridCol w:w="120"/>
        <w:gridCol w:w="109"/>
        <w:gridCol w:w="109"/>
        <w:gridCol w:w="109"/>
        <w:gridCol w:w="540"/>
        <w:gridCol w:w="541"/>
        <w:gridCol w:w="211"/>
        <w:gridCol w:w="109"/>
        <w:gridCol w:w="109"/>
        <w:gridCol w:w="109"/>
        <w:gridCol w:w="386"/>
        <w:gridCol w:w="936"/>
        <w:gridCol w:w="282"/>
      </w:tblGrid>
      <w:tr>
        <w:trPr/>
        <w:tc>
          <w:tcPr>
            <w:tcW w:w="83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 Share Amount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18,555,343 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18,998,463 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7479" w:type="dxa"/>
        <w:jc w:val="left"/>
        <w:tblInd w:w="0" w:type="dxa"/>
        <w:tblLayout w:type="fixed"/>
        <w:tblCellMar>
          <w:top w:w="28" w:type="dxa"/>
          <w:left w:w="28" w:type="dxa"/>
          <w:bottom w:w="28" w:type="dxa"/>
          <w:right w:w="28" w:type="dxa"/>
        </w:tblCellMar>
      </w:tblPr>
      <w:tblGrid>
        <w:gridCol w:w="837"/>
        <w:gridCol w:w="731"/>
        <w:gridCol w:w="741"/>
        <w:gridCol w:w="297"/>
        <w:gridCol w:w="1124"/>
        <w:gridCol w:w="153"/>
        <w:gridCol w:w="109"/>
        <w:gridCol w:w="109"/>
        <w:gridCol w:w="109"/>
        <w:gridCol w:w="540"/>
        <w:gridCol w:w="541"/>
        <w:gridCol w:w="211"/>
        <w:gridCol w:w="109"/>
        <w:gridCol w:w="109"/>
        <w:gridCol w:w="109"/>
        <w:gridCol w:w="366"/>
        <w:gridCol w:w="1017"/>
        <w:gridCol w:w="267"/>
      </w:tblGrid>
      <w:tr>
        <w:trPr/>
        <w:tc>
          <w:tcPr>
            <w:tcW w:w="83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Per Share Amount </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18,292,935 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18,292,935 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Issued Accounting Guidance</w:t>
      </w:r>
    </w:p>
    <w:p>
      <w:pPr>
        <w:pStyle w:val="TextBody"/>
        <w:bidi w:val="0"/>
        <w:spacing w:lineRule="auto" w:line="288" w:before="240" w:after="283"/>
        <w:jc w:val="both"/>
        <w:rPr/>
      </w:pPr>
      <w:r>
        <w:rPr>
          <w:rFonts w:ascii="Times New Roman;serif" w:hAnsi="Times New Roman;serif"/>
          <w:b w:val="false"/>
          <w:color w:val="000000"/>
          <w:sz w:val="20"/>
        </w:rPr>
        <w:t xml:space="preserve">In November 2023, the FASB issued ASU No. 2023-07 (“ASU 2023-07”),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rPr>
        <w:t>. ASU 2023-07 requires annual and interim disclosures that are expected to improve reportable segment disclosures, primarily through enhanced disclosures about significant segment expenses. The standard was effective for the Company’s fiscal year beginning January 1, 2024 and the Company elected to apply the standard prospectively. The requirements of this ASU are disclosure-related and the adoption of this standard did not have a material effect on our consolidated financial position, results of operations, or cash flows.</w:t>
      </w:r>
    </w:p>
    <w:p>
      <w:pPr>
        <w:pStyle w:val="TextBody"/>
        <w:bidi w:val="0"/>
        <w:spacing w:lineRule="auto" w:line="288" w:before="240" w:after="283"/>
        <w:jc w:val="both"/>
        <w:rPr/>
      </w:pPr>
      <w:r>
        <w:rPr>
          <w:rFonts w:ascii="Times New Roman;serif" w:hAnsi="Times New Roman;serif"/>
          <w:b w:val="false"/>
          <w:color w:val="000000"/>
          <w:sz w:val="20"/>
        </w:rPr>
        <w:t xml:space="preserve">In December 2023, the FASB issued ASU No. 2023-09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standard was effective for the Company’s fiscal year beginning January 1, 2025 and the Company elected to apply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standard prospectively. The requirements of this ASU are disclosure-related and the adoption of this standard did not have a material effect on our consolidated financial position, results of operations, or cash flows.</w:t>
      </w:r>
    </w:p>
    <w:p>
      <w:pPr>
        <w:pStyle w:val="TextBody"/>
        <w:bidi w:val="0"/>
        <w:spacing w:lineRule="auto" w:line="288" w:before="240" w:after="283"/>
        <w:jc w:val="both"/>
        <w:rPr/>
      </w:pPr>
      <w:r>
        <w:rPr>
          <w:rFonts w:ascii="Times New Roman;serif" w:hAnsi="Times New Roman;serif"/>
          <w:b w:val="false"/>
          <w:color w:val="000000"/>
          <w:sz w:val="20"/>
        </w:rPr>
        <w:t xml:space="preserve">In July 2025, the FASB issued ASU No. 2025-05 (“ASU 2025-05”), ASU No. 2025-05,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ASU 2025-05 provides (1) all entities with a practical expedient and (2) entities other than public business entities, with an accounting policy election when estimating credit losses for current accounts receivable and current contract assets arising from transactions accounted for under ASC 606. If elected, this expedient removes the requirement, when estimating expected credit losses, to consider changes in forecasted macroeconomic conditions, such as changes in unemployment rates or gross domestic product growth. Instead, companies electing the expedient may assume that current conditions as of the balance sheet date will not change for the remaining life of the asset. This authoritative guidance is effective for annual periods beginning after December 15, 2025, and interim reporting periods within those annual reporting periods, with early adoption permitted. The Company adopted the practical expedient of ASU 2025-05 on October 1, 2025 and elected to apply the standard prospectively. The adoption had no material impact on our consolidated financial position, results of operations, or cash flows.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Not Yet Adopted</w:t>
      </w:r>
    </w:p>
    <w:p>
      <w:pPr>
        <w:pStyle w:val="TextBody"/>
        <w:bidi w:val="0"/>
        <w:spacing w:lineRule="auto" w:line="288" w:before="240" w:after="283"/>
        <w:jc w:val="both"/>
        <w:rPr/>
      </w:pPr>
      <w:r>
        <w:rPr>
          <w:rFonts w:ascii="Times New Roman;serif" w:hAnsi="Times New Roman;serif"/>
          <w:b w:val="false"/>
          <w:color w:val="000000"/>
          <w:sz w:val="20"/>
        </w:rPr>
        <w:t>In November 2024, the FASB issued ASU 2024-03 (“ASU 2024-03”),</w:t>
      </w:r>
      <w:r>
        <w:rPr>
          <w:color w:val="000000"/>
        </w:rPr>
        <w:t xml:space="preserve">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September 2025, the FASB issued ASU No. 2025-06 (“ASU 2025-06”), ASU No. 2025-06, </w:t>
      </w:r>
      <w:r>
        <w:rPr>
          <w:rFonts w:ascii="Times New Roman;serif" w:hAnsi="Times New Roman;serif"/>
          <w:b w:val="false"/>
          <w:i/>
          <w:color w:val="000000"/>
          <w:sz w:val="20"/>
        </w:rPr>
        <w:t>Intangibles—Goodwill and Other — Internal-Use Software (Subtopic 350-40): Targeted Improvements to the Accounting for Internal-Use Software</w:t>
      </w:r>
      <w:r>
        <w:rPr>
          <w:rFonts w:ascii="Times New Roman;serif" w:hAnsi="Times New Roman;serif"/>
          <w:b w:val="false"/>
          <w:color w:val="000000"/>
          <w:sz w:val="20"/>
        </w:rPr>
        <w:t>. ASU 2025-06 updates the cost capitalization threshold for internal-use software development costs by removing all references to software project development stages and providing new guidance on how to evaluate whether the probable-to-complete recognition threshold has been met. This authoritative guidance is effective for annual periods beginning after December 15, 2027, and interim periods within those annual reporting periods. The Company is currently evaluating the effect of this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NOTE 3 - CASH, CASH EQUIVALENTS AND SHORT-TERM INVESTMENTS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and December 31, 2024, we recorded $8,659 and $8,300, respectively, of money market funds at approximate fair value.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NOTE 4 - INVESTMENT SECURITIES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investment securities held at December 31, 2025 and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5 – PREPAID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Prepaid expenses consisted of the following as of December 31, 2025 and 2024:</w:t>
      </w:r>
    </w:p>
    <w:tbl>
      <w:tblPr>
        <w:tblW w:w="5678" w:type="dxa"/>
        <w:jc w:val="left"/>
        <w:tblInd w:w="0" w:type="dxa"/>
        <w:tblLayout w:type="fixed"/>
        <w:tblCellMar>
          <w:top w:w="28" w:type="dxa"/>
          <w:left w:w="28" w:type="dxa"/>
          <w:bottom w:w="28" w:type="dxa"/>
          <w:right w:w="28" w:type="dxa"/>
        </w:tblCellMar>
      </w:tblPr>
      <w:tblGrid>
        <w:gridCol w:w="1243"/>
        <w:gridCol w:w="1094"/>
        <w:gridCol w:w="1097"/>
        <w:gridCol w:w="211"/>
        <w:gridCol w:w="616"/>
        <w:gridCol w:w="109"/>
        <w:gridCol w:w="109"/>
        <w:gridCol w:w="109"/>
        <w:gridCol w:w="109"/>
        <w:gridCol w:w="211"/>
        <w:gridCol w:w="61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and exclusivity payments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6 – PROPERTY AND EQUIPMENT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owned equipment recorded at cost, which consisted of the following as of December 31, 2025 and 2024:</w:t>
      </w:r>
    </w:p>
    <w:tbl>
      <w:tblPr>
        <w:tblW w:w="4568" w:type="dxa"/>
        <w:jc w:val="left"/>
        <w:tblInd w:w="0" w:type="dxa"/>
        <w:tblLayout w:type="fixed"/>
        <w:tblCellMar>
          <w:top w:w="28" w:type="dxa"/>
          <w:left w:w="28" w:type="dxa"/>
          <w:bottom w:w="28" w:type="dxa"/>
          <w:right w:w="28" w:type="dxa"/>
        </w:tblCellMar>
      </w:tblPr>
      <w:tblGrid>
        <w:gridCol w:w="950"/>
        <w:gridCol w:w="834"/>
        <w:gridCol w:w="840"/>
        <w:gridCol w:w="211"/>
        <w:gridCol w:w="466"/>
        <w:gridCol w:w="109"/>
        <w:gridCol w:w="109"/>
        <w:gridCol w:w="109"/>
        <w:gridCol w:w="109"/>
        <w:gridCol w:w="211"/>
        <w:gridCol w:w="46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was $102 and $111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7 – GOODWILL AND INTANGIBLE ASSETS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goodwill is related to the acquisitions of Medicx Health in 2023, EvinceMed in 2022, RMDY Health, Inc. in 2019 and CareSpeak Communications in 2018. Goodwill is not amortizable for financial statement purposes.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at a reporting segment level at least annually, as of December 31, or on an interim basis if an event occurs or circumstances change (a “Triggering Event”).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performed its annual goodwill impairment test on a quantitative basis for its single reporting unit. In estimating the reporting unit’s fair value, the Company performed a valuation analysis, utilizing a discounted cash flow income approach and a guideline public company market approach. We assigned a probability weighting to each approach of 50%. The determination of the fair value of the reporting unit requires the Company to make significant estimates and assumptions about the reporting unit’s expected future cash flows. These estimates and assumptions primarily include, but are not limited to, the discount rate, revenue growth rates, operating margins and multiples of earnings. These estimates and assumptions were determined in connection with support from a third-party valuation specialist. The discount rate used is based on the estimated weighted-average cost of capital for companies with profiles similar to our profile and based on an assessment of the risk inherent in those future cash flows. To forecast the reporting unit’s cash flows, the Company takes into consideration economic conditions and trends, historical results and recent performance, estimated future operating results, management’s and a market participant’s view of growth rates, management’s ability to execute on planned future strategic initiatives and anticipates future economic conditions. Macroeconomic factors such as changes in economies, changes in the competitive landscape, changes in government legislation, industry consolidations and other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beyond the Company’s control could have a positive or negative impact on achieving its targets. 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 The market approach compares the valuation multiples of similar companies to that of the associated reporting unit. The Company then reconciles the calculated fair values to its market capitalization. Any amount of negative change to the above disclosed key assumptions could result in future impairment to goodwill.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performed the annual goodwill impairment test as of December 31, 2025. After completing testing, it was determined that the fair value of the Company’s single reporting unit was greater than its carrying value and no further impairment to goodwill was recorded for the year ended December 31, 2025.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2024, the Company experienced a Triggering Event due to a sustained decline in its stock price and overall market capitalization. Accordingly, the Company conducted a quantitative impairment test of its goodwill at September 30, 2024. The Company estimated the implied fair value of its goodwill using a combination of a market approach and income approach. It was determined that the fair value of the Company’s single reporting unit was less than its carrying value. A noncash charge of $7,489, representing the amount by which the Company’s book value exceeds its estimated fair value, was recorded as a goodwill impairment in the year ended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any reporting units, used in the annual assessments in 2025 and 2024, is classified as Level 3 measurements within the fair value hierarchy due to significant unobservable inputs, such as discount rates, projections of revenue, cost of revenue and operating expense growth rates, long-term growth rates and income tax rates.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on the consolidated balance sheets consist of the following:</w:t>
      </w:r>
    </w:p>
    <w:tbl>
      <w:tblPr>
        <w:tblW w:w="3485" w:type="dxa"/>
        <w:jc w:val="left"/>
        <w:tblInd w:w="0" w:type="dxa"/>
        <w:tblLayout w:type="fixed"/>
        <w:tblCellMar>
          <w:top w:w="28" w:type="dxa"/>
          <w:left w:w="28" w:type="dxa"/>
          <w:bottom w:w="28" w:type="dxa"/>
          <w:right w:w="28" w:type="dxa"/>
        </w:tblCellMar>
      </w:tblPr>
      <w:tblGrid>
        <w:gridCol w:w="869"/>
        <w:gridCol w:w="762"/>
        <w:gridCol w:w="768"/>
        <w:gridCol w:w="211"/>
        <w:gridCol w:w="72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Intangible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included on the consolidated balance sheets consist of the following:</w:t>
      </w:r>
    </w:p>
    <w:tbl>
      <w:tblPr>
        <w:tblW w:w="7622" w:type="dxa"/>
        <w:jc w:val="left"/>
        <w:tblInd w:w="0" w:type="dxa"/>
        <w:tblLayout w:type="fixed"/>
        <w:tblCellMar>
          <w:top w:w="28" w:type="dxa"/>
          <w:left w:w="28" w:type="dxa"/>
          <w:bottom w:w="28" w:type="dxa"/>
          <w:right w:w="28" w:type="dxa"/>
        </w:tblCellMar>
      </w:tblPr>
      <w:tblGrid>
        <w:gridCol w:w="785"/>
        <w:gridCol w:w="693"/>
        <w:gridCol w:w="696"/>
        <w:gridCol w:w="211"/>
        <w:gridCol w:w="721"/>
        <w:gridCol w:w="109"/>
        <w:gridCol w:w="109"/>
        <w:gridCol w:w="109"/>
        <w:gridCol w:w="109"/>
        <w:gridCol w:w="240"/>
        <w:gridCol w:w="821"/>
        <w:gridCol w:w="125"/>
        <w:gridCol w:w="109"/>
        <w:gridCol w:w="109"/>
        <w:gridCol w:w="109"/>
        <w:gridCol w:w="211"/>
        <w:gridCol w:w="721"/>
        <w:gridCol w:w="109"/>
        <w:gridCol w:w="109"/>
        <w:gridCol w:w="109"/>
        <w:gridCol w:w="109"/>
        <w:gridCol w:w="350"/>
        <w:gridCol w:w="350"/>
        <w:gridCol w:w="499"/>
      </w:tblGrid>
      <w:tr>
        <w:trPr/>
        <w:tc>
          <w:tcPr>
            <w:tcW w:w="7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 Life</w:t>
              <w:br/>
              <w:t>Remaining</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 rights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11,643 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7622" w:type="dxa"/>
        <w:jc w:val="left"/>
        <w:tblInd w:w="0" w:type="dxa"/>
        <w:tblLayout w:type="fixed"/>
        <w:tblCellMar>
          <w:top w:w="28" w:type="dxa"/>
          <w:left w:w="28" w:type="dxa"/>
          <w:bottom w:w="28" w:type="dxa"/>
          <w:right w:w="28" w:type="dxa"/>
        </w:tblCellMar>
      </w:tblPr>
      <w:tblGrid>
        <w:gridCol w:w="785"/>
        <w:gridCol w:w="693"/>
        <w:gridCol w:w="696"/>
        <w:gridCol w:w="211"/>
        <w:gridCol w:w="721"/>
        <w:gridCol w:w="109"/>
        <w:gridCol w:w="109"/>
        <w:gridCol w:w="109"/>
        <w:gridCol w:w="109"/>
        <w:gridCol w:w="267"/>
        <w:gridCol w:w="780"/>
        <w:gridCol w:w="139"/>
        <w:gridCol w:w="109"/>
        <w:gridCol w:w="109"/>
        <w:gridCol w:w="109"/>
        <w:gridCol w:w="211"/>
        <w:gridCol w:w="721"/>
        <w:gridCol w:w="109"/>
        <w:gridCol w:w="109"/>
        <w:gridCol w:w="109"/>
        <w:gridCol w:w="109"/>
        <w:gridCol w:w="350"/>
        <w:gridCol w:w="350"/>
        <w:gridCol w:w="499"/>
      </w:tblGrid>
      <w:tr>
        <w:trPr/>
        <w:tc>
          <w:tcPr>
            <w:tcW w:w="7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 Life</w:t>
              <w:br/>
              <w:t>Remaining</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 rights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7,509 </w:t>
            </w:r>
          </w:p>
        </w:tc>
        <w:tc>
          <w:tcPr>
            <w:tcW w:w="1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Intangibles are being amortized on a straight-line basis over the following estimated useful lives.</w:t>
      </w:r>
    </w:p>
    <w:tbl>
      <w:tblPr>
        <w:tblW w:w="3404" w:type="dxa"/>
        <w:jc w:val="left"/>
        <w:tblInd w:w="0" w:type="dxa"/>
        <w:tblLayout w:type="fixed"/>
        <w:tblCellMar>
          <w:top w:w="28" w:type="dxa"/>
          <w:left w:w="28" w:type="dxa"/>
          <w:bottom w:w="28" w:type="dxa"/>
          <w:right w:w="28" w:type="dxa"/>
        </w:tblCellMar>
      </w:tblPr>
      <w:tblGrid>
        <w:gridCol w:w="783"/>
        <w:gridCol w:w="692"/>
        <w:gridCol w:w="699"/>
        <w:gridCol w:w="360"/>
        <w:gridCol w:w="360"/>
        <w:gridCol w:w="510"/>
      </w:tblGrid>
      <w:tr>
        <w:trPr/>
        <w:tc>
          <w:tcPr>
            <w:tcW w:w="78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 – 17 years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 – 4 years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 years</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assets</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 10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impairment charges of $368 and $0 against the value of our intangible assets during the years ended December 31, 2025 and 2024, respectively. In 2023, the Company licensed certain technology to a customer under a two-year agreement. Upon receiving notice that the contract would not be renewed in 2025, and as the Company no longer utilizes the underlying technology, the patents and tradenames associated with this technology were determined to be fully impaired. Accordingly, an impairment charge of $368 was recorded and included in impairment charges within the consolidated statements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 of $4,225 and $4,218 in the years ended December 31, 2025 and 2024, respectively. Expected future amortization expense of the intangibles assets as of December 31, 2025 is as follows:</w:t>
      </w:r>
    </w:p>
    <w:tbl>
      <w:tblPr>
        <w:tblW w:w="3276" w:type="dxa"/>
        <w:jc w:val="left"/>
        <w:tblInd w:w="0" w:type="dxa"/>
        <w:tblLayout w:type="fixed"/>
        <w:tblCellMar>
          <w:top w:w="28" w:type="dxa"/>
          <w:left w:w="28" w:type="dxa"/>
          <w:bottom w:w="28" w:type="dxa"/>
          <w:right w:w="28" w:type="dxa"/>
        </w:tblCellMar>
      </w:tblPr>
      <w:tblGrid>
        <w:gridCol w:w="793"/>
        <w:gridCol w:w="696"/>
        <w:gridCol w:w="701"/>
        <w:gridCol w:w="211"/>
        <w:gridCol w:w="721"/>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8 – DEFERRED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$503 and $473 as of December 31,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respectively. These contracts are all short term in nature and all revenue is expected to be recognized within 12 months, or less. The following is a summary of activity in the deferred revenue account for the year ended December 31, 2025.</w:t>
      </w:r>
    </w:p>
    <w:tbl>
      <w:tblPr>
        <w:tblW w:w="3348" w:type="dxa"/>
        <w:jc w:val="left"/>
        <w:tblInd w:w="0" w:type="dxa"/>
        <w:tblLayout w:type="fixed"/>
        <w:tblCellMar>
          <w:top w:w="28" w:type="dxa"/>
          <w:left w:w="28" w:type="dxa"/>
          <w:bottom w:w="28" w:type="dxa"/>
          <w:right w:w="28" w:type="dxa"/>
        </w:tblCellMar>
      </w:tblPr>
      <w:tblGrid>
        <w:gridCol w:w="869"/>
        <w:gridCol w:w="762"/>
        <w:gridCol w:w="768"/>
        <w:gridCol w:w="247"/>
        <w:gridCol w:w="548"/>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2025</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collected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Following is a summary of activity in the deferred revenue account for the year ended December 31, 2024.</w:t>
      </w:r>
    </w:p>
    <w:tbl>
      <w:tblPr>
        <w:tblW w:w="3348" w:type="dxa"/>
        <w:jc w:val="left"/>
        <w:tblInd w:w="0" w:type="dxa"/>
        <w:tblLayout w:type="fixed"/>
        <w:tblCellMar>
          <w:top w:w="28" w:type="dxa"/>
          <w:left w:w="28" w:type="dxa"/>
          <w:bottom w:w="28" w:type="dxa"/>
          <w:right w:w="28" w:type="dxa"/>
        </w:tblCellMar>
      </w:tblPr>
      <w:tblGrid>
        <w:gridCol w:w="869"/>
        <w:gridCol w:w="762"/>
        <w:gridCol w:w="768"/>
        <w:gridCol w:w="247"/>
        <w:gridCol w:w="548"/>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2024</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79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(18,204)</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collected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9 –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Related party transactions include transactions between the Company and its stockholders, management, or affiliates. The following transactions were in the normal course of operations and were measured and recorded at the exchange amount, which is the amount of consideration established and agreed to by the parties.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2010, the Company acquired the technical contributions and assignment of all exclusive rights to and for a key patent in process at the time from a former Chief Executive Officer (“CEO”), in exchange for a total payment in shares of common stock and options valued at $930 at the time of the acquisition and recorded the patent at that cost. That patent remains in patents rights on the consolidated balance sheets as of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Jim Lang, one of our Board Members, in 2025, was the CEO of Eversana, a leading global provider of services to the life sciences industry. Eversana is similar to other customers from which we generate revenue, such as agencies or resellers. During the years ended December 31, 2025 and 2024, we have recognized $922 and $375, respectively, in revenue from contracts engaged with Eversana. These contracts were sourced by Eversana on behalf of life science customers of theirs. The contracts are at market rates and were generated in the normal course of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William J. Febbo, former Chief Executive Officer of OptimizeRx, was appointed to LifeMD’s board of directors during Q2 2023. During the year ended December 31, 2024, there was revenue in the amount of $434 from contracts engaged with LifeMD. The contracts were sourced by LifeMD on behalf of their customers and are at market rates and generated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10 – STOCKHOLDERS’ EQUITY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Preferred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had 10,000,000 shares of preferred stock, $0.001 par value per share, authorized as of December 31, 2025. No shares were issued or outstanding in either 2025 or 2024.</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166,666,667 shares of common stock, $0.001 par value per share, authorized as of December 31, 2025. There were 18,759,589 and 18,453,300 shares of common stock outstanding, net of shares held in treasury of 1,741,397 and 1,741,397, at December 31,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issued 23,807 shares of our common stock and received proceeds of $352 in 2025 in connection with the exercise of options issued under our 2013 Incentive Plan (the “2013 Plan”) and our 2021 Equity Incentive Plan (the “2021 Plan”). We issued no shares of our common stock and received no proceeds in 2024 in connection with the exercise of options under our 2013 Plan and our 2021 Plan.</w:t>
      </w:r>
    </w:p>
    <w:p>
      <w:pPr>
        <w:pStyle w:val="TextBody"/>
        <w:bidi w:val="0"/>
        <w:spacing w:lineRule="auto" w:line="288" w:before="240" w:after="283"/>
        <w:jc w:val="both"/>
        <w:rPr/>
      </w:pPr>
      <w:r>
        <w:rPr>
          <w:rFonts w:ascii="Times New Roman;serif" w:hAnsi="Times New Roman;serif"/>
          <w:b w:val="false"/>
          <w:color w:val="000000"/>
          <w:sz w:val="20"/>
        </w:rPr>
        <w:t xml:space="preserve">The Company issued 282,482 shares of our common stock in 2025 and 295,018 shares of our common stock in 2024 in connection with the vesting of restricted stock units issued under our 2013 Plan and our 2021 Plan. See Note 11, </w:t>
      </w:r>
      <w:r>
        <w:rPr>
          <w:rFonts w:ascii="Times New Roman;serif" w:hAnsi="Times New Roman;serif"/>
          <w:b w:val="false"/>
          <w:i/>
          <w:color w:val="000000"/>
          <w:sz w:val="20"/>
        </w:rPr>
        <w:t>Stock Based Compensation</w:t>
      </w:r>
      <w:r>
        <w:rPr>
          <w:rFonts w:ascii="Times New Roman;serif" w:hAnsi="Times New Roman;serif"/>
          <w:b w:val="false"/>
          <w:color w:val="000000"/>
          <w:sz w:val="20"/>
        </w:rPr>
        <w:t>. Some of the participants utilized a net withhold settlement method, in which shares were surrendered to cover payroll withholding taxes. Of the shares issued to participants during the years ended December 31, 2025 and 2024, respectively, 83,837 and 101,381 shares, valued at $1,150 and $911, were surrendered and subsequently cancelled.</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Treasury Stock </w:t>
      </w:r>
    </w:p>
    <w:p>
      <w:pPr>
        <w:pStyle w:val="TextBody"/>
        <w:bidi w:val="0"/>
        <w:spacing w:lineRule="auto" w:line="288" w:before="240" w:after="283"/>
        <w:jc w:val="both"/>
        <w:rPr/>
      </w:pPr>
      <w:r>
        <w:rPr>
          <w:rFonts w:ascii="Times New Roman;serif" w:hAnsi="Times New Roman;serif"/>
          <w:b w:val="false"/>
          <w:color w:val="000000"/>
          <w:sz w:val="20"/>
        </w:rPr>
        <w:t xml:space="preserve">During the quarter ended March 31, 2023, the Board authorized a share repurchase program, under which the Company could repurchase up to $15 million of its outstanding common stock. This stock repurchase authorization expired on March 12, 2024. </w:t>
      </w:r>
      <w:r>
        <w:rPr>
          <w:rFonts w:ascii="Times New Roman;serif" w:hAnsi="Times New Roman;serif"/>
          <w:b w:val="false"/>
          <w:color w:val="000000"/>
          <w:sz w:val="20"/>
          <w:shd w:fill="FFFFFF" w:val="clear"/>
        </w:rPr>
        <w:t>There were no shares repurchased in 2024 prior to the expiration.</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did not repurchase any of its outstanding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11 – STOCK 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sponsors two stock-based incentive compensation plans.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June 2013, the Board approved and adopted, and the Company’s stockholders approved, the 2013 Plan, which was subsequently amended and approved in 2016, 2018, 2019, and 2020. The 2013 Plan, as amended, authorized the issuance of 3,000,000 shares of Company common stock. In connection with the adoption of a new plan in 2021, the Company froze the 2013 Plan. A total of 133,678 shares of common stock underlying options and 4,000 shares of common stock underlying restricted stock unit awards were outstanding under the 2013 Plan at December 31, 2025. At December 31, 2025, there were no shares available for future grant under the 2013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2021, the Board approved and adopted the 2021 Plan. The 2021 plan was approved by shareholders in August 2021. On June 5, 2024, at the 2024 Annual Meeting of Stockholders, the Company’s stockholders approved an amendment to the 2021 Plan to increase the number of shares of common stock available for awards under the 2021 Plan by 1,950,000 shares for a total of 4,450,000 shares. A total of 2,232,255 shares of common stock underlying options and 712,070 shares of common stock underlying restricted stock unit awards were outstanding under the 2021 Plan at December 31, 2025. At December 31, 2025, 548,225 shares were available for grant under the 2021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2021 Plan allows the Company to grant incentive stock options, non-qualified stock options, stock appreciation rights, restricted stock, restricted stock units, performance awards and other stock-based awards. Incentive stock options may only be granted to persons who are regular full-time employees of the Company at the date of the grant of the option. Non-qualified stock options may be granted to any person, including, but not limited to, directors, officers, employees and consultants, who the Company’s Board or Compensation Committee determines. The exercise price of options granted under the 2021 Plan must be equal to at least 100% of the fair market value of our common stock as of the date of the grant of the option. Options granted under the 2021 Plan are exercisable as determined by the Compensation Committee and specified in the applicable award agreement. In no event will an option be exercisable after ten years from the date of grant.</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cost that has been charged against income related to options for the years ended December 31, 2025 and 2024, was $2,826 and $4,783, respectively. There is $7,623 of expense remaining to be recognized over a weighted average period of 2.4 years related to options outstanding at December 31, 2025. No income tax benefit was recognized in the consolidated statements of operations and no compensation was capitalized in any of the years presented. The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intrinsic value of outstanding options at December 31, 2025 was $5,228. The fair value of these instruments was calculated using the Black-Scholes option pricing model.</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From time to time, the Company grants performance based stock options, the expense for which will be recorded over time once the achievement of the performance is deemed probable. There was </w:t>
      </w:r>
      <w:r>
        <w:rPr>
          <w:rFonts w:ascii="Times New Roman;serif" w:hAnsi="Times New Roman;serif"/>
          <w:b w:val="false"/>
          <w:color w:val="000000"/>
          <w:sz w:val="20"/>
        </w:rPr>
        <w:t>$25 and $25 in expe</w:t>
      </w:r>
      <w:r>
        <w:rPr>
          <w:rFonts w:ascii="Times New Roman;serif" w:hAnsi="Times New Roman;serif"/>
          <w:b w:val="false"/>
          <w:color w:val="000000"/>
          <w:sz w:val="20"/>
          <w:shd w:fill="FFFFFF" w:val="clear"/>
        </w:rPr>
        <w:t xml:space="preserve">nse related to these options recorded during </w:t>
      </w:r>
      <w:r>
        <w:rPr>
          <w:rFonts w:ascii="Times New Roman;serif" w:hAnsi="Times New Roman;serif"/>
          <w:b w:val="false"/>
          <w:color w:val="000000"/>
          <w:sz w:val="20"/>
        </w:rPr>
        <w:t>the years ended December 31, 2025 and 2024, respectively</w:t>
      </w:r>
      <w:r>
        <w:rPr>
          <w:rFonts w:ascii="Times New Roman;serif" w:hAnsi="Times New Roman;serif"/>
          <w:b w:val="false"/>
          <w:color w:val="000000"/>
          <w:sz w:val="20"/>
          <w:shd w:fill="FFFFFF" w:val="clear"/>
        </w:rPr>
        <w:t>. The fair value of these instruments was calculated using the Black-Scholes option pricing model.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option activity during the years ended December 31, 2025 and 2024:</w:t>
      </w:r>
    </w:p>
    <w:tbl>
      <w:tblPr>
        <w:tblW w:w="10205" w:type="dxa"/>
        <w:jc w:val="left"/>
        <w:tblInd w:w="0" w:type="dxa"/>
        <w:tblLayout w:type="fixed"/>
        <w:tblCellMar>
          <w:top w:w="28" w:type="dxa"/>
          <w:left w:w="28" w:type="dxa"/>
          <w:bottom w:w="28" w:type="dxa"/>
          <w:right w:w="28" w:type="dxa"/>
        </w:tblCellMar>
      </w:tblPr>
      <w:tblGrid>
        <w:gridCol w:w="748"/>
        <w:gridCol w:w="636"/>
        <w:gridCol w:w="640"/>
        <w:gridCol w:w="564"/>
        <w:gridCol w:w="485"/>
        <w:gridCol w:w="403"/>
        <w:gridCol w:w="109"/>
        <w:gridCol w:w="109"/>
        <w:gridCol w:w="109"/>
        <w:gridCol w:w="406"/>
        <w:gridCol w:w="1186"/>
        <w:gridCol w:w="209"/>
        <w:gridCol w:w="109"/>
        <w:gridCol w:w="109"/>
        <w:gridCol w:w="109"/>
        <w:gridCol w:w="867"/>
        <w:gridCol w:w="867"/>
        <w:gridCol w:w="870"/>
        <w:gridCol w:w="109"/>
        <w:gridCol w:w="109"/>
        <w:gridCol w:w="109"/>
        <w:gridCol w:w="287"/>
        <w:gridCol w:w="839"/>
        <w:gridCol w:w="217"/>
      </w:tblGrid>
      <w:tr>
        <w:trPr/>
        <w:tc>
          <w:tcPr>
            <w:tcW w:w="74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Number of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 intrinsic</w:t>
              <w:br/>
              <w:t>value $</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2024</w:t>
            </w:r>
          </w:p>
        </w:tc>
        <w:tc>
          <w:tcPr>
            <w:tcW w:w="10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1,555,061 </w:t>
            </w:r>
          </w:p>
        </w:tc>
        <w:tc>
          <w:tcPr>
            <w:tcW w:w="4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716,297 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 or forfeited</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(425,508)</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1,845,850 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789,281 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(23,807)</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 or forfeited</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(245,391)</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2,365,933 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December 31, 2025</w:t>
            </w:r>
          </w:p>
        </w:tc>
        <w:tc>
          <w:tcPr>
            <w:tcW w:w="10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1,062,545 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table below reflects information for the total options outstanding at December 31, 2025.</w:t>
      </w:r>
    </w:p>
    <w:tbl>
      <w:tblPr>
        <w:tblW w:w="10205" w:type="dxa"/>
        <w:jc w:val="left"/>
        <w:tblInd w:w="0" w:type="dxa"/>
        <w:tblLayout w:type="fixed"/>
        <w:tblCellMar>
          <w:top w:w="28" w:type="dxa"/>
          <w:left w:w="28" w:type="dxa"/>
          <w:bottom w:w="28" w:type="dxa"/>
          <w:right w:w="28" w:type="dxa"/>
        </w:tblCellMar>
      </w:tblPr>
      <w:tblGrid>
        <w:gridCol w:w="654"/>
        <w:gridCol w:w="574"/>
        <w:gridCol w:w="575"/>
        <w:gridCol w:w="109"/>
        <w:gridCol w:w="109"/>
        <w:gridCol w:w="109"/>
        <w:gridCol w:w="549"/>
        <w:gridCol w:w="519"/>
        <w:gridCol w:w="479"/>
        <w:gridCol w:w="109"/>
        <w:gridCol w:w="109"/>
        <w:gridCol w:w="109"/>
        <w:gridCol w:w="1172"/>
        <w:gridCol w:w="1172"/>
        <w:gridCol w:w="1176"/>
        <w:gridCol w:w="109"/>
        <w:gridCol w:w="109"/>
        <w:gridCol w:w="109"/>
        <w:gridCol w:w="505"/>
        <w:gridCol w:w="1474"/>
        <w:gridCol w:w="375"/>
      </w:tblGrid>
      <w:tr>
        <w:trPr/>
        <w:tc>
          <w:tcPr>
            <w:tcW w:w="65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Range of Exercise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exercise price</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$4.83 to $10.00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767,117 </w:t>
            </w:r>
          </w:p>
        </w:tc>
        <w:tc>
          <w:tcPr>
            <w:tcW w:w="4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3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$10.00 to $20.00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1,281,606 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$20.00 to $40.00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76,822 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$40.00 to $60.00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145,323 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$60.00 to $96.70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95,065 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2,365,933 </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table below reflects information for the vested options outstanding at December 31, 2025.</w:t>
      </w:r>
    </w:p>
    <w:tbl>
      <w:tblPr>
        <w:tblW w:w="10205" w:type="dxa"/>
        <w:jc w:val="left"/>
        <w:tblInd w:w="0" w:type="dxa"/>
        <w:tblLayout w:type="fixed"/>
        <w:tblCellMar>
          <w:top w:w="28" w:type="dxa"/>
          <w:left w:w="28" w:type="dxa"/>
          <w:bottom w:w="28" w:type="dxa"/>
          <w:right w:w="28" w:type="dxa"/>
        </w:tblCellMar>
      </w:tblPr>
      <w:tblGrid>
        <w:gridCol w:w="654"/>
        <w:gridCol w:w="574"/>
        <w:gridCol w:w="575"/>
        <w:gridCol w:w="109"/>
        <w:gridCol w:w="109"/>
        <w:gridCol w:w="109"/>
        <w:gridCol w:w="549"/>
        <w:gridCol w:w="519"/>
        <w:gridCol w:w="479"/>
        <w:gridCol w:w="109"/>
        <w:gridCol w:w="109"/>
        <w:gridCol w:w="109"/>
        <w:gridCol w:w="1172"/>
        <w:gridCol w:w="1172"/>
        <w:gridCol w:w="1176"/>
        <w:gridCol w:w="109"/>
        <w:gridCol w:w="109"/>
        <w:gridCol w:w="109"/>
        <w:gridCol w:w="505"/>
        <w:gridCol w:w="1474"/>
        <w:gridCol w:w="375"/>
      </w:tblGrid>
      <w:tr>
        <w:trPr/>
        <w:tc>
          <w:tcPr>
            <w:tcW w:w="65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Range of Exercise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exercise price</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$4.83 to $10.00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284,034 </w:t>
            </w:r>
          </w:p>
        </w:tc>
        <w:tc>
          <w:tcPr>
            <w:tcW w:w="4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3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$10.00 to $20.00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466,572 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$20.00 to $40.00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71,551 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$40.00 to $60.00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145,323 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$60.00 to $96.70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95,065 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1,062,545 </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status of the Company’s non-vested options as of December 31, 2025, and changes during the year ended December 31, 2025, is presented below.</w:t>
      </w:r>
    </w:p>
    <w:tbl>
      <w:tblPr>
        <w:tblW w:w="7475" w:type="dxa"/>
        <w:jc w:val="left"/>
        <w:tblInd w:w="0" w:type="dxa"/>
        <w:tblLayout w:type="fixed"/>
        <w:tblCellMar>
          <w:top w:w="28" w:type="dxa"/>
          <w:left w:w="28" w:type="dxa"/>
          <w:bottom w:w="28" w:type="dxa"/>
          <w:right w:w="28" w:type="dxa"/>
        </w:tblCellMar>
      </w:tblPr>
      <w:tblGrid>
        <w:gridCol w:w="1015"/>
        <w:gridCol w:w="892"/>
        <w:gridCol w:w="897"/>
        <w:gridCol w:w="109"/>
        <w:gridCol w:w="109"/>
        <w:gridCol w:w="109"/>
        <w:gridCol w:w="488"/>
        <w:gridCol w:w="488"/>
        <w:gridCol w:w="266"/>
        <w:gridCol w:w="109"/>
        <w:gridCol w:w="109"/>
        <w:gridCol w:w="109"/>
        <w:gridCol w:w="597"/>
        <w:gridCol w:w="1743"/>
        <w:gridCol w:w="435"/>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exercise price</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1,032,363 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789,281 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(461,966)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(56,290)</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1,303,388 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restricted stock unit (“RSU”) activity during the years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56"/>
        <w:gridCol w:w="751"/>
        <w:gridCol w:w="756"/>
        <w:gridCol w:w="499"/>
        <w:gridCol w:w="449"/>
        <w:gridCol w:w="421"/>
        <w:gridCol w:w="109"/>
        <w:gridCol w:w="109"/>
        <w:gridCol w:w="109"/>
        <w:gridCol w:w="565"/>
        <w:gridCol w:w="1651"/>
        <w:gridCol w:w="292"/>
        <w:gridCol w:w="109"/>
        <w:gridCol w:w="109"/>
        <w:gridCol w:w="109"/>
        <w:gridCol w:w="968"/>
        <w:gridCol w:w="968"/>
        <w:gridCol w:w="1375"/>
      </w:tblGrid>
      <w:tr>
        <w:trPr/>
        <w:tc>
          <w:tcPr>
            <w:tcW w:w="8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Number of 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remaining contractual life (years)</w:t>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2024</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743,209 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545,772 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(198,256)</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issued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(295,018)</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Withheld and cancelled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(101,381)</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694,326 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419,356 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(83,837)</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issued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(282,482)</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Withheld and cancelled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(31,293)</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716,070 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granted 419,356 and 545,772 RSUs in 2025 and 2024, respectively, valued at $6,319 and $4,128, respectively. RSUs vest over a period of 1 year to 3 years. The Company recognized expense of $4,136 and $6,683 in 2025 and 2024, respectively, related to RSUs. A total of $7,076 remains to be recognized at December 31, 2025 over a weighted average period of 1.01 years. The fair value of these instruments is based on the closing price of our common stock as reported on the Nasdaq Capital Market on the date of grant.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certain participants utilized a net withhold settlement method, in which shares were surrendered to cover payroll withholding tax. Of the shares issued to participants during the years ended December 31, 2025 and 2024, respectively, 83,837 and 101,381 shares, valued at $1,150 and $911, were surrendered and subsequently cancelled.</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From time to time, the Company grants certain performance based RSUs, the expense for which will be recorded over time once the achievement of the performance is deemed probable. There was </w:t>
      </w:r>
      <w:r>
        <w:rPr>
          <w:rFonts w:ascii="Times New Roman;serif" w:hAnsi="Times New Roman;serif"/>
          <w:b w:val="false"/>
          <w:color w:val="000000"/>
          <w:sz w:val="20"/>
        </w:rPr>
        <w:t>$25</w:t>
      </w:r>
      <w:r>
        <w:rPr>
          <w:color w:val="000000"/>
          <w:shd w:fill="FFFFFF" w:val="clear"/>
        </w:rPr>
        <w:t xml:space="preserve"> </w:t>
      </w:r>
      <w:r>
        <w:rPr>
          <w:rFonts w:ascii="Times New Roman;serif" w:hAnsi="Times New Roman;serif"/>
          <w:b w:val="false"/>
          <w:color w:val="000000"/>
          <w:sz w:val="20"/>
          <w:shd w:fill="FFFFFF" w:val="clear"/>
        </w:rPr>
        <w:t xml:space="preserve">and $25 in expense related to these RSUs recorded during </w:t>
      </w:r>
      <w:r>
        <w:rPr>
          <w:rFonts w:ascii="Times New Roman;serif" w:hAnsi="Times New Roman;serif"/>
          <w:b w:val="false"/>
          <w:color w:val="000000"/>
          <w:sz w:val="20"/>
        </w:rPr>
        <w:t>the years ended December 31, 2025 and 2024, respectively</w:t>
      </w:r>
      <w:r>
        <w:rPr>
          <w:rFonts w:ascii="Times New Roman;serif" w:hAnsi="Times New Roman;serif"/>
          <w:b w:val="false"/>
          <w:color w:val="000000"/>
          <w:sz w:val="20"/>
          <w:shd w:fill="FFFFFF" w:val="clear"/>
        </w:rPr>
        <w:t>. The fair value of these instruments is based on the closing price of our common stock as reported on the Nasdaq Capital Market on the date of grant.</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Non-employee Directors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director’s compensation program calls for the grant of RSUs with a one year vesting period. The Company granted 49,340 and 64,896 RSUs, valued at $750 and $750, to the non-employee directors in 2025 and 2024, respectively. There was $714 and $780 included in the compensation expense discussed above related to director's compensation for the years ended December 31, 2025 and 2024,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 Award Modification</w:t>
      </w:r>
    </w:p>
    <w:p>
      <w:pPr>
        <w:pStyle w:val="TextBody"/>
        <w:bidi w:val="0"/>
        <w:spacing w:lineRule="auto" w:line="288" w:before="200" w:after="283"/>
        <w:jc w:val="both"/>
        <w:rPr/>
      </w:pPr>
      <w:r>
        <w:rPr>
          <w:rFonts w:ascii="Times New Roman;serif" w:hAnsi="Times New Roman;serif"/>
          <w:b w:val="false"/>
          <w:color w:val="000000"/>
          <w:sz w:val="20"/>
        </w:rPr>
        <w:t xml:space="preserve">On April 16, 2023, the Compensation Committee approved a grant to the Company’s then CEO of 86,685 RSUs and 161,698 stock options with a grant date fair value of $2,500 to vest over a three years period. Concurrently, the then CEO forfeited his October 2021 grant of 182,398 market-based RSUs. The forfeiture and accompanying grant were considered an equity modification according to ASC 718, </w:t>
      </w:r>
      <w:r>
        <w:rPr>
          <w:rFonts w:ascii="Times New Roman;serif" w:hAnsi="Times New Roman;serif"/>
          <w:b w:val="false"/>
          <w:i/>
          <w:color w:val="000000"/>
          <w:sz w:val="20"/>
        </w:rPr>
        <w:t>Compensation-Stock Compensation (</w:t>
      </w:r>
      <w:r>
        <w:rPr>
          <w:color w:val="000000"/>
        </w:rPr>
        <w:t>“</w:t>
      </w:r>
      <w:r>
        <w:rPr>
          <w:rFonts w:ascii="Times New Roman;serif" w:hAnsi="Times New Roman;serif"/>
          <w:b w:val="false"/>
          <w:color w:val="000000"/>
          <w:sz w:val="20"/>
        </w:rPr>
        <w:t xml:space="preserve">ASC 718”). The additional compensation value created by the termination and issuance of new equity awarded, as measured using a Monte Carlo simulation, was approximately $1,900 in total. Under ASC 718, this results in a non-cash expense in current and future periods to be recognized over a three year period. These expense values are reflected and included in the option and restricted stock expense values discussed above. At December 31, 2024, the remaining expense of $1,556 related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October 2021 grant of market-based restricted stock units was accelerated upon the departure of the CEO. The expense for unvested stock-options and restricted stock units related to the April 2023 grant was reversed.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12 – LONG-TERM DEBT</w:t>
      </w:r>
    </w:p>
    <w:p>
      <w:pPr>
        <w:pStyle w:val="TextBody"/>
        <w:bidi w:val="0"/>
        <w:spacing w:lineRule="auto" w:line="288" w:before="240" w:after="283"/>
        <w:jc w:val="both"/>
        <w:rPr/>
      </w:pPr>
      <w:r>
        <w:rPr>
          <w:rFonts w:ascii="Times New Roman;serif" w:hAnsi="Times New Roman;serif"/>
          <w:b w:val="false"/>
          <w:color w:val="000000"/>
          <w:sz w:val="20"/>
        </w:rPr>
        <w:t>Long-term debt, net comprised of the following at</w:t>
      </w:r>
      <w:r>
        <w:rPr>
          <w:color w:val="000000"/>
        </w:rPr>
        <w:t xml:space="preserve"> </w:t>
      </w:r>
      <w:r>
        <w:rPr>
          <w:rFonts w:ascii="Times New Roman;serif" w:hAnsi="Times New Roman;serif"/>
          <w:b w:val="false"/>
          <w:color w:val="000000"/>
          <w:sz w:val="20"/>
        </w:rPr>
        <w:t>December 31, 2025 and 2024:</w:t>
      </w:r>
    </w:p>
    <w:tbl>
      <w:tblPr>
        <w:tblW w:w="5709" w:type="dxa"/>
        <w:jc w:val="left"/>
        <w:tblInd w:w="0" w:type="dxa"/>
        <w:tblLayout w:type="fixed"/>
        <w:tblCellMar>
          <w:top w:w="28" w:type="dxa"/>
          <w:left w:w="28" w:type="dxa"/>
          <w:bottom w:w="28" w:type="dxa"/>
          <w:right w:w="28" w:type="dxa"/>
        </w:tblCellMar>
      </w:tblPr>
      <w:tblGrid>
        <w:gridCol w:w="1179"/>
        <w:gridCol w:w="1035"/>
        <w:gridCol w:w="1041"/>
        <w:gridCol w:w="211"/>
        <w:gridCol w:w="721"/>
        <w:gridCol w:w="109"/>
        <w:gridCol w:w="109"/>
        <w:gridCol w:w="109"/>
        <w:gridCol w:w="109"/>
        <w:gridCol w:w="211"/>
        <w:gridCol w:w="721"/>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in 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11, 2023, the Company entered into a Financing Agreement (the “Financing Agreement”) which provided for a term loan (the “Term Loan”) of $40 million, the net proceeds of which were used to partially finance the Medicx Health transaction. In connection with the Term Loan the Company incurred issuance costs of approximately $2,270, which were capitalized and are being amortized to interest expense over the life of the Term Loan. Amortization of debt issuance costs for the years ended December 31, 2025 and 2024 was $1,110 and $835, respectively.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obligations under the Term Loan are secured by all of the Company’s and its subsidiaries’ assets (including a pledge of all of the capital stock and equity interests of its subsidiaries).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Term Loan is repayable in quarterly installments on the last business day of each fiscal quarter, beginning December 31, 2023, in an amount equivalent to 1.25%, of the original principal amount. The outstanding unpaid principal amount and all accrued but unpaid interest thereon, shall be due and payable on the earlier of (i) the fourth anniversary of the closing date of the Term Loan or (ii) the date on which the Term Loan is declared due and payable pursuant to the terms of the Financing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may prepay, subject to an Applicable Premium, 3% if the prepayment is made on a date that is up to and including the first anniversary of closing, 2%, if the prepayment is made up to and including the second anniversary, 1% if the prepayment is made up to and including the third anniversary and zero thereafter, all or a portion of the Term Loan and, under certain circumstances, including certain asset disposals and the raising of indebtedness not permitted under the Term Loan is required to make mandatory prepayments of the principal balance. If the prepayment occurs within 12 months of the date of the loan, the Company is also required to pay lost interest from the prepayment date to one year from the loan funding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Company is required to make a mandatory prepayment on March 31, of each year, commencing with 2025, equivalent to Excess Cash Flow multiplied by a percentage factor of 25%, if the leverage ratio is 3.60 to 1.00 or less, 50% if the leverage ratio is greater than 3.60 to 1.00 or less than or equal; to 4.10 to 1.00 and 75%, if the leverage ratio is greater than 4.10 to 1.00. Excess Cash Flow is defined in the Financing Agreement as Consolidated EBITDA for the previous fiscal year less scheduled principal and interest payments, capital expenditure, cash taxes and any cash expenses/gains added back to net income (loss) in the calculation of Consolidated EBITDA, adjusted for any increase/decrease in working capital during the fiscal year.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made total principal repayments, including voluntary prepayments, of $8,000 and $4,000, respectively.</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the Company’s option the Term Loan, or any portion thereof bears interest at either: </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greater of (a) 4.00% per annum, (b) the Federal Funds Rate plus 0.50% per annum, (c) the one month Secured Overnight Financing Rate (“SOFR”), plus an adjustment of 26 basis point and 1.00% per annum, and (d) the rate last quoted by The Wall Street Journal as the “Prime Rate”, plus an Applicable Margin of 7.5%; or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b.Three-month SOFR plus an adjustment of 26 basis points and an Applicable Margin of 8.5%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Term Loan bears interest at 12.5%, with an effective interest rate of 17.1% for the year ended December 31, 2025, including the impact of amortization of debt issuance costs.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Term Loan requires the Company to maintain certain maximum leverage ratios and Liquidity (as defined in the Financing Agreement), of at least $5.0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its financial covenants as of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Term Loan contains customary events of default, which include, (subject to, in certain circumstances to grace and cure periods), non-payment of principal and interest, non-compliance with certain covenants, commencement of bankruptcy proceedings and a change in control.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Payments due on the Term Loan in each of the next two years subsequent to December 31, 2025, are as follows:</w:t>
      </w:r>
    </w:p>
    <w:tbl>
      <w:tblPr>
        <w:tblW w:w="3980" w:type="dxa"/>
        <w:jc w:val="left"/>
        <w:tblInd w:w="0" w:type="dxa"/>
        <w:tblLayout w:type="fixed"/>
        <w:tblCellMar>
          <w:top w:w="28" w:type="dxa"/>
          <w:left w:w="28" w:type="dxa"/>
          <w:bottom w:w="28" w:type="dxa"/>
          <w:right w:w="28" w:type="dxa"/>
        </w:tblCellMar>
      </w:tblPr>
      <w:tblGrid>
        <w:gridCol w:w="1048"/>
        <w:gridCol w:w="920"/>
        <w:gridCol w:w="926"/>
        <w:gridCol w:w="211"/>
        <w:gridCol w:w="721"/>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ending December 31, </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13 –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had operating leases with terms greater than 12 months for office space in four multi-tenant facilities, which are recorded as operating lease right-of-use assets and operating lease liabilities within the consolidated balance sheets.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Company’s lease cost consists of the following components, each of which is included in operating expenses within the consolidated statements of operations:</w:t>
      </w:r>
    </w:p>
    <w:tbl>
      <w:tblPr>
        <w:tblW w:w="4014" w:type="dxa"/>
        <w:jc w:val="left"/>
        <w:tblInd w:w="0" w:type="dxa"/>
        <w:tblLayout w:type="fixed"/>
        <w:tblCellMar>
          <w:top w:w="28" w:type="dxa"/>
          <w:left w:w="28" w:type="dxa"/>
          <w:bottom w:w="28" w:type="dxa"/>
          <w:right w:w="28" w:type="dxa"/>
        </w:tblCellMar>
      </w:tblPr>
      <w:tblGrid>
        <w:gridCol w:w="749"/>
        <w:gridCol w:w="658"/>
        <w:gridCol w:w="663"/>
        <w:gridCol w:w="211"/>
        <w:gridCol w:w="466"/>
        <w:gridCol w:w="109"/>
        <w:gridCol w:w="109"/>
        <w:gridCol w:w="109"/>
        <w:gridCol w:w="109"/>
        <w:gridCol w:w="211"/>
        <w:gridCol w:w="46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 (1)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55" w:type="dxa"/>
        <w:jc w:val="left"/>
        <w:tblInd w:w="0" w:type="dxa"/>
        <w:tblLayout w:type="fixed"/>
        <w:tblCellMar>
          <w:top w:w="28" w:type="dxa"/>
          <w:left w:w="28" w:type="dxa"/>
          <w:bottom w:w="28" w:type="dxa"/>
          <w:right w:w="28" w:type="dxa"/>
        </w:tblCellMar>
      </w:tblPr>
      <w:tblGrid>
        <w:gridCol w:w="125"/>
        <w:gridCol w:w="110"/>
        <w:gridCol w:w="110"/>
        <w:gridCol w:w="1815"/>
        <w:gridCol w:w="1815"/>
        <w:gridCol w:w="2580"/>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2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Short-term lease cost includes any lease with a term of less than 12 months.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future minimum lease payments to be made under operating leases in each of the next five fiscal years:</w:t>
      </w:r>
    </w:p>
    <w:tbl>
      <w:tblPr>
        <w:tblW w:w="3246" w:type="dxa"/>
        <w:jc w:val="left"/>
        <w:tblInd w:w="0" w:type="dxa"/>
        <w:tblLayout w:type="fixed"/>
        <w:tblCellMar>
          <w:top w:w="28" w:type="dxa"/>
          <w:left w:w="28" w:type="dxa"/>
          <w:bottom w:w="28" w:type="dxa"/>
          <w:right w:w="28" w:type="dxa"/>
        </w:tblCellMar>
      </w:tblPr>
      <w:tblGrid>
        <w:gridCol w:w="875"/>
        <w:gridCol w:w="769"/>
        <w:gridCol w:w="771"/>
        <w:gridCol w:w="211"/>
        <w:gridCol w:w="46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at December 31, 2025 for the operating leases is 2.26 years and the weighted average discount rate used in calculating the operating lease asset and liability is 6.3%. Cash paid for amounts included in the measurement of lease liabilities was $198 and $227 the years ended December 31, 2025 and 2024, respectively. For the years ended December 31, 2025 and 2024, payments on lease obligations were $229 and $260, respectively, and amortization on the right of use assets was $240 and $237,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14 – MAJOR CUSTOMERS AND VENDORS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customers that accounted for 10% or greater of revenue in either 2025 or 2024. No other customers accounted for more than 10% of revenue in either year presented.</w:t>
      </w:r>
    </w:p>
    <w:tbl>
      <w:tblPr>
        <w:tblW w:w="5006" w:type="dxa"/>
        <w:jc w:val="left"/>
        <w:tblInd w:w="0" w:type="dxa"/>
        <w:tblLayout w:type="fixed"/>
        <w:tblCellMar>
          <w:top w:w="28" w:type="dxa"/>
          <w:left w:w="28" w:type="dxa"/>
          <w:bottom w:w="28" w:type="dxa"/>
          <w:right w:w="28" w:type="dxa"/>
        </w:tblCellMar>
      </w:tblPr>
      <w:tblGrid>
        <w:gridCol w:w="391"/>
        <w:gridCol w:w="344"/>
        <w:gridCol w:w="345"/>
        <w:gridCol w:w="360"/>
        <w:gridCol w:w="361"/>
        <w:gridCol w:w="109"/>
        <w:gridCol w:w="109"/>
        <w:gridCol w:w="109"/>
        <w:gridCol w:w="109"/>
        <w:gridCol w:w="255"/>
        <w:gridCol w:w="256"/>
        <w:gridCol w:w="109"/>
        <w:gridCol w:w="109"/>
        <w:gridCol w:w="109"/>
        <w:gridCol w:w="109"/>
        <w:gridCol w:w="360"/>
        <w:gridCol w:w="361"/>
        <w:gridCol w:w="109"/>
        <w:gridCol w:w="109"/>
        <w:gridCol w:w="109"/>
        <w:gridCol w:w="109"/>
        <w:gridCol w:w="255"/>
        <w:gridCol w:w="256"/>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Less than 10% of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accounts receivable included two agencies, that represented multiple customers, that individually made up more than 10% of our accounts receivable at December 31, 2025 in the percentages of 23.0% and 18.8%. As of December 31, 2024, our accounts receivable included three agencies, that represented multiple customers, that individually made up more than 10% of our accounts receivable in the percentages of 32.0%, 21.1% and 11.2%.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generates a portion of its revenues through its EHR and eRx channel partners. There were three key channel partners and/or vendors through which 10% or greater of its revenue was generated in either 2025 or 2024 as set forth below. The amounts in the table below reflect the amount of revenue generated through those channel partners. </w:t>
      </w:r>
    </w:p>
    <w:tbl>
      <w:tblPr>
        <w:tblW w:w="4796" w:type="dxa"/>
        <w:jc w:val="left"/>
        <w:tblInd w:w="0" w:type="dxa"/>
        <w:tblLayout w:type="fixed"/>
        <w:tblCellMar>
          <w:top w:w="28" w:type="dxa"/>
          <w:left w:w="28" w:type="dxa"/>
          <w:bottom w:w="28" w:type="dxa"/>
          <w:right w:w="28" w:type="dxa"/>
        </w:tblCellMar>
      </w:tblPr>
      <w:tblGrid>
        <w:gridCol w:w="315"/>
        <w:gridCol w:w="277"/>
        <w:gridCol w:w="278"/>
        <w:gridCol w:w="360"/>
        <w:gridCol w:w="361"/>
        <w:gridCol w:w="109"/>
        <w:gridCol w:w="109"/>
        <w:gridCol w:w="109"/>
        <w:gridCol w:w="109"/>
        <w:gridCol w:w="255"/>
        <w:gridCol w:w="256"/>
        <w:gridCol w:w="109"/>
        <w:gridCol w:w="109"/>
        <w:gridCol w:w="109"/>
        <w:gridCol w:w="109"/>
        <w:gridCol w:w="360"/>
        <w:gridCol w:w="361"/>
        <w:gridCol w:w="109"/>
        <w:gridCol w:w="109"/>
        <w:gridCol w:w="109"/>
        <w:gridCol w:w="109"/>
        <w:gridCol w:w="255"/>
        <w:gridCol w:w="256"/>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 A</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 B</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 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15 –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net operating loss (“NOLs”) carry-forwards for federal income tax purposes of approximately $8,500, consisting of post-2017 losses that will never expire. These net operating losses are available to offset future taxable income. The Company was formed in 2008 as a Nevada Corporation. Activity prior to incorporation is not reflected in the Company’s corporate tax returns. In the future, the cumulative net operating loss carry-forward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 purposes may differ from the cumulative financial statement loss due to timing differences between book and tax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income (loss) before provision for income taxes are as follows for the years ended December 31, 2025 and 2024:</w:t>
      </w:r>
    </w:p>
    <w:tbl>
      <w:tblPr>
        <w:tblW w:w="5145" w:type="dxa"/>
        <w:jc w:val="left"/>
        <w:tblInd w:w="0" w:type="dxa"/>
        <w:tblLayout w:type="fixed"/>
        <w:tblCellMar>
          <w:top w:w="28" w:type="dxa"/>
          <w:left w:w="28" w:type="dxa"/>
          <w:bottom w:w="28" w:type="dxa"/>
          <w:right w:w="28" w:type="dxa"/>
        </w:tblCellMar>
      </w:tblPr>
      <w:tblGrid>
        <w:gridCol w:w="1038"/>
        <w:gridCol w:w="912"/>
        <w:gridCol w:w="915"/>
        <w:gridCol w:w="308"/>
        <w:gridCol w:w="308"/>
        <w:gridCol w:w="176"/>
        <w:gridCol w:w="109"/>
        <w:gridCol w:w="109"/>
        <w:gridCol w:w="109"/>
        <w:gridCol w:w="211"/>
        <w:gridCol w:w="79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income tax expense are as follows for the years ended December 31, 2025 and 2024:</w:t>
      </w:r>
    </w:p>
    <w:tbl>
      <w:tblPr>
        <w:tblW w:w="4809" w:type="dxa"/>
        <w:jc w:val="left"/>
        <w:tblInd w:w="0" w:type="dxa"/>
        <w:tblLayout w:type="fixed"/>
        <w:tblCellMar>
          <w:top w:w="28" w:type="dxa"/>
          <w:left w:w="28" w:type="dxa"/>
          <w:bottom w:w="28" w:type="dxa"/>
          <w:right w:w="28" w:type="dxa"/>
        </w:tblCellMar>
      </w:tblPr>
      <w:tblGrid>
        <w:gridCol w:w="929"/>
        <w:gridCol w:w="816"/>
        <w:gridCol w:w="820"/>
        <w:gridCol w:w="211"/>
        <w:gridCol w:w="691"/>
        <w:gridCol w:w="109"/>
        <w:gridCol w:w="109"/>
        <w:gridCol w:w="109"/>
        <w:gridCol w:w="109"/>
        <w:gridCol w:w="211"/>
        <w:gridCol w:w="54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expense - Federal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expense - 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tax expense - 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expense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expense - Federal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expense - State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expense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differences between income taxes expected at the U.S. federal statutory income tax rate and income taxes reported were as follows for the year ended December 31, 2025:</w:t>
      </w:r>
    </w:p>
    <w:tbl>
      <w:tblPr>
        <w:tblW w:w="7312" w:type="dxa"/>
        <w:jc w:val="left"/>
        <w:tblInd w:w="0" w:type="dxa"/>
        <w:tblLayout w:type="fixed"/>
        <w:tblCellMar>
          <w:top w:w="28" w:type="dxa"/>
          <w:left w:w="28" w:type="dxa"/>
          <w:bottom w:w="28" w:type="dxa"/>
          <w:right w:w="28" w:type="dxa"/>
        </w:tblCellMar>
      </w:tblPr>
      <w:tblGrid>
        <w:gridCol w:w="1892"/>
        <w:gridCol w:w="1668"/>
        <w:gridCol w:w="1675"/>
        <w:gridCol w:w="211"/>
        <w:gridCol w:w="691"/>
        <w:gridCol w:w="109"/>
        <w:gridCol w:w="109"/>
        <w:gridCol w:w="109"/>
        <w:gridCol w:w="109"/>
        <w:gridCol w:w="301"/>
        <w:gridCol w:w="284"/>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net of federal income tax effect </w:t>
            </w:r>
            <w:r>
              <w:rPr>
                <w:rFonts w:ascii="Times New Roman;serif" w:hAnsi="Times New Roman;serif"/>
                <w:b w:val="false"/>
                <w:color w:val="000000"/>
                <w:sz w:val="13"/>
              </w:rPr>
              <w:t>(1)</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Croatia</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valuation allowance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True up</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valuation allowance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True up</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162M limitation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 stock options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adjustments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true up - share 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true up - accrued severance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true up - net operating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(1) State taxes in California and New Jersey accounted for the majority (greater than 50%) of the tax effect in this category.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provision for Federal income tax consists of the following for the year ended December 31, 2024:</w:t>
      </w:r>
    </w:p>
    <w:tbl>
      <w:tblPr>
        <w:tblW w:w="5841" w:type="dxa"/>
        <w:jc w:val="left"/>
        <w:tblInd w:w="0" w:type="dxa"/>
        <w:tblLayout w:type="fixed"/>
        <w:tblCellMar>
          <w:top w:w="28" w:type="dxa"/>
          <w:left w:w="28" w:type="dxa"/>
          <w:bottom w:w="28" w:type="dxa"/>
          <w:right w:w="28" w:type="dxa"/>
        </w:tblCellMar>
      </w:tblPr>
      <w:tblGrid>
        <w:gridCol w:w="1760"/>
        <w:gridCol w:w="1545"/>
        <w:gridCol w:w="1555"/>
        <w:gridCol w:w="211"/>
        <w:gridCol w:w="616"/>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 expense attributable to:</w:t>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 effect, net of federal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exercise expenses, net of Section 162M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cumulative tax effect of significant items comprising our net deferred tax amount at the expected rate of 21% is as follows as of December 31, 2025 and 2024:</w:t>
      </w:r>
    </w:p>
    <w:tbl>
      <w:tblPr>
        <w:tblW w:w="5799" w:type="dxa"/>
        <w:jc w:val="left"/>
        <w:tblInd w:w="0" w:type="dxa"/>
        <w:tblLayout w:type="fixed"/>
        <w:tblCellMar>
          <w:top w:w="28" w:type="dxa"/>
          <w:left w:w="28" w:type="dxa"/>
          <w:bottom w:w="28" w:type="dxa"/>
          <w:right w:w="28" w:type="dxa"/>
        </w:tblCellMar>
      </w:tblPr>
      <w:tblGrid>
        <w:gridCol w:w="1157"/>
        <w:gridCol w:w="1016"/>
        <w:gridCol w:w="1022"/>
        <w:gridCol w:w="211"/>
        <w:gridCol w:w="796"/>
        <w:gridCol w:w="109"/>
        <w:gridCol w:w="109"/>
        <w:gridCol w:w="109"/>
        <w:gridCol w:w="109"/>
        <w:gridCol w:w="211"/>
        <w:gridCol w:w="79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attributable to:</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174 capitalized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163 (J) interest limitation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attributable to:</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(liability) asset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 in the valuation allowance is as follows for the years ended December 31, 2025 and 2024:</w:t>
      </w:r>
    </w:p>
    <w:tbl>
      <w:tblPr>
        <w:tblW w:w="4854" w:type="dxa"/>
        <w:jc w:val="left"/>
        <w:tblInd w:w="0" w:type="dxa"/>
        <w:tblLayout w:type="fixed"/>
        <w:tblCellMar>
          <w:top w:w="28" w:type="dxa"/>
          <w:left w:w="28" w:type="dxa"/>
          <w:bottom w:w="28" w:type="dxa"/>
          <w:right w:w="28" w:type="dxa"/>
        </w:tblCellMar>
      </w:tblPr>
      <w:tblGrid>
        <w:gridCol w:w="945"/>
        <w:gridCol w:w="831"/>
        <w:gridCol w:w="834"/>
        <w:gridCol w:w="211"/>
        <w:gridCol w:w="616"/>
        <w:gridCol w:w="109"/>
        <w:gridCol w:w="109"/>
        <w:gridCol w:w="109"/>
        <w:gridCol w:w="109"/>
        <w:gridCol w:w="211"/>
        <w:gridCol w:w="616"/>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from reserves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ultimate realization of deferred tax assets is dependent upon the Company’s ability to generate sufficient taxable income during the periods in which the net operating losses expire and the temporary differences become deductible. The Company has considered all available evidence, both positive and negative. In assessing the need for a valuation allowance in its federal and state taxing jurisdictions, management concluded that a partial valuation allowance was appropriate as of March 31, 2025. This determination was based on consideration of historical levels of income, projections for future periods, and the significant amount of tax deductions to be generated from the future exercise of stock options. The Company maintains a valuation allowance related to non-qualified stock options and certain state tax credits, as management believes it is more likely than not, based on the weight of available evidence, that these deferred tax assets will not be realized.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tax years 2022 to 2025 remain open for potential audit by the Internal Revenue Service. There are no uncertain tax positions as of December 31, 2025 or December 31, 2024, and none are expected in the next 12 months. The material jurisdictions where the Company is subject to potential examination by tax authorities include the United States and Croatia. Up to four years of returns remain open for potential audit in foreign jurisdictions, however any audits for periods prior to ownership by the Company are the responsibility of the previous owners.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certain circumstances issuance of common shares can result in an ownership change under Internal Revenue Code Section 382, which limits the Company’s ability to utilize carry-forwards from prior to the ownership change. Any such ownership change resulting from stock issuances and redemptions could limit the Company’s ability to utilize any net operating loss carry-forwards or credits generated before this change in ownership. These limitations can limit both the timing of usage of these laws, as well as the loss of the ability to use these net operating losses.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income taxes paid by the Company are as follows for the years ended December 31, 2025 and 2024:</w:t>
      </w:r>
    </w:p>
    <w:p>
      <w:pPr>
        <w:pStyle w:val="TextBody"/>
        <w:bidi w:val="0"/>
        <w:spacing w:before="0" w:after="0"/>
        <w:jc w:val="left"/>
        <w:rPr/>
      </w:pPr>
      <w:r>
        <w:rPr/>
      </w:r>
    </w:p>
    <w:tbl>
      <w:tblPr>
        <w:tblW w:w="4164" w:type="dxa"/>
        <w:jc w:val="left"/>
        <w:tblInd w:w="0" w:type="dxa"/>
        <w:tblLayout w:type="fixed"/>
        <w:tblCellMar>
          <w:top w:w="28" w:type="dxa"/>
          <w:left w:w="28" w:type="dxa"/>
          <w:bottom w:w="28" w:type="dxa"/>
          <w:right w:w="28" w:type="dxa"/>
        </w:tblCellMar>
      </w:tblPr>
      <w:tblGrid>
        <w:gridCol w:w="747"/>
        <w:gridCol w:w="656"/>
        <w:gridCol w:w="667"/>
        <w:gridCol w:w="211"/>
        <w:gridCol w:w="616"/>
        <w:gridCol w:w="109"/>
        <w:gridCol w:w="109"/>
        <w:gridCol w:w="109"/>
        <w:gridCol w:w="109"/>
        <w:gridCol w:w="211"/>
        <w:gridCol w:w="466"/>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exceeds 5% of total income taxes paid (net of refunds) in the following jurisdictions for the years ended December 31, 2025 and 2024:</w:t>
      </w:r>
    </w:p>
    <w:tbl>
      <w:tblPr>
        <w:tblW w:w="3385" w:type="dxa"/>
        <w:jc w:val="left"/>
        <w:tblInd w:w="0" w:type="dxa"/>
        <w:tblLayout w:type="fixed"/>
        <w:tblCellMar>
          <w:top w:w="28" w:type="dxa"/>
          <w:left w:w="28" w:type="dxa"/>
          <w:bottom w:w="28" w:type="dxa"/>
          <w:right w:w="28" w:type="dxa"/>
        </w:tblCellMar>
      </w:tblPr>
      <w:tblGrid>
        <w:gridCol w:w="464"/>
        <w:gridCol w:w="409"/>
        <w:gridCol w:w="418"/>
        <w:gridCol w:w="211"/>
        <w:gridCol w:w="616"/>
        <w:gridCol w:w="109"/>
        <w:gridCol w:w="109"/>
        <w:gridCol w:w="109"/>
        <w:gridCol w:w="109"/>
        <w:gridCol w:w="211"/>
        <w:gridCol w:w="466"/>
        <w:gridCol w:w="154"/>
      </w:tblGrid>
      <w:tr>
        <w:trPr/>
        <w:tc>
          <w:tcPr>
            <w:tcW w:w="46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Croatia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16 – COMMITMENTS AND CONTINGENT LIABILITIES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Legal</w:t>
      </w:r>
    </w:p>
    <w:p>
      <w:pPr>
        <w:pStyle w:val="TextBody"/>
        <w:bidi w:val="0"/>
        <w:spacing w:lineRule="auto" w:line="288" w:before="240" w:after="283"/>
        <w:jc w:val="both"/>
        <w:rPr/>
      </w:pPr>
      <w:r>
        <w:rPr>
          <w:rFonts w:ascii="Times New Roman;serif" w:hAnsi="Times New Roman;serif"/>
          <w:b w:val="false"/>
          <w:color w:val="000000"/>
          <w:sz w:val="20"/>
        </w:rPr>
        <w:t xml:space="preserve">From time to time, the Company may become involved in legal proceedings </w:t>
      </w:r>
      <w:r>
        <w:rPr>
          <w:rFonts w:ascii="Times New Roman;serif" w:hAnsi="Times New Roman;serif"/>
          <w:b w:val="false"/>
          <w:color w:val="000000"/>
          <w:sz w:val="20"/>
          <w:shd w:fill="FFFFFF" w:val="clear"/>
        </w:rPr>
        <w:t>or be subject to claims arising in the ordinary course of our business. We are currently not a party to any material legal or administrative proceedings, and we are not aware of any pending or threatened material legal or administrative proceedings against us.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Commitments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arrangements with partners to acquire minimum amounts of media, data or messaging capabilities. As of December 31, 2025, the Company had commitments for future minimum payments of $29,761 that will be reflected in cost of revenues during the years from 2026 through 2030. Minimum payments are due in 2026, 2027 and 2028 in the amounts of $13,536, $12,125 and $4,100,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17 – RETIREMENT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were expenses of $951 and $837 recorded in 2025 and 2024, respectively, for the Company’s contributions to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18 – SUBSEQUENT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2, 2026, the Company entered into Amendment No. 4 to the Financing Agreement (the “Amendment No. 4”). The purpose of Amendment No. 4 was to (i) extend the maturity date of the Financing Agreement by two years to October 11, 2029, (ii) permit the Company to repurchase shares of its outstanding common stock in one or more transactions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March 15, 2027, in an aggregate amount not to exceed $10,000, and (iii) extend the period during which a 1% applicable premium applies under the Financing Agreement through October 11, 2027.</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5, 2026, the Company announced that its’ Board authorized the repurchase of up to $10,000 of the Company’s outstanding common stock. Under this new program, share repurchases may be made from time to time depending on market conditions, share price, share availability, and other factors at the Company’s discretion. This share repurchase authorization is effective on March 12, 2026 and expires on the earlier of March 15, 2027 or when the repurchase of $10,000 of shares has been reached.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repurchase of shares will take place in open market transactions or privately negotiated transactions in accordance with applicable securities and other laws, including the Securities Exchange Act of 1934. The Company intends to finance the purchase using its available cash and cash equivalents. The Board may modify, suspend, extend or terminate the repurchase program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SEC’s rules and forms and accumulated and communicated to our management, including our Chief Executive Officer and Chief Financial Officer, or persons performing similar functions, as appropriate to allow timely decisions regarding required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our disclosure controls and procedures, as defined in Rule 13a-15(e), were not effective at the reasonable assurance level due to a previously identified material weakness in our internal control over financial reporting related to controls ensuring data received from third-party service organizations were complete and accurate.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address the material weakness referenced above, the Company performed additional analysis and performed other procedures including formalized internal control audits to prepare the audited consolidated financial statements in accordance with GAAP. Accordingly, management believes that the consolidated financial statements included in this Annual Report on Form 10-K fairly present, in all material respects, our financial condition, results of operations and cash flows for the periods presented.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240" w:after="283"/>
        <w:jc w:val="both"/>
        <w:rPr/>
      </w:pPr>
      <w:r>
        <w:rPr>
          <w:rFonts w:ascii="Times New Roman;serif" w:hAnsi="Times New Roman;serif"/>
          <w:b w:val="false"/>
          <w:color w:val="000000"/>
          <w:sz w:val="20"/>
        </w:rPr>
        <w:t xml:space="preserve">The Company’s management is responsible for establishing and maintaining adequate internal control over financial reporting, as defined in Exchange Act Rule 13a-15(f). Internal control over financial reporting is a process designed to provide reasonable assurance regarding the reliability of financial reporting and the preparation of financial statements for external purposes in accordance with </w:t>
      </w:r>
      <w:r>
        <w:rPr>
          <w:rFonts w:ascii="Times New Roman;serif" w:hAnsi="Times New Roman;serif"/>
          <w:b w:val="false"/>
          <w:color w:val="000000"/>
          <w:sz w:val="20"/>
          <w:shd w:fill="FFFFFF" w:val="clear"/>
        </w:rPr>
        <w:t>GAAP</w:t>
      </w:r>
      <w:r>
        <w:rPr>
          <w:color w:val="000000"/>
        </w:rPr>
        <w:t xml:space="preserve"> </w:t>
      </w:r>
      <w:r>
        <w:rPr>
          <w:rFonts w:ascii="Times New Roman;serif" w:hAnsi="Times New Roman;serif"/>
          <w:b w:val="false"/>
          <w:color w:val="000000"/>
          <w:sz w:val="20"/>
        </w:rPr>
        <w:t xml:space="preserve">in the United States of America. The Company’s internal control over financial reporting includes those policies and procedures that: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pertain to the maintenance of records that, in reasonable detail, accurately and fairly reflect the transactions and dispositions of the assets of the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ineffective because of changes in conditions, or that the degree of compliance with the policies or procedures may weaken. The Company’s management, with the participation of our Chief Executive Officer and our Chief Financial Officer, assessed the effectiveness of the Company’s internal control over financial reporting as of December 31, 2025. In making this assessment, management used the criteria set forth by the Committee of Sponsoring Organizations of the Treadway Commission (“COSO”) in Internal Control — Integrated Framework (2013). Based on this assessment using those criteria, management identified the following material weakness existed as of December 31, 2025: inadequate controls to ensure that data received from third-party service organizations is complete and accurate. As a result, based on the COSO criteria, the Company’s management has concluded that we did not maintain effective internal control over financial reporting as of December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Ongoing Remediation of Previously Identified Material Weakness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As previously disclosed</w:t>
      </w:r>
      <w:r>
        <w:rPr>
          <w:rFonts w:ascii="Times New Roman;serif" w:hAnsi="Times New Roman;serif"/>
          <w:b w:val="false"/>
          <w:color w:val="000000"/>
          <w:sz w:val="20"/>
        </w:rPr>
        <w:t xml:space="preserve">, a material weakness in our internal control over financial reporting was identified which related to controls ensuring data received from third-party service organizations were complete and accurate.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with oversight from the Audit Committee, is committed to remediating the material weakness that has been identified and maintaining an effective system of disclosure controls and procedures. These remediation efforts, summarized below, are intended to both address the identified material weakness and to enhance our overall financial control environment. Management is in the process of fully implementing process and control improvements to remediate the above material weakness previously identified as follows: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Company requires each third-party service organization to provide us, at least annually, a SOC-1 Type 2 audit report, with adequate complimentary user entity controls to ensure the data received are complete and accurate. Management relies upon a SOC-1 Type 2 audit report from the service organizations attesting to the vendor’s internal controls.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b.If a SOC-1 Type 2 audit report is not available, the Company evaluates each third-party’s relevant system(s) and control environment reporting directly through process and control reviews and formal substantive testing of such third-party’s control environment to ensure the data received are complete and accurate.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c.If the Company is unable to obtain a valid SOC-1 Type 2 audit report or perform substantive testing of such third-party’s control environment, the Company implements a third-party qualification and program triaging process, which could include modifying customer contracts, limiting the volume of activity with those third-parties, and implementing additional operational controls to ensure the completeness and accuracy of information received from those third-parties, such as performing tagging procedures where possible.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has made substantial progress in remediating the material weakness of its internal controls, primarily as a result of the Company's newly appointed Senior VP of Internal Controls’ oversight of the internal controls processes, the engagement of a third-party consulting firm, and the development of a framework to assess the reliability of data received from third-party service organizations. The Company was able to improve its controls over the completeness and accuracy of information received from third parties by obtaining SOC-1 Type 2 audit reports from service organizations and performing tests of controls at service organizations where the audit reports were unable to be obtained or completed in the prior year. Despite the Company's best efforts, due to a lack of data reporting controls at one service organization and/or the inability of the Company to validate controls at the same service organization, the Company was unable to conclude that the material weakness with the one third party service provider had been fully remediated; however, 2024 material weaknesses with three other third party service providers were remediated in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remaining material weakness will be considered remediated when management concludes through testing, the applicable remediated controls are designed and implemented and operating effectively.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When fully implemented and operational, the Company believes the measures described above will remediate the identified material weakness and strengthen the internal controls over financial reporting. The material weakness will not be considered remediated until the newly implemented internal controls operate for a sufficient period of time and management has concluded, through testing, the internal controls are operating effectively. The Company stays committed toward full remediation of the material weakness as soon as reasonably possible.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continuing to improve the internal control processes and will continue to review and assess financial reporting controls and procedures on an ongoing basis. As the Company continues to evaluate and improve the internal controls over financial reporting, management may determine whether it is appropriate or necessary to take additional measures.</w:t>
      </w:r>
    </w:p>
    <w:p>
      <w:pPr>
        <w:pStyle w:val="TextBody"/>
        <w:bidi w:val="0"/>
        <w:spacing w:lineRule="auto" w:line="288" w:before="240" w:after="283"/>
        <w:jc w:val="both"/>
        <w:rPr/>
      </w:pPr>
      <w:r>
        <w:rPr>
          <w:rFonts w:ascii="Times New Roman;serif" w:hAnsi="Times New Roman;serif"/>
          <w:b/>
          <w:color w:val="000000"/>
          <w:sz w:val="20"/>
        </w:rPr>
        <w:t>Changes in Internal Control over Financial Reporting</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Except as noted above, there was no change in our internal control over financial reporting (as defined in Rule 13a-15(f) under the Exchange Act), that occurred during the quarter ended December 31, 2025 that has materially affected, or is reasonably likely to materially affect, our internal control over financial reporting.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Limitations on the Effectiveness of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on-going evaluations of its internal controls to enhance, where necessary, its procedures and controls.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Director and Executive Officer Trading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none of our directors or executive officers adopted or terminated any “Rule 10b5-1 trading arrangement” or “non-Rule 10b5-1 trading arrangement” (as each term is defined in Item 408(a) of Registration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9C. Disclosure Regarding Foreign Jurisdictions that Prevent Inspections.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Except for the information provided in PART I, Item 4.1, “Information About Our Executive Officers” and as set forth below, the required information is incorporated by reference from our definitive proxy statement for our 2026 Annual Meeting of Shareholders, including, but not necessarily limited to, the sections entitled “Proposal No. 1 Election of Directors”, “Committees of the Board of Directors” and “Information Regarding Security Holders - Delinquent Section 16(a) Reports.”</w:t>
      </w:r>
    </w:p>
    <w:p>
      <w:pPr>
        <w:pStyle w:val="TextBody"/>
        <w:bidi w:val="0"/>
        <w:spacing w:lineRule="auto" w:line="288" w:before="240" w:after="283"/>
        <w:jc w:val="both"/>
        <w:rPr/>
      </w:pPr>
      <w:r>
        <w:rPr>
          <w:rFonts w:ascii="Times New Roman;serif" w:hAnsi="Times New Roman;serif"/>
          <w:b w:val="false"/>
          <w:color w:val="000000"/>
          <w:sz w:val="20"/>
        </w:rPr>
        <w:t xml:space="preserve">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Times New Roman;serif" w:hAnsi="Times New Roman;serif"/>
          <w:b w:val="false"/>
          <w:i/>
          <w:color w:val="000000"/>
          <w:sz w:val="20"/>
        </w:rPr>
        <w:t>www.optimizerx.com</w:t>
      </w:r>
      <w:r>
        <w:rPr>
          <w:rFonts w:ascii="Times New Roman;serif" w:hAnsi="Times New Roman;serif"/>
          <w:b w:val="false"/>
          <w:color w:val="000000"/>
          <w:sz w:val="20"/>
        </w:rPr>
        <w:t xml:space="preserve">. The Code can be found on the Company’s website at </w:t>
      </w:r>
      <w:r>
        <w:rPr>
          <w:rFonts w:ascii="Times New Roman;serif" w:hAnsi="Times New Roman;serif"/>
          <w:b w:val="false"/>
          <w:i/>
          <w:color w:val="000000"/>
          <w:sz w:val="20"/>
        </w:rPr>
        <w:t>www.optimizerx.com</w:t>
      </w:r>
      <w:r>
        <w:rPr>
          <w:color w:val="000000"/>
        </w:rPr>
        <w:t xml:space="preserve"> </w:t>
      </w:r>
      <w:r>
        <w:rPr>
          <w:rFonts w:ascii="Times New Roman;serif" w:hAnsi="Times New Roman;serif"/>
          <w:b w:val="false"/>
          <w:color w:val="000000"/>
          <w:sz w:val="20"/>
        </w:rPr>
        <w:t>under “Investor Relations - Governance.” The information on the website is not and should not be considered part of this Annual Report on Form 10-K and is not incorporated by reference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required information is incorporated by reference from our definitive proxy statement for our 2026 Annual Meeting of Shareholders, including, but not necessarily limited to, the sections entitled “Director Compensation” and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12. Security Ownership of Certain Beneficial Owners and Management and Related Stockholder Matters.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Except for the information set forth below, the required information is incorporated by reference from our definitive proxy statement for our 2026 Annual Meeting of Shareholders, including, but not necessarily limited to, the section entitled “Information Regarding Security Holders.”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information regarding our existing equity compensation plans as of December 31, 2025:</w:t>
      </w:r>
    </w:p>
    <w:tbl>
      <w:tblPr>
        <w:tblW w:w="10205" w:type="dxa"/>
        <w:jc w:val="left"/>
        <w:tblInd w:w="0" w:type="dxa"/>
        <w:tblLayout w:type="fixed"/>
        <w:tblCellMar>
          <w:top w:w="28" w:type="dxa"/>
          <w:left w:w="28" w:type="dxa"/>
          <w:bottom w:w="28" w:type="dxa"/>
          <w:right w:w="28" w:type="dxa"/>
        </w:tblCellMar>
      </w:tblPr>
      <w:tblGrid>
        <w:gridCol w:w="1308"/>
        <w:gridCol w:w="1130"/>
        <w:gridCol w:w="1102"/>
        <w:gridCol w:w="109"/>
        <w:gridCol w:w="109"/>
        <w:gridCol w:w="109"/>
        <w:gridCol w:w="701"/>
        <w:gridCol w:w="600"/>
        <w:gridCol w:w="601"/>
        <w:gridCol w:w="109"/>
        <w:gridCol w:w="109"/>
        <w:gridCol w:w="109"/>
        <w:gridCol w:w="508"/>
        <w:gridCol w:w="508"/>
        <w:gridCol w:w="510"/>
        <w:gridCol w:w="109"/>
        <w:gridCol w:w="109"/>
        <w:gridCol w:w="109"/>
        <w:gridCol w:w="674"/>
        <w:gridCol w:w="653"/>
        <w:gridCol w:w="929"/>
      </w:tblGrid>
      <w:tr>
        <w:trPr/>
        <w:tc>
          <w:tcPr>
            <w:tcW w:w="130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securities to be</w:t>
              <w:br/>
              <w:t>issued upon exercise of</w:t>
              <w:br/>
              <w:t>outstanding</w:t>
              <w:br/>
              <w:t xml:space="preserve">options, warrants </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 xml:space="preserve">exercise </w:t>
              <w:br/>
              <w:t xml:space="preserve">price of outstanding </w:t>
              <w:br/>
              <w:t xml:space="preserve">options, warrants </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securities remaining </w:t>
              <w:br/>
              <w:t xml:space="preserve">available for future issuance </w:t>
              <w:br/>
              <w:t>under equity compensation</w:t>
              <w:br/>
              <w:t>plans (excluding securities</w:t>
              <w:br/>
              <w:t>reflected in column (a))</w:t>
            </w:r>
          </w:p>
        </w:tc>
      </w:tr>
      <w:tr>
        <w:trPr/>
        <w:tc>
          <w:tcPr>
            <w:tcW w:w="3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compensation plans approved by security holders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2013 Equity Compensation Plan – Options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2013 Equity Compensation Plan – Restricted Stock Units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2021 Equity Incentive Plan – Options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508,128</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2021 Equity Incentive Plan – Restricted Stock Units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compensation plans not approved by security 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3,082,003 </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508,128 </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required information is incorporated by reference from our definitive proxy statement for our 2026 Annual Meeting of Shareholders, including, but not necessarily limited to, the sections entitled “Certain Relationships and Related Transactions” and “Corporate Governance -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required information is incorporated by reference from our definitive proxy statement for our 2026 Annual Meeting of Shareholders, including, but not necessarily limited to, the sections entitled “Ratification of UHY LLP as Independent Registered Public Accounting Firm – Independent Registered Public Accountant Fee Information” and “Ratification of UHY LLP as Independent Registered Public Accounting Firm – Pre-Approval Policies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15. Exhibits and Financial Statements Schedules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The consolidated financial statements and exhibits listed below are filed as part of this Annual Report on Form 10-K.</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Company’s consolidated financial statements, the notes thereto and the report of the Independent Registered Public Accounting Firm are included in PART II, Item 8. “Financial Statements and Supplementary Data.”</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(2)Financial statement schedules have been omitted because they are not applicable, not required, or the required information is included in the Consolidated Financial Statements or Notes thereto.</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(3)Exhibits. Reference is made to Item 15(b) below.</w:t>
      </w:r>
    </w:p>
    <w:p>
      <w:pPr>
        <w:pStyle w:val="TextBody"/>
        <w:bidi w:val="0"/>
        <w:spacing w:lineRule="auto" w:line="288" w:before="240" w:after="283"/>
        <w:jc w:val="both"/>
        <w:rPr/>
      </w:pPr>
      <w:r>
        <w:rPr>
          <w:rFonts w:ascii="Times New Roman;serif" w:hAnsi="Times New Roman;serif"/>
          <w:b w:val="false"/>
          <w:color w:val="000000"/>
          <w:sz w:val="20"/>
        </w:rPr>
        <w:t xml:space="preserve">(b) </w:t>
      </w:r>
      <w:r>
        <w:rPr>
          <w:rFonts w:ascii="Times New Roman;serif" w:hAnsi="Times New Roman;serif"/>
          <w:b w:val="false"/>
          <w:i/>
          <w:color w:val="000000"/>
          <w:sz w:val="20"/>
        </w:rPr>
        <w:t>Exhibits</w:t>
      </w:r>
      <w:r>
        <w:rPr>
          <w:rFonts w:ascii="Times New Roman;serif" w:hAnsi="Times New Roman;serif"/>
          <w:b w:val="false"/>
          <w:color w:val="000000"/>
          <w:sz w:val="20"/>
        </w:rPr>
        <w:t>. The Exhibit Index, which immediately precedes the signature page, is incorporated by reference into this Annual Report on Form 10-K.</w:t>
      </w:r>
    </w:p>
    <w:p>
      <w:pPr>
        <w:pStyle w:val="TextBody"/>
        <w:bidi w:val="0"/>
        <w:spacing w:lineRule="auto" w:line="288" w:before="240" w:after="283"/>
        <w:jc w:val="both"/>
        <w:rPr/>
      </w:pPr>
      <w:r>
        <w:rPr>
          <w:rFonts w:ascii="Times New Roman;serif" w:hAnsi="Times New Roman;serif"/>
          <w:b w:val="false"/>
          <w:color w:val="000000"/>
          <w:sz w:val="20"/>
        </w:rPr>
        <w:t xml:space="preserve">(c) </w:t>
      </w:r>
      <w:r>
        <w:rPr>
          <w:rFonts w:ascii="Times New Roman;serif" w:hAnsi="Times New Roman;serif"/>
          <w:b w:val="false"/>
          <w:i/>
          <w:color w:val="000000"/>
          <w:sz w:val="20"/>
        </w:rPr>
        <w:t>Financial Statement Schedules</w:t>
      </w:r>
      <w:r>
        <w:rPr>
          <w:rFonts w:ascii="Times New Roman;serif" w:hAnsi="Times New Roman;serif"/>
          <w:b w:val="false"/>
          <w:color w:val="000000"/>
          <w:sz w:val="20"/>
        </w:rPr>
        <w:t>. Reference is made to Item 15(a)(2)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7"/>
        <w:gridCol w:w="2647"/>
        <w:gridCol w:w="377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Articles of Incorporation of OptimizeRx Corporation (the “Company”) Incorporated by reference to Exhibit 3.1 to the Company’s Registration Statement on Form S-1 (Registration No. 333-155280) filed on November 12, 2008.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Correction, dated April 30, 2018. Incorporated by reference to Exhibit 3.5 to the Company’s Annual Report on Form 10-K for the year ended December 31, 2018.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Fourth Amended and Restated Bylaws of the Company. Incorporated by reference to Exhibit 3.1 to the Company’s Quarterly Report on Form 10-Q for the quarter ended June 30,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4.1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Description of the Registrant’s Securities Registered Pursuant to Section 12 of the Securities Exchange Act of 1934. Incorporated by reference to Exhibit 4.1 to the Company's Annual Report on Form 10-K for the year ended December 31,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Fourth Amended and Restated 2013 Equity Incentive Plan. Incorporated by reference to Exhibit 10.1 to the Company’s Current Report on Form 8-K filed on March 12, 2020.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OptimizeRx 2021 Equity Incentive Plan. Incorporated by reference to Exhibit 10.1 to the Company’s Current Report on Form 8-K filed on August 25,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Form of Stock Option Award for grants under the OptimizeRx Corporation 2021 Equity Incentive Plan. Incorporated by reference to Exhibit 10.2 to the Company’s Current Report on Form 8-K filed on August 25,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Form of Performance Stock Option Award for grants under the OptimizeRx Corporation 2021 Equity Incentive Plan. Incorporated by reference to Exhibit 10.3 to the Company’s Current Report on Form 8-K filed on August 25,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Form of Restricted Stock Unit Award for grants under the OptimizeRx Corporation 2021 Equity Incentive Plan. Incorporated by reference to Exhibit 10.4 to the Company’s Current Report on Form 8-K filed on August 25,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Form of Performance Restricted Stock Unit Award for grants under the OptimizeRx Corporation 2021. Incorporated by reference to Exhibit 10.5 to the Company’s Current Report on Form 8-K filed on August 25,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Employment Agreement with Marion Odence-Ford. Incorporated by reference to Exhibit 10.1 to the Company’s Current Report on Form 8-K filed on February 11,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shd w:fill="FFFFFF" w:val="clear"/>
        </w:rPr>
      </w:pPr>
      <w:r>
        <w:rPr>
          <w:rFonts w:ascii="Times New Roman;serif" w:hAnsi="Times New Roman;serif"/>
          <w:b w:val="false"/>
          <w:color w:val="0000FF"/>
          <w:sz w:val="20"/>
          <w:u w:val="single"/>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278"/>
        <w:gridCol w:w="191"/>
        <w:gridCol w:w="182"/>
        <w:gridCol w:w="109"/>
        <w:gridCol w:w="109"/>
        <w:gridCol w:w="109"/>
        <w:gridCol w:w="2846"/>
        <w:gridCol w:w="2634"/>
        <w:gridCol w:w="3747"/>
      </w:tblGrid>
      <w:tr>
        <w:trPr/>
        <w:tc>
          <w:tcPr>
            <w:tcW w:w="2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Amendment to Employment Agreement by and between the Company and Marion Odence-Ford dated February 28, 2022. Incorporated by reference to Exhibit 10.3 to the Company’s Current Report on Form 8-K filed on March 4, 2022.</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Offer Letter by and between the Company and Edward Stelmakh. Incorporated by reference to Exhibit 10.1 to the Company’s Current Report on Form 8-K filed on September 30, 2021.</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OptimizeRx Corporation 2022 Cash Bonus Plan. Incorporated by reference to Exhibit 10.1 to the Company’s Current Report on Form 8-K filed on March 4, 2022.</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Agreement and Plan of Merger dated as of October 11, 2023 by and among OptimizeRx Corporation, Healthy Offers, Inc., the securityholders of Healthy Offers, Inc. who are party to the Agreement, and Michael Weintraub, not in his individual capacity, but solely in his capacity as the representative, agent and attorney-in-fact of the Securityholders. Incorporated by reference to Exhibit 10.1 to the Company’s Current Report on Form 8-K filed on October 16, 2023.</w:t>
              </w:r>
            </w:hyperlink>
            <w:r>
              <w:rPr>
                <w:color w:val="000000"/>
              </w:rPr>
              <w:t xml:space="preserve"> </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Support Agreement, dated as of October 11, 2023 by and among the stockholders party thereto, OptimizeRx Corporation and Healthy Offers, Inc. Incorporated by reference to Exhibit 10.2 to the Company’s Current Report on Form 8-K filed on October 16, 2023.</w:t>
              </w:r>
            </w:hyperlink>
            <w:r>
              <w:rPr>
                <w:color w:val="000000"/>
              </w:rPr>
              <w:t xml:space="preserve"> </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Financing Agreement, dated as of October 11, 2023, by and among OptimizeRx Corporation, the lenders from time to time party thereto, and Blue Torch Finance, LLC, as collateral agent and administrative agent. Incorporated by reference to Exhibit 10.3 to the Company’s Current Report on Form 8-K filed on October 16, 2023.</w:t>
              </w:r>
            </w:hyperlink>
            <w:r>
              <w:rPr>
                <w:color w:val="000000"/>
              </w:rPr>
              <w:t xml:space="preserve"> </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Letter Agreement, dated as of October 11, 2023, OptimizeRx Corporation and Blue Torch Finance, LLC. Incorporated by reference to Exhibit 10.4 to the Company’s Current Report on Form 8-K filed on October 16, 2023.</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Common Stock Purchase Agreement dated October 24, 2023 by and among the Company and the Management Investors. Incorporated by reference to Exhibit 10.1 to the Company’s Current Report on Form 8-K filed on October 25, 2023.</w:t>
              </w:r>
            </w:hyperlink>
            <w:r>
              <w:rPr>
                <w:color w:val="000000"/>
              </w:rPr>
              <w:t xml:space="preserve"> </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 xml:space="preserve">Amendment No. 1 to Financing Agreement, dated March 29, 2024. Incorporated by reference to Exhibit 10.1 to the Company’s Current Report on Form 8-K filed on April 2, 2024. </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Amended and Restated Employment Agreement by and between the Company and Stephen Silvestro dated April 12, 2024. Incorporated by reference to Exhibit 10.27 to the Company's Annual Report on Form 10-K for the year ended December 31, 2023.</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8corporateexecutivese.htm">
              <w:r>
                <w:rPr>
                  <w:rStyle w:val="InternetLink"/>
                  <w:rFonts w:ascii="Times New Roman;serif" w:hAnsi="Times New Roman;serif"/>
                  <w:b w:val="false"/>
                  <w:color w:val="0000FF"/>
                  <w:sz w:val="20"/>
                  <w:u w:val="single"/>
                </w:rPr>
                <w:t>Amended and Restated OptimizeRx Corporation Executive Severance Plan, dated August 18, 2025.</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Amendment No. 1 to the OptimizeRx 2021 Equity Incentive Plan. Incorporated by reference to Exhibit 10.1 to the Company’s Current Report on Form 8-K filed on June 7, 2024</w:t>
              </w:r>
            </w:hyperlink>
          </w:p>
          <w:p>
            <w:pPr>
              <w:pStyle w:val="TableContents"/>
              <w:bidi w:val="0"/>
              <w:spacing w:before="0" w:after="0"/>
              <w:jc w:val="both"/>
              <w:rPr/>
            </w:pPr>
            <w:r>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Amendment No. 2 to Financing Agreement, dated September 26, 2024. Incorporated by reference to Exhibit 10.21 to the Company's Annual Report on Form 10-K for the year ended December 31, 2024.</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Amendment No. 3 to Financing Agreement, dated February 5, 2025. Incorporated by reference to Exhibit 10.22 to the Company's Annual Report on Form 10-K for the year ended December 31, 2024.</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Amended and Restated Employment Letter, dated as of March 7, 2025, by and between the Company and Stephen Silvestro. Incorporated by reference to Exhibit 10.1 to the Company’s Current Report on Form 8-K filed on March 10, 2025.</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Amended and Restated Employment Letter, dated as of August 18, 2025, by and between the Company and Brendan Merrell. Incorporated by reference to Exhibit 10.1 to the Company’s Current Report on Form 8-K filed on August 19, 2025.</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24amendmentno4.htm">
              <w:r>
                <w:rPr>
                  <w:rStyle w:val="InternetLink"/>
                  <w:rFonts w:ascii="Times New Roman;serif" w:hAnsi="Times New Roman;serif"/>
                  <w:b w:val="false"/>
                  <w:color w:val="0000FF"/>
                  <w:sz w:val="20"/>
                  <w:u w:val="single"/>
                </w:rPr>
                <w:t>Amendment No. 4 to Financing Agreement, dated March 2, 2026.</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Code of Business Conduct and Ethics Incorporated by reference to Exhibit 14.1 to the Company’s Current Report on Form 8-K filed on June 25, 2021.</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OptimizeRx Corporation Insider Trading Policy. Incorporated by reference to Exhibit 19.1 to the Company's Annual Report on Form 10-K for the year ended December 31, 2024.</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prx-20251231xexx211.htm">
              <w:r>
                <w:rPr>
                  <w:rStyle w:val="InternetLink"/>
                  <w:rFonts w:ascii="Times New Roman;serif" w:hAnsi="Times New Roman;serif"/>
                  <w:b w:val="false"/>
                  <w:color w:val="0000FF"/>
                  <w:sz w:val="20"/>
                  <w:u w:val="single"/>
                </w:rPr>
                <w:t>List of Subsidiaries</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prx-20251231xexx231.htm">
              <w:r>
                <w:rPr>
                  <w:rStyle w:val="InternetLink"/>
                  <w:rFonts w:ascii="Times New Roman;serif" w:hAnsi="Times New Roman;serif"/>
                  <w:b w:val="false"/>
                  <w:color w:val="0000FF"/>
                  <w:sz w:val="20"/>
                  <w:u w:val="single"/>
                </w:rPr>
                <w:t>Consent of UHY LLP</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prx-20251231xexx311.htm">
              <w:r>
                <w:rPr>
                  <w:rStyle w:val="InternetLink"/>
                  <w:rFonts w:ascii="Times New Roman;serif" w:hAnsi="Times New Roman;serif"/>
                  <w:b w:val="false"/>
                  <w:color w:val="0000FF"/>
                  <w:sz w:val="20"/>
                  <w:u w:val="single"/>
                </w:rPr>
                <w:t>Certification of Chief Executive Officer pursuant to Securities Exchange Act Rule 13a-14(a)/15d-14(a), as adopted pursuant to Section 302 of the Sarbanes-Oxley Act of 2002</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prx-20251231xexx312.htm">
              <w:r>
                <w:rPr>
                  <w:rStyle w:val="InternetLink"/>
                  <w:rFonts w:ascii="Times New Roman;serif" w:hAnsi="Times New Roman;serif"/>
                  <w:b w:val="false"/>
                  <w:color w:val="0000FF"/>
                  <w:sz w:val="20"/>
                  <w:u w:val="single"/>
                </w:rPr>
                <w:t>Certification of Chief Financial Officer pursuant to Securities Exchange Act Rule 13a-14(a)/15d-14(a), as adopted pursuant to Section 302 of the Sarbanes-Oxley Act of 2002</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prx-20251231xexx321.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shd w:fill="FFFFFF" w:val="clear"/>
        </w:rPr>
      </w:pPr>
      <w:r>
        <w:rPr>
          <w:rFonts w:ascii="Times New Roman;serif" w:hAnsi="Times New Roman;serif"/>
          <w:b w:val="false"/>
          <w:color w:val="0000FF"/>
          <w:sz w:val="20"/>
          <w:u w:val="single"/>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298"/>
        <w:gridCol w:w="252"/>
        <w:gridCol w:w="253"/>
        <w:gridCol w:w="109"/>
        <w:gridCol w:w="109"/>
        <w:gridCol w:w="109"/>
        <w:gridCol w:w="2654"/>
        <w:gridCol w:w="2654"/>
        <w:gridCol w:w="3767"/>
      </w:tblGrid>
      <w:tr>
        <w:trPr/>
        <w:tc>
          <w:tcPr>
            <w:tcW w:w="29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OptimizeRx Corporation Clawback Policy. Incorporated by reference to Exhibit 97.1 to the Company's Annual Report on Form 10-K for the year ended December 31, 2023.</w:t>
              </w:r>
            </w:hyperlink>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Schema Document</w:t>
            </w:r>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Calculation Linkbase Document</w:t>
            </w:r>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Label Linkbase Document</w:t>
            </w:r>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Presentation Linkbase Document</w:t>
            </w:r>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40" w:after="283"/>
        <w:ind w:left="0" w:right="0" w:hanging="360"/>
        <w:jc w:val="both"/>
        <w:rPr>
          <w:shd w:fill="FFFFFF" w:val="clear"/>
        </w:rPr>
      </w:pPr>
      <w:r>
        <w:rPr>
          <w:color w:val="0000FF"/>
          <w:u w:val="single"/>
          <w:shd w:fill="FFFFFF" w:val="clear"/>
        </w:rPr>
        <w:t>†</w:t>
      </w:r>
      <w:r>
        <w:rPr>
          <w:rFonts w:ascii="Times New Roman;serif" w:hAnsi="Times New Roman;serif"/>
          <w:b w:val="false"/>
          <w:color w:val="000000"/>
          <w:sz w:val="20"/>
          <w:shd w:fill="FFFFFF" w:val="clear"/>
        </w:rPr>
        <w:t>Management Contracts and Compensatory Plans, Contracts or Arrangements.</w:t>
      </w:r>
    </w:p>
    <w:p>
      <w:pPr>
        <w:pStyle w:val="TextBody"/>
        <w:bidi w:val="0"/>
        <w:spacing w:lineRule="auto" w:line="288" w:before="24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*Exhibits have been omitted pursuant to Item 601(a)(5) of Regulation S-K. The Company agrees to furnish supplementally a copy of any omitted exhibit to the SEC upon request.</w:t>
      </w:r>
    </w:p>
    <w:p>
      <w:pPr>
        <w:pStyle w:val="TextBody"/>
        <w:bidi w:val="0"/>
        <w:spacing w:lineRule="auto" w:line="288" w:before="0" w:after="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Provided herewith.</w:t>
      </w:r>
    </w:p>
    <w:p>
      <w:pPr>
        <w:pStyle w:val="TextBody"/>
        <w:bidi w:val="0"/>
        <w:spacing w:before="0" w:after="0"/>
        <w:ind w:left="0" w:right="0" w:hanging="36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Exchange Act of 1934, the registrant has duly caused this report to be signed on its behalf by the undersigned, thereunto duly authorized.</w:t>
      </w:r>
    </w:p>
    <w:tbl>
      <w:tblPr>
        <w:tblW w:w="4399" w:type="dxa"/>
        <w:jc w:val="left"/>
        <w:tblInd w:w="0" w:type="dxa"/>
        <w:tblLayout w:type="fixed"/>
        <w:tblCellMar>
          <w:top w:w="28" w:type="dxa"/>
          <w:left w:w="28" w:type="dxa"/>
          <w:bottom w:w="28" w:type="dxa"/>
          <w:right w:w="28" w:type="dxa"/>
        </w:tblCellMar>
      </w:tblPr>
      <w:tblGrid>
        <w:gridCol w:w="415"/>
        <w:gridCol w:w="366"/>
        <w:gridCol w:w="366"/>
        <w:gridCol w:w="957"/>
        <w:gridCol w:w="957"/>
        <w:gridCol w:w="966"/>
        <w:gridCol w:w="109"/>
        <w:gridCol w:w="109"/>
        <w:gridCol w:w="154"/>
      </w:tblGrid>
      <w:tr>
        <w:trPr/>
        <w:tc>
          <w:tcPr>
            <w:tcW w:w="41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OptimizeRx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&amp; Strategy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671" w:type="dxa"/>
        <w:jc w:val="left"/>
        <w:tblInd w:w="0" w:type="dxa"/>
        <w:tblLayout w:type="fixed"/>
        <w:tblCellMar>
          <w:top w:w="28" w:type="dxa"/>
          <w:left w:w="28" w:type="dxa"/>
          <w:bottom w:w="28" w:type="dxa"/>
          <w:right w:w="28" w:type="dxa"/>
        </w:tblCellMar>
      </w:tblPr>
      <w:tblGrid>
        <w:gridCol w:w="715"/>
        <w:gridCol w:w="630"/>
        <w:gridCol w:w="634"/>
        <w:gridCol w:w="109"/>
        <w:gridCol w:w="109"/>
        <w:gridCol w:w="109"/>
        <w:gridCol w:w="1194"/>
        <w:gridCol w:w="1194"/>
        <w:gridCol w:w="1211"/>
        <w:gridCol w:w="109"/>
        <w:gridCol w:w="109"/>
        <w:gridCol w:w="109"/>
        <w:gridCol w:w="419"/>
        <w:gridCol w:w="419"/>
        <w:gridCol w:w="601"/>
      </w:tblGrid>
      <w:tr>
        <w:trPr/>
        <w:tc>
          <w:tcPr>
            <w:tcW w:w="7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Silvestro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&amp; Strategy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Lynn O'Connor Vos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Lynn O'Connor Vos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Spangler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Spangler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Lang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Lang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 Wasson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 Wasson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Catherine Klema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Catherine Klema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OPTIMIZERX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EXECUTIVE SEVERANCE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Plan Document/Summary Plan Description</w:t>
      </w:r>
    </w:p>
    <w:p>
      <w:pPr>
        <w:pStyle w:val="TextBody"/>
        <w:bidi w:val="0"/>
        <w:spacing w:lineRule="auto" w:line="288" w:before="0" w:after="240"/>
        <w:ind w:left="0" w:right="0" w:firstLine="941"/>
        <w:jc w:val="both"/>
        <w:rPr/>
      </w:pPr>
      <w:r>
        <w:rPr>
          <w:rFonts w:ascii="Times New Roman;serif" w:hAnsi="Times New Roman;serif"/>
          <w:b w:val="false"/>
          <w:color w:val="000000"/>
          <w:sz w:val="24"/>
        </w:rPr>
        <w:t>OptimizeRx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has adopted this OptimizeRx Corporation Executive Severance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for the benefit of certain employees of the Company and its subsidiaries (hereinafter referred to as the “</w:t>
      </w:r>
      <w:r>
        <w:rPr>
          <w:rFonts w:ascii="Times New Roman;serif" w:hAnsi="Times New Roman;serif"/>
          <w:b w:val="false"/>
          <w:color w:val="000000"/>
          <w:sz w:val="24"/>
          <w:u w:val="single"/>
        </w:rPr>
        <w:t>Company Group</w:t>
      </w:r>
      <w:r>
        <w:rPr>
          <w:color w:val="000000"/>
        </w:rPr>
        <w:t>”</w:t>
      </w:r>
      <w:r>
        <w:rPr>
          <w:rFonts w:ascii="Times New Roman;serif" w:hAnsi="Times New Roman;serif"/>
          <w:b w:val="false"/>
          <w:color w:val="000000"/>
          <w:sz w:val="24"/>
        </w:rPr>
        <w:t xml:space="preserve">), on the terms and conditions hereinafter stated, effective as of the Effective Date. </w:t>
      </w:r>
    </w:p>
    <w:p>
      <w:pPr>
        <w:pStyle w:val="TextBody"/>
        <w:bidi w:val="0"/>
        <w:spacing w:lineRule="auto" w:line="288" w:before="0" w:after="240"/>
        <w:ind w:left="0" w:right="0" w:firstLine="941"/>
        <w:jc w:val="both"/>
        <w:rPr>
          <w:rFonts w:ascii="Times New Roman;serif" w:hAnsi="Times New Roman;serif"/>
          <w:b w:val="false"/>
          <w:color w:val="000000"/>
          <w:sz w:val="24"/>
        </w:rPr>
      </w:pPr>
      <w:r>
        <w:rPr>
          <w:rFonts w:ascii="Times New Roman;serif" w:hAnsi="Times New Roman;serif"/>
          <w:b w:val="false"/>
          <w:color w:val="000000"/>
          <w:sz w:val="24"/>
        </w:rPr>
        <w:t>The Plan is not intended to be an “employee pension benefit plan” or “pension plan” within the meaning of Section 3(2) of ERISA. Rather, the Plan is intended to be a “welfare benefit plan” within the meaning of Section 3(1) of ERISA and to meet the descriptive requirements of a plan constituting a “severance pay plan” within the meaning of regulations published by the Secretary of Labor at Title 29, Code of Federal Regulations, Section 2510.3-2(b). Accordingly, any benefits paid pursuant to the terms of the Plan are not deferred compensation for purposes of ERISA, and no Participant shall have a vested right to such benefits. To the extent applicable, it is intended that portions of the Plan either comply with or be exempt from the provisions of Section 409A of the Code. The Plan shall be administered in a manner consistent with this intent and any provision that would cause the Plan to fail to either constitute a welfare benefit plan under ERISA or comply with or be exempt from Section 409A of the Code, as the case may be, shall have no force and effect. This document serves as both the plan document as required under Section 402 of ERISA as well as a summary plan description as required under Section 104(b) of ERISA.</w:t>
      </w:r>
    </w:p>
    <w:p>
      <w:pPr>
        <w:pStyle w:val="TextBody"/>
        <w:bidi w:val="0"/>
        <w:spacing w:lineRule="auto" w:line="288" w:before="0" w:after="240"/>
        <w:ind w:left="0" w:right="0" w:firstLine="941"/>
        <w:jc w:val="both"/>
        <w:rPr/>
      </w:pPr>
      <w:r>
        <w:rPr>
          <w:rFonts w:ascii="Times New Roman;serif" w:hAnsi="Times New Roman;serif"/>
          <w:b w:val="false"/>
          <w:color w:val="010000"/>
          <w:sz w:val="24"/>
        </w:rPr>
        <w:t>1.    </w:t>
      </w:r>
      <w:r>
        <w:rPr>
          <w:rFonts w:ascii="Times New Roman;serif" w:hAnsi="Times New Roman;serif"/>
          <w:b/>
          <w:color w:val="000000"/>
          <w:sz w:val="24"/>
        </w:rPr>
        <w:t>Definitions</w:t>
      </w:r>
      <w:r>
        <w:rPr>
          <w:rFonts w:ascii="Times New Roman;serif" w:hAnsi="Times New Roman;serif"/>
          <w:b w:val="false"/>
          <w:color w:val="000000"/>
          <w:sz w:val="24"/>
        </w:rPr>
        <w:t xml:space="preserve">. </w:t>
      </w:r>
      <w:r>
        <w:rPr>
          <w:rFonts w:ascii="Times New Roman;serif" w:hAnsi="Times New Roman;serif"/>
          <w:b w:val="false"/>
          <w:color w:val="333333"/>
          <w:sz w:val="24"/>
          <w:shd w:fill="FFFFFF" w:val="clear"/>
        </w:rPr>
        <w:t>Capitalized terms used in this Plan shall have the meanings ascribed to such terms in Appendix A.</w:t>
      </w:r>
    </w:p>
    <w:p>
      <w:pPr>
        <w:pStyle w:val="TextBody"/>
        <w:bidi w:val="0"/>
        <w:spacing w:lineRule="auto" w:line="288" w:before="0" w:after="240"/>
        <w:ind w:left="0" w:right="0" w:firstLine="941"/>
        <w:jc w:val="both"/>
        <w:rPr/>
      </w:pPr>
      <w:r>
        <w:rPr>
          <w:rFonts w:ascii="Times New Roman;serif" w:hAnsi="Times New Roman;serif"/>
          <w:b w:val="false"/>
          <w:color w:val="010000"/>
          <w:sz w:val="24"/>
        </w:rPr>
        <w:t>2.    </w:t>
      </w:r>
      <w:r>
        <w:rPr>
          <w:rFonts w:ascii="Times New Roman;serif" w:hAnsi="Times New Roman;serif"/>
          <w:b/>
          <w:color w:val="000000"/>
          <w:sz w:val="24"/>
        </w:rPr>
        <w:t>Eligibility</w:t>
      </w:r>
      <w:r>
        <w:rPr>
          <w:rFonts w:ascii="Times New Roman;serif" w:hAnsi="Times New Roman;serif"/>
          <w:b w:val="false"/>
          <w:color w:val="000000"/>
          <w:sz w:val="24"/>
        </w:rPr>
        <w:t xml:space="preserve">. </w:t>
      </w:r>
    </w:p>
    <w:p>
      <w:pPr>
        <w:pStyle w:val="TextBody"/>
        <w:bidi w:val="0"/>
        <w:spacing w:lineRule="auto" w:line="288" w:before="0" w:after="240"/>
        <w:ind w:left="0" w:right="0" w:firstLine="941"/>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under the Plan, each Participant is eligible to receive severance pay and severance benefits under the Plan if such Participant:</w:t>
      </w:r>
    </w:p>
    <w:p>
      <w:pPr>
        <w:pStyle w:val="TextBody"/>
        <w:bidi w:val="0"/>
        <w:spacing w:lineRule="auto" w:line="288" w:before="0" w:after="240"/>
        <w:ind w:left="0" w:right="0" w:firstLine="941"/>
        <w:jc w:val="both"/>
        <w:rPr/>
      </w:pPr>
      <w:r>
        <w:rPr>
          <w:rFonts w:ascii="Times New Roman;serif" w:hAnsi="Times New Roman;serif"/>
          <w:b w:val="false"/>
          <w:color w:val="010000"/>
          <w:sz w:val="24"/>
        </w:rPr>
        <w:t>(a)    </w:t>
      </w:r>
      <w:r>
        <w:rPr>
          <w:rFonts w:ascii="Times New Roman;serif" w:hAnsi="Times New Roman;serif"/>
          <w:b w:val="false"/>
          <w:color w:val="000000"/>
          <w:sz w:val="24"/>
        </w:rPr>
        <w:t>remains in the employ of the Employer through the date of a Covered Termination, death or Disability;</w:t>
      </w:r>
    </w:p>
    <w:p>
      <w:pPr>
        <w:pStyle w:val="TextBody"/>
        <w:bidi w:val="0"/>
        <w:spacing w:lineRule="auto" w:line="288" w:before="0" w:after="240"/>
        <w:ind w:left="0" w:right="0" w:firstLine="941"/>
        <w:jc w:val="both"/>
        <w:rPr/>
      </w:pPr>
      <w:r>
        <w:rPr>
          <w:rFonts w:ascii="Times New Roman;serif" w:hAnsi="Times New Roman;serif"/>
          <w:b w:val="false"/>
          <w:color w:val="010000"/>
          <w:sz w:val="24"/>
        </w:rPr>
        <w:t>(b)    </w:t>
      </w:r>
      <w:r>
        <w:rPr>
          <w:rFonts w:ascii="Times New Roman;serif" w:hAnsi="Times New Roman;serif"/>
          <w:b w:val="false"/>
          <w:color w:val="000000"/>
          <w:sz w:val="24"/>
        </w:rPr>
        <w:t xml:space="preserve">fulfills the normal responsibilities of such Participant’s position, including, but not limited to, meeting regular attendance, specific transitional activities, workload and other standards of the Employer, </w:t>
      </w:r>
    </w:p>
    <w:p>
      <w:pPr>
        <w:pStyle w:val="TextBody"/>
        <w:bidi w:val="0"/>
        <w:spacing w:lineRule="auto" w:line="288" w:before="0" w:after="240"/>
        <w:ind w:left="0" w:right="0" w:firstLine="941"/>
        <w:jc w:val="both"/>
        <w:rPr/>
      </w:pPr>
      <w:r>
        <w:rPr>
          <w:rFonts w:ascii="Times New Roman;serif" w:hAnsi="Times New Roman;serif"/>
          <w:b w:val="false"/>
          <w:color w:val="010000"/>
          <w:sz w:val="24"/>
        </w:rPr>
        <w:t>(c)    </w:t>
      </w:r>
      <w:r>
        <w:rPr>
          <w:rFonts w:ascii="Times New Roman;serif" w:hAnsi="Times New Roman;serif"/>
          <w:b w:val="false"/>
          <w:color w:val="000000"/>
          <w:sz w:val="24"/>
        </w:rPr>
        <w:t>executes and does not revoke the Release Agreement; and</w:t>
      </w:r>
    </w:p>
    <w:p>
      <w:pPr>
        <w:pStyle w:val="TextBody"/>
        <w:bidi w:val="0"/>
        <w:spacing w:lineRule="auto" w:line="288" w:before="0" w:after="240"/>
        <w:ind w:left="0" w:right="0" w:firstLine="941"/>
        <w:jc w:val="both"/>
        <w:rPr>
          <w:rFonts w:ascii="Times New Roman;serif" w:hAnsi="Times New Roman;serif"/>
          <w:b w:val="false"/>
          <w:color w:val="000000"/>
          <w:sz w:val="24"/>
        </w:rPr>
      </w:pPr>
      <w:r>
        <w:rPr>
          <w:rFonts w:ascii="Times New Roman;serif" w:hAnsi="Times New Roman;serif"/>
          <w:b w:val="false"/>
          <w:color w:val="000000"/>
          <w:sz w:val="24"/>
        </w:rPr>
        <w:t>(d)    complies with and, during the term of the Severance Period (and in some instances, for some period following the expiration of the Severance Period in accordance with the terms of the BPA), remains compliant with, all the terms of such BPA.</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06705"/>
                <wp:effectExtent l="0" t="0" r="0" b="0"/>
                <wp:wrapNone/>
                <wp:docPr id="88" name="Frame8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erif" w:hAnsi="Times New Roman;serif"/>
          <w:b w:val="false"/>
          <w:color w:val="010000"/>
          <w:sz w:val="24"/>
        </w:rPr>
        <w:t>3.    </w:t>
      </w:r>
      <w:r>
        <w:rPr>
          <w:rFonts w:ascii="Times New Roman;serif" w:hAnsi="Times New Roman;serif"/>
          <w:b/>
          <w:color w:val="000000"/>
          <w:sz w:val="24"/>
        </w:rPr>
        <w:t>Termination of Employment</w:t>
      </w:r>
      <w:r>
        <w:rPr>
          <w:rFonts w:ascii="Times New Roman;serif" w:hAnsi="Times New Roman;serif"/>
          <w:b w:val="false"/>
          <w:color w:val="000000"/>
          <w:sz w:val="24"/>
        </w:rPr>
        <w:t>.</w:t>
      </w:r>
    </w:p>
    <w:p>
      <w:pPr>
        <w:pStyle w:val="TextBody"/>
        <w:bidi w:val="0"/>
        <w:spacing w:lineRule="auto" w:line="288" w:before="0" w:after="240"/>
        <w:ind w:left="0" w:right="0" w:firstLine="936"/>
        <w:jc w:val="both"/>
        <w:rPr/>
      </w:pPr>
      <w:r>
        <w:rPr>
          <w:rFonts w:ascii="Times New Roman;serif" w:hAnsi="Times New Roman;serif"/>
          <w:b w:val="false"/>
          <w:color w:val="010000"/>
          <w:sz w:val="24"/>
        </w:rPr>
        <w:t>(a)    </w:t>
      </w:r>
      <w:r>
        <w:rPr>
          <w:rFonts w:ascii="Times New Roman;serif" w:hAnsi="Times New Roman;serif"/>
          <w:b w:val="false"/>
          <w:color w:val="000000"/>
          <w:sz w:val="24"/>
          <w:u w:val="single"/>
        </w:rPr>
        <w:t>Payments on Covered Termination</w:t>
      </w:r>
      <w:r>
        <w:rPr>
          <w:rFonts w:ascii="Times New Roman;serif" w:hAnsi="Times New Roman;serif"/>
          <w:b w:val="false"/>
          <w:color w:val="000000"/>
          <w:sz w:val="24"/>
        </w:rPr>
        <w:t xml:space="preserve">. If a Participant designated on </w:t>
      </w:r>
      <w:r>
        <w:rPr>
          <w:rFonts w:ascii="Times New Roman;serif" w:hAnsi="Times New Roman;serif"/>
          <w:b w:val="false"/>
          <w:color w:val="000000"/>
          <w:sz w:val="24"/>
          <w:u w:val="single"/>
        </w:rPr>
        <w:t>Appendix B</w:t>
      </w:r>
      <w:r>
        <w:rPr>
          <w:color w:val="000000"/>
        </w:rPr>
        <w:t xml:space="preserve"> </w:t>
      </w:r>
      <w:r>
        <w:rPr>
          <w:rFonts w:ascii="Times New Roman;serif" w:hAnsi="Times New Roman;serif"/>
          <w:b w:val="false"/>
          <w:color w:val="000000"/>
          <w:sz w:val="24"/>
        </w:rPr>
        <w:t>hereto undergoes a Covered Termination, in addition to any Accrued Obligations, subject to such Participant’s execution, delivery to the Company, and non-revocation of a Release Agreement, as contemplated in subsection (e) below, and continued compliance with the BPA during the Severance Period (and in some instances, for some period following the expiration of the Severance Period in accordance with the terms of the BPA), such Participant shall be entitled to the following payments and benefits:</w:t>
      </w:r>
    </w:p>
    <w:p>
      <w:pPr>
        <w:pStyle w:val="TextBody"/>
        <w:bidi w:val="0"/>
        <w:spacing w:lineRule="auto" w:line="288" w:before="0" w:after="240"/>
        <w:ind w:left="0" w:right="0" w:firstLine="1440"/>
        <w:jc w:val="both"/>
        <w:rPr/>
      </w:pPr>
      <w:r>
        <w:rPr>
          <w:rFonts w:ascii="Times New Roman;serif" w:hAnsi="Times New Roman;serif"/>
          <w:b w:val="false"/>
          <w:color w:val="010000"/>
          <w:sz w:val="24"/>
        </w:rPr>
        <w:t>(i)    </w:t>
      </w:r>
      <w:r>
        <w:rPr>
          <w:rFonts w:ascii="Times New Roman;serif" w:hAnsi="Times New Roman;serif"/>
          <w:b w:val="false"/>
          <w:color w:val="000000"/>
          <w:sz w:val="24"/>
        </w:rPr>
        <w:t xml:space="preserve">the Target Bonus Amount set forth on </w:t>
      </w:r>
      <w:r>
        <w:rPr>
          <w:rFonts w:ascii="Times New Roman;serif" w:hAnsi="Times New Roman;serif"/>
          <w:b w:val="false"/>
          <w:color w:val="000000"/>
          <w:sz w:val="24"/>
          <w:u w:val="single"/>
        </w:rPr>
        <w:t>Appendix B</w:t>
      </w:r>
      <w:r>
        <w:rPr>
          <w:rFonts w:ascii="Times New Roman;serif" w:hAnsi="Times New Roman;serif"/>
          <w:b w:val="false"/>
          <w:color w:val="000000"/>
          <w:sz w:val="24"/>
        </w:rPr>
        <w:t>, which will be payable to the Participant in a lump sum within 60 days following the date of termination, and</w:t>
      </w:r>
    </w:p>
    <w:p>
      <w:pPr>
        <w:pStyle w:val="TextBody"/>
        <w:bidi w:val="0"/>
        <w:spacing w:lineRule="auto" w:line="288" w:before="0" w:after="240"/>
        <w:ind w:left="0" w:right="0" w:firstLine="1440"/>
        <w:jc w:val="both"/>
        <w:rPr/>
      </w:pPr>
      <w:r>
        <w:rPr>
          <w:rFonts w:ascii="Times New Roman;serif" w:hAnsi="Times New Roman;serif"/>
          <w:b w:val="false"/>
          <w:color w:val="010000"/>
          <w:sz w:val="24"/>
        </w:rPr>
        <w:t>(ii)    </w:t>
      </w:r>
      <w:r>
        <w:rPr>
          <w:rFonts w:ascii="Times New Roman;serif" w:hAnsi="Times New Roman;serif"/>
          <w:b w:val="false"/>
          <w:color w:val="000000"/>
          <w:sz w:val="24"/>
        </w:rPr>
        <w:t xml:space="preserve">(A) the applicable Cash Severance Amount set forth on </w:t>
      </w:r>
      <w:r>
        <w:rPr>
          <w:rFonts w:ascii="Times New Roman;serif" w:hAnsi="Times New Roman;serif"/>
          <w:b w:val="false"/>
          <w:color w:val="000000"/>
          <w:sz w:val="24"/>
          <w:u w:val="single"/>
        </w:rPr>
        <w:t>Appendix B</w:t>
      </w:r>
      <w:r>
        <w:rPr>
          <w:rFonts w:ascii="Times New Roman;serif" w:hAnsi="Times New Roman;serif"/>
          <w:b w:val="false"/>
          <w:color w:val="000000"/>
          <w:sz w:val="24"/>
        </w:rPr>
        <w:t xml:space="preserve">, payable in substantially equal installments as continuous pay in accordance with the Company’s payroll practices as in effect from time to time over the applicable number of months set forth on </w:t>
      </w:r>
      <w:r>
        <w:rPr>
          <w:rFonts w:ascii="Times New Roman;serif" w:hAnsi="Times New Roman;serif"/>
          <w:b w:val="false"/>
          <w:color w:val="000000"/>
          <w:sz w:val="24"/>
          <w:u w:val="single"/>
        </w:rPr>
        <w:t>Appendix B</w:t>
      </w:r>
      <w:r>
        <w:rPr>
          <w:rFonts w:ascii="Times New Roman;serif" w:hAnsi="Times New Roman;serif"/>
          <w:b w:val="false"/>
          <w:color w:val="000000"/>
          <w:sz w:val="24"/>
        </w:rPr>
        <w:t>, commencing on the 60</w:t>
      </w:r>
      <w:r>
        <w:rPr>
          <w:rFonts w:ascii="Times New Roman;serif" w:hAnsi="Times New Roman;serif"/>
          <w:b w:val="false"/>
          <w:color w:val="000000"/>
          <w:sz w:val="20"/>
        </w:rPr>
        <w:t>th</w:t>
      </w:r>
      <w:r>
        <w:rPr>
          <w:color w:val="000000"/>
        </w:rPr>
        <w:t xml:space="preserve"> </w:t>
      </w:r>
      <w:r>
        <w:rPr>
          <w:rFonts w:ascii="Times New Roman;serif" w:hAnsi="Times New Roman;serif"/>
          <w:b w:val="false"/>
          <w:color w:val="000000"/>
          <w:sz w:val="24"/>
        </w:rPr>
        <w:t xml:space="preserve">day following the date of termination,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first such payment shall include all amounts that would have been paid to the Participant in accordance with the Company’s payroll practices if such payments had begun on the date of the Participant’s Covered Termination; and (B) the COBRA Payment, payable in monthly installments during the Subsidized COBRA Period (or apply such amount to the payment of such continuation coverage), commencing on the 60</w:t>
      </w:r>
      <w:r>
        <w:rPr>
          <w:rFonts w:ascii="Times New Roman;serif" w:hAnsi="Times New Roman;serif"/>
          <w:b w:val="false"/>
          <w:color w:val="000000"/>
          <w:sz w:val="20"/>
        </w:rPr>
        <w:t>th</w:t>
      </w:r>
      <w:r>
        <w:rPr>
          <w:color w:val="000000"/>
        </w:rPr>
        <w:t xml:space="preserve"> </w:t>
      </w:r>
      <w:r>
        <w:rPr>
          <w:rFonts w:ascii="Times New Roman;serif" w:hAnsi="Times New Roman;serif"/>
          <w:b w:val="false"/>
          <w:color w:val="000000"/>
          <w:sz w:val="24"/>
        </w:rPr>
        <w:t xml:space="preserve">day following the date of termination,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first such payment shall include all amounts that would have been paid or provided to Participant in accordance with the Company’s payroll practices if such payments had begun on the date of the Participant’s Covered Termination.</w:t>
      </w:r>
    </w:p>
    <w:p>
      <w:pPr>
        <w:pStyle w:val="TextBody"/>
        <w:bidi w:val="0"/>
        <w:spacing w:lineRule="auto" w:line="288" w:before="0" w:after="240"/>
        <w:ind w:left="0" w:right="0" w:firstLine="900"/>
        <w:jc w:val="both"/>
        <w:rPr/>
      </w:pPr>
      <w:r>
        <w:rPr>
          <w:rFonts w:ascii="Times New Roman;serif" w:hAnsi="Times New Roman;serif"/>
          <w:b w:val="false"/>
          <w:color w:val="010000"/>
          <w:sz w:val="24"/>
        </w:rPr>
        <w:t>(b)    </w:t>
      </w:r>
      <w:r>
        <w:rPr>
          <w:rFonts w:ascii="Times New Roman;serif" w:hAnsi="Times New Roman;serif"/>
          <w:b w:val="false"/>
          <w:color w:val="000000"/>
          <w:sz w:val="24"/>
          <w:u w:val="single"/>
        </w:rPr>
        <w:t>Payments on Change in Control Covered Termination</w:t>
      </w:r>
      <w:r>
        <w:rPr>
          <w:rFonts w:ascii="Times New Roman;serif" w:hAnsi="Times New Roman;serif"/>
          <w:b w:val="false"/>
          <w:color w:val="000000"/>
          <w:sz w:val="24"/>
        </w:rPr>
        <w:t xml:space="preserve">. If a Participant undergoes a Change in Control Covered Termination, subject to such Participant’s execution, delivery to the Company, and non-revocation of a Release Agreement, as contemplated in subsection (e) below, and continued compliance with the BPA during the Severance Period (and in some instances, for some period following the expiration of the Severance Period in accordance with the terms of the BPA), such Participant shall be entitled to the following payment in addition to the payments and benefits set forth in Section 3(a): a lump-sum cash payment equal to the applicable CIC Covered Termination Payment Amount set forth on </w:t>
      </w:r>
      <w:r>
        <w:rPr>
          <w:rFonts w:ascii="Times New Roman;serif" w:hAnsi="Times New Roman;serif"/>
          <w:b w:val="false"/>
          <w:color w:val="000000"/>
          <w:sz w:val="24"/>
          <w:u w:val="single"/>
        </w:rPr>
        <w:t>Appendix C</w:t>
      </w:r>
      <w:r>
        <w:rPr>
          <w:rFonts w:ascii="Times New Roman;serif" w:hAnsi="Times New Roman;serif"/>
          <w:b w:val="false"/>
          <w:color w:val="000000"/>
          <w:sz w:val="24"/>
        </w:rPr>
        <w:t xml:space="preserve">, payable within 60 days following the later of (A) the date of the Participant’s Change in Control Covered Termination or (B) the closing date of the applicable Change in Control. For the avoidance of doubt, if a Participant’s name is not set forth on </w:t>
      </w:r>
      <w:r>
        <w:rPr>
          <w:rFonts w:ascii="Times New Roman;serif" w:hAnsi="Times New Roman;serif"/>
          <w:b w:val="false"/>
          <w:color w:val="000000"/>
          <w:sz w:val="24"/>
          <w:u w:val="single"/>
        </w:rPr>
        <w:t>Appendix C</w:t>
      </w:r>
      <w:r>
        <w:rPr>
          <w:color w:val="000000"/>
        </w:rPr>
        <w:t xml:space="preserve"> </w:t>
      </w:r>
      <w:r>
        <w:rPr>
          <w:rFonts w:ascii="Times New Roman;serif" w:hAnsi="Times New Roman;serif"/>
          <w:b w:val="false"/>
          <w:color w:val="000000"/>
          <w:sz w:val="24"/>
        </w:rPr>
        <w:t>hereto, such Participant is ineligible to receive any payments under this Section 3(b).</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Payments and benefits described under subsections (a) and (b) may be made by the Company or any other member of the Company Group, as determined by the Company in its sole discretion, including, without limitation, the Employer.</w:t>
      </w:r>
    </w:p>
    <w:p>
      <w:pPr>
        <w:pStyle w:val="TextBody"/>
        <w:bidi w:val="0"/>
        <w:spacing w:lineRule="auto" w:line="288" w:before="0" w:after="240"/>
        <w:ind w:left="0" w:right="0" w:firstLine="941"/>
        <w:jc w:val="both"/>
        <w:rPr/>
      </w:pPr>
      <w:r>
        <w:rPr>
          <w:rFonts w:ascii="Times New Roman;serif" w:hAnsi="Times New Roman;serif"/>
          <w:b w:val="false"/>
          <w:color w:val="010000"/>
          <w:sz w:val="24"/>
        </w:rPr>
        <w:t>(c)    </w:t>
      </w:r>
      <w:r>
        <w:rPr>
          <w:rFonts w:ascii="Times New Roman;serif" w:hAnsi="Times New Roman;serif"/>
          <w:b w:val="false"/>
          <w:color w:val="000000"/>
          <w:sz w:val="24"/>
          <w:u w:val="single"/>
        </w:rPr>
        <w:t>Payments on Death or Disability</w:t>
      </w:r>
      <w:r>
        <w:rPr>
          <w:rFonts w:ascii="Times New Roman;serif" w:hAnsi="Times New Roman;serif"/>
          <w:b w:val="false"/>
          <w:color w:val="000000"/>
          <w:sz w:val="24"/>
        </w:rPr>
        <w:t xml:space="preserve">. In the event a Participant’s employment with the Employer is terminated due to such Participant’s death or Disability, in addition to any Accrued Obligations, the Participant (or the Participant’s estate, as applicable) shall receive the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06705"/>
                <wp:effectExtent l="0" t="0" r="0" b="0"/>
                <wp:wrapNone/>
                <wp:docPr id="89" name="Frame8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Target Bonus, payable in a lump sum within 60 days following the date of termination;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in the case of the Participant’s termination due to Disability, the Participant must execute, deliver to the Company, and not revoke the Release Agreement, as contemplated in subsection (e) below, and continue to comply with the BPA during the Severance Period (and in some instances, for some period following the expiration of the Severance Period in accordance with the terms of the BPA).</w:t>
      </w:r>
    </w:p>
    <w:p>
      <w:pPr>
        <w:pStyle w:val="TextBody"/>
        <w:bidi w:val="0"/>
        <w:spacing w:lineRule="auto" w:line="288" w:before="0" w:after="240"/>
        <w:ind w:left="0" w:right="0" w:firstLine="941"/>
        <w:jc w:val="both"/>
        <w:rPr/>
      </w:pPr>
      <w:r>
        <w:rPr>
          <w:rFonts w:ascii="Times New Roman;serif" w:hAnsi="Times New Roman;serif"/>
          <w:b w:val="false"/>
          <w:color w:val="010000"/>
          <w:sz w:val="24"/>
        </w:rPr>
        <w:t>(d)    </w:t>
      </w:r>
      <w:r>
        <w:rPr>
          <w:rFonts w:ascii="Times New Roman;serif" w:hAnsi="Times New Roman;serif"/>
          <w:b w:val="false"/>
          <w:color w:val="000000"/>
          <w:sz w:val="24"/>
          <w:u w:val="single"/>
        </w:rPr>
        <w:t>Other Termination Events</w:t>
      </w:r>
      <w:r>
        <w:rPr>
          <w:rFonts w:ascii="Times New Roman;serif" w:hAnsi="Times New Roman;serif"/>
          <w:b w:val="false"/>
          <w:color w:val="000000"/>
          <w:sz w:val="24"/>
        </w:rPr>
        <w:t>. If a Participant’s employment is terminated for any reason other than pursuant to a Covered Termination, death or Disability, such Participant shall not be entitled to the Severance Pay or other benefits under the Plan.</w:t>
      </w:r>
    </w:p>
    <w:p>
      <w:pPr>
        <w:pStyle w:val="TextBody"/>
        <w:bidi w:val="0"/>
        <w:spacing w:lineRule="auto" w:line="288" w:before="0" w:after="240"/>
        <w:ind w:left="0" w:right="0" w:firstLine="941"/>
        <w:jc w:val="both"/>
        <w:rPr/>
      </w:pPr>
      <w:r>
        <w:rPr>
          <w:rFonts w:ascii="Times New Roman;serif" w:hAnsi="Times New Roman;serif"/>
          <w:b w:val="false"/>
          <w:color w:val="010000"/>
          <w:sz w:val="24"/>
        </w:rPr>
        <w:t>(e)    </w:t>
      </w:r>
      <w:r>
        <w:rPr>
          <w:rFonts w:ascii="Times New Roman;serif" w:hAnsi="Times New Roman;serif"/>
          <w:b w:val="false"/>
          <w:color w:val="000000"/>
          <w:sz w:val="24"/>
          <w:u w:val="single"/>
        </w:rPr>
        <w:t>Release Agreement</w:t>
      </w:r>
      <w:r>
        <w:rPr>
          <w:rFonts w:ascii="Times New Roman;serif" w:hAnsi="Times New Roman;serif"/>
          <w:b w:val="false"/>
          <w:color w:val="000000"/>
          <w:sz w:val="24"/>
        </w:rPr>
        <w:t>. Notwithstanding any provision herein to the contrary, the payment of any amount or provision of any benefit pursuant to this Section 3 (other than the Accrued Obligations) shall be conditioned upon a Participant’s execution, delivery to the Company, and non-revocation of the Release Agreement (and the expiration of any revocation period contained in such Release Agreement) within 60 days following the date of a Covered Termination. If a Participant fails to execute the Release Agreement in such a timely manner or timely revokes his or her acceptance of such release following its execution, such Participant shall not be entitled to Severance Pay or any other benefits under the Plan. Further, to the extent that any of the payments hereunder constitute “nonqualified deferred compensation” for purposes of Section 409A of the Code, any payment of any amount or provision of any benefit otherwise scheduled to occur prior to the 60</w:t>
      </w:r>
      <w:r>
        <w:rPr>
          <w:rFonts w:ascii="Times New Roman;serif" w:hAnsi="Times New Roman;serif"/>
          <w:b w:val="false"/>
          <w:color w:val="000000"/>
          <w:sz w:val="20"/>
        </w:rPr>
        <w:t>th</w:t>
      </w:r>
      <w:r>
        <w:rPr>
          <w:color w:val="000000"/>
        </w:rPr>
        <w:t xml:space="preserve"> </w:t>
      </w:r>
      <w:r>
        <w:rPr>
          <w:rFonts w:ascii="Times New Roman;serif" w:hAnsi="Times New Roman;serif"/>
          <w:b w:val="false"/>
          <w:color w:val="000000"/>
          <w:sz w:val="24"/>
        </w:rPr>
        <w:t>day following the date of such Covered Termination, but for the condition of executing the Release Agreement as set forth herein, shall not be made until the first regularly scheduled payroll date following such 60</w:t>
      </w:r>
      <w:r>
        <w:rPr>
          <w:rFonts w:ascii="Times New Roman;serif" w:hAnsi="Times New Roman;serif"/>
          <w:b w:val="false"/>
          <w:color w:val="000000"/>
          <w:sz w:val="20"/>
        </w:rPr>
        <w:t>th</w:t>
      </w:r>
      <w:r>
        <w:rPr>
          <w:color w:val="000000"/>
        </w:rPr>
        <w:t xml:space="preserve"> </w:t>
      </w:r>
      <w:r>
        <w:rPr>
          <w:rFonts w:ascii="Times New Roman;serif" w:hAnsi="Times New Roman;serif"/>
          <w:b w:val="false"/>
          <w:color w:val="000000"/>
          <w:sz w:val="24"/>
        </w:rPr>
        <w:t>day, after which any remaining payments shall thereafter be provided to the Participant according to the applicable schedule set forth herein. </w:t>
      </w:r>
    </w:p>
    <w:p>
      <w:pPr>
        <w:pStyle w:val="TextBody"/>
        <w:bidi w:val="0"/>
        <w:spacing w:lineRule="auto" w:line="288" w:before="0" w:after="240"/>
        <w:ind w:left="0" w:right="0" w:firstLine="941"/>
        <w:jc w:val="both"/>
        <w:rPr/>
      </w:pPr>
      <w:r>
        <w:rPr>
          <w:rFonts w:ascii="Times New Roman;serif" w:hAnsi="Times New Roman;serif"/>
          <w:b w:val="false"/>
          <w:color w:val="010000"/>
          <w:sz w:val="24"/>
        </w:rPr>
        <w:t>(f)    </w:t>
      </w:r>
      <w:r>
        <w:rPr>
          <w:rFonts w:ascii="Times New Roman;serif" w:hAnsi="Times New Roman;serif"/>
          <w:b w:val="false"/>
          <w:color w:val="000000"/>
          <w:sz w:val="24"/>
          <w:u w:val="single"/>
        </w:rPr>
        <w:t>Clawback/Forfeiture</w:t>
      </w:r>
      <w:r>
        <w:rPr>
          <w:rFonts w:ascii="Times New Roman;serif" w:hAnsi="Times New Roman;serif"/>
          <w:b w:val="false"/>
          <w:color w:val="000000"/>
          <w:sz w:val="24"/>
        </w:rPr>
        <w:t>. Notwithstanding any provision herein to the contrary, the payment of any amount or provision of any benefit pursuant to subsections (a) or (b) above (other than the Accrued Obligations) shall be conditioned upon and subject to the Clawback Policy.</w:t>
      </w:r>
    </w:p>
    <w:p>
      <w:pPr>
        <w:pStyle w:val="TextBody"/>
        <w:bidi w:val="0"/>
        <w:spacing w:lineRule="auto" w:line="288" w:before="0" w:after="240"/>
        <w:ind w:left="0" w:right="0" w:firstLine="941"/>
        <w:jc w:val="both"/>
        <w:rPr/>
      </w:pPr>
      <w:r>
        <w:rPr>
          <w:rFonts w:ascii="Times New Roman;serif" w:hAnsi="Times New Roman;serif"/>
          <w:b w:val="false"/>
          <w:color w:val="010000"/>
          <w:sz w:val="24"/>
        </w:rPr>
        <w:t>4.    </w:t>
      </w:r>
      <w:r>
        <w:rPr>
          <w:rFonts w:ascii="Times New Roman;serif" w:hAnsi="Times New Roman;serif"/>
          <w:b/>
          <w:color w:val="000000"/>
          <w:sz w:val="24"/>
        </w:rPr>
        <w:t>Treatment of Awards</w:t>
      </w:r>
      <w:r>
        <w:rPr>
          <w:rFonts w:ascii="Times New Roman;serif" w:hAnsi="Times New Roman;serif"/>
          <w:b w:val="false"/>
          <w:color w:val="000000"/>
          <w:sz w:val="24"/>
        </w:rPr>
        <w:t xml:space="preserve">. </w:t>
      </w:r>
    </w:p>
    <w:p>
      <w:pPr>
        <w:pStyle w:val="TextBody"/>
        <w:bidi w:val="0"/>
        <w:spacing w:lineRule="auto" w:line="288" w:before="0" w:after="240"/>
        <w:ind w:left="0" w:right="0" w:firstLine="941"/>
        <w:jc w:val="both"/>
        <w:rPr>
          <w:rFonts w:ascii="Times New Roman;serif" w:hAnsi="Times New Roman;serif"/>
          <w:b w:val="false"/>
          <w:color w:val="000000"/>
          <w:sz w:val="24"/>
        </w:rPr>
      </w:pPr>
      <w:r>
        <w:rPr>
          <w:rFonts w:ascii="Times New Roman;serif" w:hAnsi="Times New Roman;serif"/>
          <w:b w:val="false"/>
          <w:color w:val="000000"/>
          <w:sz w:val="24"/>
        </w:rPr>
        <w:t>Any outstanding Awards granted to the Participant under (i) the Stock Plan shall vest in accordance with the terms of the Stock Plan and the applicable award agreement, or (ii) the Company’s 2013 Equity Incentive Plan, as amended, shall vest in accordance with the terms of the 2013 Equity Incentive Plan, as amended, and the applicable award agreement.</w:t>
      </w:r>
    </w:p>
    <w:p>
      <w:pPr>
        <w:pStyle w:val="TextBody"/>
        <w:bidi w:val="0"/>
        <w:spacing w:lineRule="auto" w:line="288" w:before="0" w:after="240"/>
        <w:ind w:left="0" w:right="0" w:firstLine="941"/>
        <w:jc w:val="both"/>
        <w:rPr/>
      </w:pPr>
      <w:r>
        <w:rPr>
          <w:rFonts w:ascii="Times New Roman;serif" w:hAnsi="Times New Roman;serif"/>
          <w:b w:val="false"/>
          <w:color w:val="010000"/>
          <w:sz w:val="24"/>
        </w:rPr>
        <w:t>5.    </w:t>
      </w:r>
      <w:r>
        <w:rPr>
          <w:rFonts w:ascii="Times New Roman;serif" w:hAnsi="Times New Roman;serif"/>
          <w:b/>
          <w:color w:val="000000"/>
          <w:sz w:val="24"/>
        </w:rPr>
        <w:t>Additional Terms</w:t>
      </w:r>
      <w:r>
        <w:rPr>
          <w:rFonts w:ascii="Times New Roman;serif" w:hAnsi="Times New Roman;serif"/>
          <w:b w:val="false"/>
          <w:color w:val="000000"/>
          <w:sz w:val="24"/>
        </w:rPr>
        <w:t>.</w:t>
      </w:r>
    </w:p>
    <w:p>
      <w:pPr>
        <w:pStyle w:val="TextBody"/>
        <w:bidi w:val="0"/>
        <w:spacing w:lineRule="auto" w:line="288" w:before="0" w:after="240"/>
        <w:ind w:left="0" w:right="0" w:firstLine="941"/>
        <w:jc w:val="both"/>
        <w:rPr/>
      </w:pPr>
      <w:r>
        <w:rPr>
          <w:rFonts w:ascii="Times New Roman;serif" w:hAnsi="Times New Roman;serif"/>
          <w:b w:val="false"/>
          <w:color w:val="010000"/>
          <w:sz w:val="24"/>
        </w:rPr>
        <w:t>(a)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Severance and other payments and benefits under the Plan will be subject to all required federal, state and local taxes and may be affected by any legally required withholdings. Payments under the Plan are not deemed “compensation” for purposes of the retirement plans, savings plans, and incentive plans of the Company Group. Accordingly, no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06705"/>
                <wp:effectExtent l="0" t="0" r="0" b="0"/>
                <wp:wrapNone/>
                <wp:docPr id="90" name="Frame8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deductions will be taken for any retirement and savings plan and such plans will not accrue any benefits attributable to payments under the Plan.</w:t>
      </w:r>
    </w:p>
    <w:p>
      <w:pPr>
        <w:pStyle w:val="TextBody"/>
        <w:bidi w:val="0"/>
        <w:spacing w:lineRule="auto" w:line="288" w:before="0" w:after="240"/>
        <w:ind w:left="0" w:right="0" w:firstLine="941"/>
        <w:jc w:val="both"/>
        <w:rPr/>
      </w:pPr>
      <w:r>
        <w:rPr>
          <w:rFonts w:ascii="Times New Roman;serif" w:hAnsi="Times New Roman;serif"/>
          <w:b w:val="false"/>
          <w:color w:val="010000"/>
          <w:sz w:val="24"/>
        </w:rPr>
        <w:t>(b)    </w:t>
      </w:r>
      <w:r>
        <w:rPr>
          <w:rFonts w:ascii="Times New Roman;serif" w:hAnsi="Times New Roman;serif"/>
          <w:b w:val="false"/>
          <w:color w:val="000000"/>
          <w:sz w:val="24"/>
          <w:u w:val="single"/>
        </w:rPr>
        <w:t>Set-Off; Mitigation</w:t>
      </w:r>
      <w:r>
        <w:rPr>
          <w:rFonts w:ascii="Times New Roman;serif" w:hAnsi="Times New Roman;serif"/>
          <w:b w:val="false"/>
          <w:color w:val="000000"/>
          <w:sz w:val="32"/>
        </w:rPr>
        <w:t xml:space="preserve">. </w:t>
      </w:r>
      <w:r>
        <w:rPr>
          <w:rFonts w:ascii="Times New Roman;serif" w:hAnsi="Times New Roman;serif"/>
          <w:b w:val="false"/>
          <w:color w:val="000000"/>
          <w:sz w:val="24"/>
        </w:rPr>
        <w:t>The Company’s obligation to pay the Participant the amounts provided and to make the arrangements provided hereunder shall not be subject to set-off, counterclaim, or recoupment of amounts owed by the Participant to the Company or its Affiliates. The Participant shall not be required to mitigate the amount of any payment provided pursuant to the Plan by seeking other employment or otherwise, and the amount of any payment provided for pursuant to the Plan shall not be reduced by any compensation earned as a result of the Participant’s other employment or otherwise.</w:t>
      </w:r>
    </w:p>
    <w:p>
      <w:pPr>
        <w:pStyle w:val="TextBody"/>
        <w:bidi w:val="0"/>
        <w:spacing w:lineRule="auto" w:line="288" w:before="0" w:after="240"/>
        <w:ind w:left="0" w:right="0" w:firstLine="941"/>
        <w:jc w:val="both"/>
        <w:rPr/>
      </w:pPr>
      <w:r>
        <w:rPr>
          <w:rFonts w:ascii="Times New Roman;serif" w:hAnsi="Times New Roman;serif"/>
          <w:b w:val="false"/>
          <w:color w:val="010000"/>
          <w:sz w:val="24"/>
        </w:rPr>
        <w:t>(c)    </w:t>
      </w:r>
      <w:r>
        <w:rPr>
          <w:rFonts w:ascii="Times New Roman;serif" w:hAnsi="Times New Roman;serif"/>
          <w:b w:val="false"/>
          <w:color w:val="000000"/>
          <w:sz w:val="24"/>
          <w:u w:val="single"/>
        </w:rPr>
        <w:t>Specified Employees</w:t>
      </w:r>
      <w:r>
        <w:rPr>
          <w:rFonts w:ascii="Times New Roman;serif" w:hAnsi="Times New Roman;serif"/>
          <w:b w:val="false"/>
          <w:color w:val="000000"/>
          <w:sz w:val="24"/>
        </w:rPr>
        <w:t xml:space="preserve">. Notwithstanding anything herein to the contrary, if (i) at the time of a Participant’s Covered Termination, such Participant is a “specified employee” as defined in Section 409A of the Code, and the deferral of the commencement of any payments or benefits otherwise payable hereunder as a result of such termination of employment is necessary in order to prevent the imposition of any accelerated or additional tax under Section 409A of the Code, then the commencement of the payment of any such payments or benefits hereunder will be deferred (without any increase or decrease in such payments or benefits ultimately paid or provided to the Participant) until the date that is six months following such Participant’s Covered Termination (or the earliest date that is permitted under Section 409A of the Code), and (ii) any other payments of money or other benefits due to the Participant hereunder would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or at the direction of the Committee, that does not cause such an accelerated or additional tax or result in additional cost to the Company. The Company shall consult with its legal counsel and tax advisors in good faith regarding the implementation of this Section 5(c);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that none of the Company any other member of the Company Group, or any of their respective employees or representatives, shall have any liability to the Participant with respect thereto.</w:t>
      </w:r>
    </w:p>
    <w:p>
      <w:pPr>
        <w:pStyle w:val="TextBody"/>
        <w:bidi w:val="0"/>
        <w:spacing w:lineRule="auto" w:line="288" w:before="0" w:after="240"/>
        <w:ind w:left="0" w:right="0" w:firstLine="941"/>
        <w:jc w:val="both"/>
        <w:rPr/>
      </w:pPr>
      <w:r>
        <w:rPr>
          <w:rFonts w:ascii="Times New Roman;serif" w:hAnsi="Times New Roman;serif"/>
          <w:b w:val="false"/>
          <w:color w:val="010000"/>
          <w:sz w:val="24"/>
        </w:rPr>
        <w:t>6.    </w:t>
      </w:r>
      <w:r>
        <w:rPr>
          <w:rFonts w:ascii="Times New Roman;serif" w:hAnsi="Times New Roman;serif"/>
          <w:b/>
          <w:color w:val="000000"/>
          <w:sz w:val="24"/>
        </w:rPr>
        <w:t>Termination or Amendment of the Plan</w:t>
      </w:r>
      <w:r>
        <w:rPr>
          <w:rFonts w:ascii="Times New Roman;serif" w:hAnsi="Times New Roman;serif"/>
          <w:b w:val="false"/>
          <w:color w:val="000000"/>
          <w:sz w:val="24"/>
        </w:rPr>
        <w:t>.</w:t>
      </w:r>
    </w:p>
    <w:p>
      <w:pPr>
        <w:pStyle w:val="TextBody"/>
        <w:bidi w:val="0"/>
        <w:spacing w:lineRule="auto" w:line="288" w:before="0" w:after="240"/>
        <w:ind w:left="0" w:right="0" w:firstLine="941"/>
        <w:jc w:val="both"/>
        <w:rPr/>
      </w:pPr>
      <w:r>
        <w:rPr>
          <w:rFonts w:ascii="Times New Roman;serif" w:hAnsi="Times New Roman;serif"/>
          <w:b w:val="false"/>
          <w:color w:val="000000"/>
          <w:sz w:val="24"/>
        </w:rPr>
        <w:t xml:space="preserve">The Plan may be amended, terminated or discontinued in whole or in part, at any time and from time to time at the discretion of the Board or the Committee;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xml:space="preserve">, that no such amendment, termination or discontinuance shall, without a Participant’s consent, adversely affect any Participant that has undergone a Covered Termination prior to the effective date of any such amendment, termination or discontinuance; </w:t>
      </w:r>
      <w:r>
        <w:rPr>
          <w:rFonts w:ascii="Times New Roman;serif" w:hAnsi="Times New Roman;serif"/>
          <w:b w:val="false"/>
          <w:i/>
          <w:color w:val="000000"/>
          <w:sz w:val="24"/>
          <w:u w:val="single"/>
        </w:rPr>
        <w:t>provided further</w:t>
      </w:r>
      <w:r>
        <w:rPr>
          <w:rFonts w:ascii="Times New Roman;serif" w:hAnsi="Times New Roman;serif"/>
          <w:b w:val="false"/>
          <w:color w:val="000000"/>
          <w:sz w:val="24"/>
        </w:rPr>
        <w:t>, that following (x) the date the Company has entered into an agreement the consummation of which would result in a Change in Control (until such time as the Change in Control occurs or such agreement is terminated) or (y) a Change in Control, the Plan may not be amended, terminated or discontinued in whole or in part, at any time prior to the second anniversary of the date of such Change in Control without the written consent of each affected Participant. </w:t>
      </w:r>
    </w:p>
    <w:p>
      <w:pPr>
        <w:pStyle w:val="TextBody"/>
        <w:bidi w:val="0"/>
        <w:spacing w:lineRule="auto" w:line="288" w:before="0" w:after="240"/>
        <w:ind w:left="0" w:right="0" w:firstLine="941"/>
        <w:jc w:val="both"/>
        <w:rPr/>
      </w:pPr>
      <w:r>
        <w:rPr>
          <w:rFonts w:ascii="Times New Roman;serif" w:hAnsi="Times New Roman;serif"/>
          <w:b w:val="false"/>
          <w:color w:val="010000"/>
          <w:sz w:val="24"/>
        </w:rPr>
        <w:t>7.    </w:t>
      </w:r>
      <w:r>
        <w:rPr>
          <w:rFonts w:ascii="Times New Roman;serif" w:hAnsi="Times New Roman;serif"/>
          <w:b/>
          <w:color w:val="000000"/>
          <w:sz w:val="24"/>
        </w:rPr>
        <w:t>Limitation of Certain Payments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06705"/>
                <wp:effectExtent l="0" t="0" r="0" b="0"/>
                <wp:wrapNone/>
                <wp:docPr id="91" name="Frame9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240"/>
        <w:ind w:left="0" w:right="0" w:firstLine="941"/>
        <w:jc w:val="both"/>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in an individual employment agreement, in the event that any payments and/or benefits due to a Participant under the Plan and/or any other arrangements are determined by the Company to constitute “excess parachute payments” as defined under Section 280G of the Code, any cash severance payable under the Plan shall be reduced by the minimum amount necessary, subject to the last sentence of this paragraph, such that the present value of such “parachute payments” (as defined under Section 280G of the Code) is below 300% of such Participant’s “base amount” (as defined under Section 280G of the Code), and by accepting participation in the Plan. Notwithstanding the foregoing, no payments or benefits shall be reduced under this Section 7 unless (a) the net amount of such payments and benefits, as so reduced (and after subtracting the net amount of federal, state and local income taxes on such reduced payments and after taking into account the phase out of itemized deductions and personal exemptions attributable to such reduced payments and benefits), is greater than or equal to (b) the net amount of such payments without such reduction (but after subtracting the net amount of federal, state and local income taxes on such payments and benefits and the amount of excise tax imposed under Section 4999 of the Code as to which such Participant would be subject in respect of such unreduced payments and benefits and after taking into account the phase out of itemized deductions and personal exemptions attributable to such unreduced payments). For purposes hereof, (i) the order in which any amounts are deemed to be reduced, if applicable, is (A) cash payments, (B) other non-cash forms of benefits, and (C) equity-based payments and acceleration of vesting, and (ii) within any such category of payments and benefits (that is, (i)(A), (i)(B) or (i)(C) above), (A) a reduction shall occur first with respect to amounts that are not “deferred compensation” within the meaning of Section 409A of the Code and then with respect to amounts that are and (B) to the extent that any such amounts are to be made over time (e.g., in installments, etc.), then the amounts shall be reduced in reverse </w:t>
      </w:r>
    </w:p>
    <w:p>
      <w:pPr>
        <w:pStyle w:val="TextBody"/>
        <w:bidi w:val="0"/>
        <w:spacing w:lineRule="auto" w:line="288" w:before="0" w:after="240"/>
        <w:ind w:left="0" w:right="0" w:firstLine="941"/>
        <w:jc w:val="both"/>
        <w:rPr/>
      </w:pPr>
      <w:r>
        <w:rPr>
          <w:rFonts w:ascii="Times New Roman;serif" w:hAnsi="Times New Roman;serif"/>
          <w:b w:val="false"/>
          <w:color w:val="010000"/>
          <w:sz w:val="24"/>
        </w:rPr>
        <w:t>8.    </w:t>
      </w:r>
      <w:r>
        <w:rPr>
          <w:rFonts w:ascii="Times New Roman;serif" w:hAnsi="Times New Roman;serif"/>
          <w:b/>
          <w:color w:val="000000"/>
          <w:sz w:val="24"/>
        </w:rPr>
        <w:t>Miscellaneous</w:t>
      </w:r>
      <w:r>
        <w:rPr>
          <w:rFonts w:ascii="Times New Roman;serif" w:hAnsi="Times New Roman;serif"/>
          <w:b w:val="false"/>
          <w:color w:val="000000"/>
          <w:sz w:val="24"/>
        </w:rPr>
        <w:t>.</w:t>
      </w:r>
    </w:p>
    <w:p>
      <w:pPr>
        <w:pStyle w:val="TextBody"/>
        <w:bidi w:val="0"/>
        <w:spacing w:lineRule="auto" w:line="288" w:before="0" w:after="240"/>
        <w:ind w:left="0" w:right="0" w:firstLine="941"/>
        <w:jc w:val="both"/>
        <w:rPr/>
      </w:pPr>
      <w:r>
        <w:rPr>
          <w:rFonts w:ascii="Times New Roman;serif" w:hAnsi="Times New Roman;serif"/>
          <w:b w:val="false"/>
          <w:color w:val="010000"/>
          <w:sz w:val="24"/>
        </w:rPr>
        <w:t>(a)    </w:t>
      </w:r>
      <w:r>
        <w:rPr>
          <w:rFonts w:ascii="Times New Roman;serif" w:hAnsi="Times New Roman;serif"/>
          <w:b w:val="false"/>
          <w:color w:val="000000"/>
          <w:sz w:val="24"/>
          <w:u w:val="single"/>
        </w:rPr>
        <w:t>No Right to Continued Employment</w:t>
      </w:r>
      <w:r>
        <w:rPr>
          <w:rFonts w:ascii="Times New Roman;serif" w:hAnsi="Times New Roman;serif"/>
          <w:b w:val="false"/>
          <w:color w:val="000000"/>
          <w:sz w:val="24"/>
        </w:rPr>
        <w:t xml:space="preserve">. Nothing contained in the Plan shall confer upon any Participant any right to continue in the employ of any member of the Company Group nor interfere in any way with the right of the Company Group to terminate his or her employment, with or without Cause. </w:t>
      </w:r>
    </w:p>
    <w:p>
      <w:pPr>
        <w:pStyle w:val="TextBody"/>
        <w:bidi w:val="0"/>
        <w:spacing w:lineRule="auto" w:line="288" w:before="0" w:after="240"/>
        <w:ind w:left="0" w:right="0" w:firstLine="941"/>
        <w:jc w:val="both"/>
        <w:rPr/>
      </w:pPr>
      <w:r>
        <w:rPr>
          <w:rFonts w:ascii="Times New Roman;serif" w:hAnsi="Times New Roman;serif"/>
          <w:b w:val="false"/>
          <w:color w:val="010000"/>
          <w:sz w:val="24"/>
        </w:rPr>
        <w:t>(b)    </w:t>
      </w:r>
      <w:r>
        <w:rPr>
          <w:rFonts w:ascii="Times New Roman;serif" w:hAnsi="Times New Roman;serif"/>
          <w:b w:val="false"/>
          <w:color w:val="000000"/>
          <w:sz w:val="24"/>
          <w:u w:val="single"/>
        </w:rPr>
        <w:t>Plan Not Funded</w:t>
      </w:r>
      <w:r>
        <w:rPr>
          <w:rFonts w:ascii="Times New Roman;serif" w:hAnsi="Times New Roman;serif"/>
          <w:b w:val="false"/>
          <w:color w:val="000000"/>
          <w:sz w:val="24"/>
        </w:rPr>
        <w:t>. Amounts payable under the Plan shall be payable from the general assets of the Company, and no special or separate reserve, fund or deposit shall be made to assure payment of such amounts. No Participant, beneficiary or other Person shall have any right, title or interest in any fund or in any specific asset of the Company by reason of participation hereunder. Neither the provisions of the Plan, nor the creation or adoption of the Plan, nor any action taken pursuant to the provisions of the Plan shall create, or be construed to create, a trust of any kind or a fiduciary relationship between the Company and any Participant, beneficiary or other Person. To the extent that a Participant, beneficiary or other Person acquires a right to receive payment under the Plan, such right shall be no greater than the right of any unsecured general creditor of the Company. Notwithstanding the foregoing, the Company shall have the right to implement or set aside funds in a grantor trust, subject to the claims of the Company’s creditors or otherwise, to discharge its obligations under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06705"/>
                <wp:effectExtent l="0" t="0" r="0" b="0"/>
                <wp:wrapNone/>
                <wp:docPr id="92" name="Frame9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240"/>
        <w:ind w:left="0" w:right="0" w:firstLine="941"/>
        <w:jc w:val="both"/>
        <w:rPr/>
      </w:pPr>
      <w:r>
        <w:rPr>
          <w:rFonts w:ascii="Times New Roman;serif" w:hAnsi="Times New Roman;serif"/>
          <w:b w:val="false"/>
          <w:color w:val="010000"/>
          <w:sz w:val="24"/>
        </w:rPr>
        <w:t>(c)    </w:t>
      </w:r>
      <w:r>
        <w:rPr>
          <w:rFonts w:ascii="Times New Roman;serif" w:hAnsi="Times New Roman;serif"/>
          <w:b w:val="false"/>
          <w:color w:val="000000"/>
          <w:sz w:val="24"/>
          <w:u w:val="single"/>
        </w:rPr>
        <w:t>Non-Transferability of Benefits and Interests</w:t>
      </w:r>
      <w:r>
        <w:rPr>
          <w:rFonts w:ascii="Times New Roman;serif" w:hAnsi="Times New Roman;serif"/>
          <w:b w:val="false"/>
          <w:color w:val="000000"/>
          <w:sz w:val="24"/>
        </w:rPr>
        <w:t>. All amounts payable under the Plan are non-transferable, and no amount payable under the Plan shall be subject in any manner to sale, transfer, anticipation, alienation, assignment, pledge, encumbrance or charge. This Section 9(c) shall not apply to an assignment of a contingency or payment due (i) after the death of a Participant to the deceased Participant’s legal representative or beneficiary, or (ii) after the disability of a Participant to the disabled Participant’s personal representative.</w:t>
      </w:r>
    </w:p>
    <w:p>
      <w:pPr>
        <w:pStyle w:val="TextBody"/>
        <w:bidi w:val="0"/>
        <w:spacing w:lineRule="auto" w:line="288" w:before="0" w:after="240"/>
        <w:ind w:left="0" w:right="0" w:firstLine="941"/>
        <w:jc w:val="both"/>
        <w:rPr/>
      </w:pPr>
      <w:r>
        <w:rPr>
          <w:rFonts w:ascii="Times New Roman;serif" w:hAnsi="Times New Roman;serif"/>
          <w:b w:val="false"/>
          <w:color w:val="010000"/>
          <w:sz w:val="24"/>
        </w:rPr>
        <w:t>(d)    </w:t>
      </w:r>
      <w:r>
        <w:rPr>
          <w:rFonts w:ascii="Times New Roman;serif" w:hAnsi="Times New Roman;serif"/>
          <w:b w:val="false"/>
          <w:color w:val="000000"/>
          <w:sz w:val="24"/>
          <w:u w:val="single"/>
        </w:rPr>
        <w:t>Discretion of Company, Board and Committee</w:t>
      </w:r>
      <w:r>
        <w:rPr>
          <w:rFonts w:ascii="Times New Roman;serif" w:hAnsi="Times New Roman;serif"/>
          <w:b w:val="false"/>
          <w:color w:val="000000"/>
          <w:sz w:val="24"/>
        </w:rPr>
        <w:t xml:space="preserve">. Any decision made or action taken by, or inaction of, the Company, the Board, or the Committee arising out of or in connection with the creation, amendment, construction, administration, interpretation and effect of the Plan that is within its authority hereunder or applicable law shall be within the absolute discretion of such entity and shall be conclusive and binding upon all Persons. </w:t>
      </w:r>
    </w:p>
    <w:p>
      <w:pPr>
        <w:pStyle w:val="TextBody"/>
        <w:bidi w:val="0"/>
        <w:spacing w:lineRule="auto" w:line="288" w:before="0" w:after="240"/>
        <w:ind w:left="0" w:right="0" w:firstLine="941"/>
        <w:jc w:val="both"/>
        <w:rPr/>
      </w:pPr>
      <w:r>
        <w:rPr>
          <w:rFonts w:ascii="Times New Roman;serif" w:hAnsi="Times New Roman;serif"/>
          <w:b w:val="false"/>
          <w:color w:val="010000"/>
          <w:sz w:val="24"/>
        </w:rPr>
        <w:t>(e)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Neither the Board nor the Committee, nor any employee of the Company, nor any Person acting at the direction thereof (each such Person an “</w:t>
      </w:r>
      <w:r>
        <w:rPr>
          <w:rFonts w:ascii="Times New Roman;serif" w:hAnsi="Times New Roman;serif"/>
          <w:b w:val="false"/>
          <w:color w:val="000000"/>
          <w:sz w:val="24"/>
          <w:u w:val="single"/>
        </w:rPr>
        <w:t>Affected Person</w:t>
      </w:r>
      <w:r>
        <w:rPr>
          <w:color w:val="000000"/>
        </w:rPr>
        <w:t>”</w:t>
      </w:r>
      <w:r>
        <w:rPr>
          <w:rFonts w:ascii="Times New Roman;serif" w:hAnsi="Times New Roman;serif"/>
          <w:b w:val="false"/>
          <w:color w:val="000000"/>
          <w:sz w:val="24"/>
        </w:rPr>
        <w:t xml:space="preserve">), shall have any liability to any Person (including without limitation, any Participant), for any act, omission, interpretation, construction or determination made in connection with the Plan (or any payment made under the Plan). Each Affected Person shall be indemnified and held harmless by the Company against and from any loss, cost, liability or expense (including attorneys’ fees) that may be imposed upon or incurred by such Affected Person in connection with or resulting from any action, suit or proceeding to which such Affected Person may be a party or in which such Affected Person may be involved by reason of any action taken or omitted to be taken under the Plan and against and from any and all amounts paid by such Affected Person, with the Company’s approval, in settlement thereof, or paid by such Affected Person in satisfaction of any judgment in any such action, suit or proceeding against such Affected Person; </w:t>
      </w:r>
      <w:r>
        <w:rPr>
          <w:rFonts w:ascii="Times New Roman;serif" w:hAnsi="Times New Roman;serif"/>
          <w:b w:val="false"/>
          <w:i/>
          <w:color w:val="000000"/>
          <w:sz w:val="24"/>
          <w:u w:val="single"/>
        </w:rPr>
        <w:t>provided</w:t>
      </w:r>
      <w:r>
        <w:rPr>
          <w:rFonts w:ascii="Times New Roman;serif" w:hAnsi="Times New Roman;serif"/>
          <w:b w:val="false"/>
          <w:color w:val="000000"/>
          <w:sz w:val="24"/>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Affected Person to the extent that a court of competent jurisdiction in a final judgment or other final adjudication, in either case, not subject to further appeal, determines that the acts or omissions of such Affected Person giving rise to the indemnification claim resulted from such Affected Person’s bad faith, fraud or willful wrongful act or omission. The foregoing right of indemnification shall not be exclusive of any other rights of indemnification to which Affected Persons may be entitled under the Company’s organizational documents, as a matter of law, or otherwise, or any other power that the Company may have to indemnify such Person or hold them harmless.</w:t>
      </w:r>
    </w:p>
    <w:p>
      <w:pPr>
        <w:pStyle w:val="TextBody"/>
        <w:bidi w:val="0"/>
        <w:spacing w:lineRule="auto" w:line="288" w:before="0" w:after="240"/>
        <w:ind w:left="0" w:right="0" w:firstLine="941"/>
        <w:jc w:val="both"/>
        <w:rPr/>
      </w:pPr>
      <w:r>
        <w:rPr>
          <w:rFonts w:ascii="Times New Roman;serif" w:hAnsi="Times New Roman;serif"/>
          <w:b w:val="false"/>
          <w:color w:val="010000"/>
          <w:sz w:val="24"/>
        </w:rPr>
        <w:t>(f)    </w:t>
      </w:r>
      <w:r>
        <w:rPr>
          <w:rFonts w:ascii="Times New Roman;serif" w:hAnsi="Times New Roman;serif"/>
          <w:b w:val="false"/>
          <w:color w:val="000000"/>
          <w:sz w:val="24"/>
          <w:u w:val="single"/>
        </w:rPr>
        <w:t>Section 409A</w:t>
      </w:r>
      <w:r>
        <w:rPr>
          <w:rFonts w:ascii="Times New Roman;serif" w:hAnsi="Times New Roman;serif"/>
          <w:b w:val="false"/>
          <w:color w:val="000000"/>
          <w:sz w:val="24"/>
        </w:rPr>
        <w:t xml:space="preserve">. Notwithstanding any provision of the Plan to the contrary, if any benefit provided under the Plan is subject to the provisions of Section 409A of the Code, the provisions of the Plan will be administered, interpreted and construed in a manner necessary to comply with Section 409A of the Code or an exception thereto. Notwithstanding any provision of the Plan to the contrary, in no event shall the Company (or its employees, officers or directors) have any liability to any Participant (or any other Person) due to the failure of the Plan to satisfy the requirements of Section 409A of the Code or any other applicable law. For purposes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06705"/>
                <wp:effectExtent l="0" t="0" r="0" b="0"/>
                <wp:wrapNone/>
                <wp:docPr id="93" name="Frame9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application of Section 409A of the Code, each payment in a series of payments under this Plan will be deemed a separate payment.</w:t>
      </w:r>
    </w:p>
    <w:p>
      <w:pPr>
        <w:pStyle w:val="TextBody"/>
        <w:bidi w:val="0"/>
        <w:spacing w:lineRule="auto" w:line="288" w:before="0" w:after="240"/>
        <w:ind w:left="0" w:right="0" w:firstLine="941"/>
        <w:jc w:val="both"/>
        <w:rPr/>
      </w:pPr>
      <w:r>
        <w:rPr>
          <w:rFonts w:ascii="Times New Roman;serif" w:hAnsi="Times New Roman;serif"/>
          <w:b w:val="false"/>
          <w:color w:val="010000"/>
          <w:sz w:val="24"/>
        </w:rPr>
        <w:t>(g)    </w:t>
      </w:r>
      <w:r>
        <w:rPr>
          <w:rFonts w:ascii="Times New Roman;serif" w:hAnsi="Times New Roman;serif"/>
          <w:b w:val="false"/>
          <w:color w:val="000000"/>
          <w:sz w:val="24"/>
          <w:u w:val="single"/>
        </w:rPr>
        <w:t>No Duplication; Treatment of Other Severance Arrangements</w:t>
      </w:r>
      <w:r>
        <w:rPr>
          <w:rFonts w:ascii="Times New Roman;serif" w:hAnsi="Times New Roman;serif"/>
          <w:b w:val="false"/>
          <w:color w:val="000000"/>
          <w:sz w:val="24"/>
        </w:rPr>
        <w:t xml:space="preserve">. In no event shall any Participant receive the severance benefits provided for herein in addition to severance benefits provided for under any Other Severance Arrangement;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that if such Participant is covered by any Other Severance Arrangement, such Participant shall only be entitled to receive the greater of (x) the payments and benefits set forth in this Plan and (y) the payments and benefits set forth in, and subject to the terms, conditions and restrictions of, the Other Severance Arrangement. </w:t>
      </w:r>
    </w:p>
    <w:p>
      <w:pPr>
        <w:pStyle w:val="TextBody"/>
        <w:bidi w:val="0"/>
        <w:spacing w:lineRule="auto" w:line="288" w:before="0" w:after="240"/>
        <w:ind w:left="0" w:right="0" w:firstLine="941"/>
        <w:jc w:val="both"/>
        <w:rPr/>
      </w:pPr>
      <w:r>
        <w:rPr>
          <w:rFonts w:ascii="Times New Roman;serif" w:hAnsi="Times New Roman;serif"/>
          <w:b w:val="false"/>
          <w:color w:val="010000"/>
          <w:sz w:val="24"/>
        </w:rPr>
        <w:t>(h)    </w:t>
      </w:r>
      <w:r>
        <w:rPr>
          <w:rFonts w:ascii="Times New Roman;serif" w:hAnsi="Times New Roman;serif"/>
          <w:b w:val="false"/>
          <w:color w:val="000000"/>
          <w:sz w:val="24"/>
          <w:u w:val="single"/>
        </w:rPr>
        <w:t>Governing Law</w:t>
      </w:r>
      <w:r>
        <w:rPr>
          <w:rFonts w:ascii="Times New Roman;serif" w:hAnsi="Times New Roman;serif"/>
          <w:b w:val="false"/>
          <w:color w:val="000000"/>
          <w:sz w:val="24"/>
        </w:rPr>
        <w:t>. All questions pertaining to the construction, regulation, validity and effect of the provisions of the Plan shall be determined in accordance with the laws of the State of Nevada.</w:t>
      </w:r>
    </w:p>
    <w:p>
      <w:pPr>
        <w:pStyle w:val="TextBody"/>
        <w:bidi w:val="0"/>
        <w:spacing w:lineRule="auto" w:line="288" w:before="0" w:after="240"/>
        <w:ind w:left="0" w:right="0" w:firstLine="941"/>
        <w:jc w:val="both"/>
        <w:rPr/>
      </w:pPr>
      <w:r>
        <w:rPr>
          <w:rFonts w:ascii="Times New Roman;serif" w:hAnsi="Times New Roman;serif"/>
          <w:b w:val="false"/>
          <w:color w:val="010000"/>
          <w:sz w:val="24"/>
        </w:rPr>
        <w:t>(i)    </w:t>
      </w:r>
      <w:r>
        <w:rPr>
          <w:rFonts w:ascii="Times New Roman;serif" w:hAnsi="Times New Roman;serif"/>
          <w:b w:val="false"/>
          <w:color w:val="000000"/>
          <w:sz w:val="24"/>
          <w:u w:val="single"/>
        </w:rPr>
        <w:t>Notice</w:t>
      </w:r>
      <w:r>
        <w:rPr>
          <w:rFonts w:ascii="Times New Roman;serif" w:hAnsi="Times New Roman;serif"/>
          <w:b w:val="false"/>
          <w:color w:val="000000"/>
          <w:sz w:val="24"/>
        </w:rPr>
        <w:t>. Any notice or other communication required or which may be given pursuant to the Plan shall be in writing and shall be deemed to have been duly given when delivered by hand or overnight courier or two days after it has been mailed by United States express or registered mail, return receipt requested, postage prepaid, addressed to the Company at the address set forth below, or to the Participant at his or her most recent address on file with the Company.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OptimizeRx Corporation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260 Charles Street, Suite 302</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Waltham, MA 02453</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 Chief Legal Officer</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ind w:left="0" w:right="0" w:firstLine="941"/>
        <w:jc w:val="both"/>
        <w:rPr/>
      </w:pPr>
      <w:r>
        <w:rPr>
          <w:rFonts w:ascii="Times New Roman;serif" w:hAnsi="Times New Roman;serif"/>
          <w:b w:val="false"/>
          <w:color w:val="010000"/>
          <w:sz w:val="24"/>
        </w:rPr>
        <w:t>(j)    </w:t>
      </w:r>
      <w:r>
        <w:rPr>
          <w:rFonts w:ascii="Times New Roman;serif" w:hAnsi="Times New Roman;serif"/>
          <w:b w:val="false"/>
          <w:color w:val="000000"/>
          <w:sz w:val="24"/>
          <w:u w:val="single"/>
        </w:rPr>
        <w:t>Captions</w:t>
      </w:r>
      <w:r>
        <w:rPr>
          <w:rFonts w:ascii="Times New Roman;serif" w:hAnsi="Times New Roman;serif"/>
          <w:b w:val="false"/>
          <w:color w:val="000000"/>
          <w:sz w:val="24"/>
        </w:rPr>
        <w:t>. Captions and headings are given to the sections and subsections of the Plan solely as a convenience to facilitate reference. Such captions and headings shall not be deemed in any way material or relevant to the construction or interpretation of the Plan or any provision thereof.</w:t>
      </w:r>
    </w:p>
    <w:p>
      <w:pPr>
        <w:pStyle w:val="TextBody"/>
        <w:bidi w:val="0"/>
        <w:spacing w:lineRule="auto" w:line="288" w:before="0" w:after="240"/>
        <w:ind w:left="0" w:right="0" w:firstLine="941"/>
        <w:jc w:val="both"/>
        <w:rPr/>
      </w:pPr>
      <w:r>
        <w:rPr>
          <w:rFonts w:ascii="Times New Roman;serif" w:hAnsi="Times New Roman;serif"/>
          <w:b w:val="false"/>
          <w:color w:val="010000"/>
          <w:sz w:val="24"/>
        </w:rPr>
        <w:t>(k)    </w:t>
      </w:r>
      <w:r>
        <w:rPr>
          <w:rFonts w:ascii="Times New Roman;serif" w:hAnsi="Times New Roman;serif"/>
          <w:b w:val="false"/>
          <w:color w:val="000000"/>
          <w:sz w:val="24"/>
          <w:u w:val="single"/>
        </w:rPr>
        <w:t>Successors</w:t>
      </w:r>
      <w:r>
        <w:rPr>
          <w:rFonts w:ascii="Times New Roman;serif" w:hAnsi="Times New Roman;serif"/>
          <w:b w:val="false"/>
          <w:color w:val="000000"/>
          <w:sz w:val="24"/>
        </w:rPr>
        <w:t xml:space="preserve">. The Plan shall inure to the benefit of and be binding upon the Company and its successors.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06705"/>
                <wp:effectExtent l="0" t="0" r="0" b="0"/>
                <wp:wrapNone/>
                <wp:docPr id="94" name="Frame9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Definitions</w:t>
      </w:r>
    </w:p>
    <w:p>
      <w:pPr>
        <w:pStyle w:val="TextBody"/>
        <w:bidi w:val="0"/>
        <w:spacing w:lineRule="auto" w:line="288" w:before="0" w:after="240"/>
        <w:ind w:left="0" w:right="0" w:firstLine="941"/>
        <w:jc w:val="both"/>
        <w:rPr/>
      </w:pPr>
      <w:r>
        <w:rPr>
          <w:rFonts w:ascii="Times New Roman;serif" w:hAnsi="Times New Roman;serif"/>
          <w:b w:val="false"/>
          <w:color w:val="010000"/>
          <w:sz w:val="24"/>
        </w:rPr>
        <w:t>1.    </w:t>
      </w:r>
      <w:r>
        <w:rPr>
          <w:rFonts w:ascii="Times New Roman;serif" w:hAnsi="Times New Roman;serif"/>
          <w:b/>
          <w:color w:val="000000"/>
          <w:sz w:val="24"/>
        </w:rPr>
        <w:t>Definitions</w:t>
      </w:r>
      <w:r>
        <w:rPr>
          <w:rFonts w:ascii="Times New Roman;serif" w:hAnsi="Times New Roman;serif"/>
          <w:b w:val="false"/>
          <w:color w:val="000000"/>
          <w:sz w:val="24"/>
        </w:rPr>
        <w:t>.</w:t>
      </w:r>
    </w:p>
    <w:p>
      <w:pPr>
        <w:pStyle w:val="TextBody"/>
        <w:bidi w:val="0"/>
        <w:spacing w:lineRule="auto" w:line="288" w:before="0" w:after="240"/>
        <w:ind w:left="0" w:right="0" w:firstLine="941"/>
        <w:jc w:val="both"/>
        <w:rPr/>
      </w:pPr>
      <w:r>
        <w:rPr>
          <w:rFonts w:ascii="Times New Roman;serif" w:hAnsi="Times New Roman;serif"/>
          <w:b w:val="false"/>
          <w:color w:val="010000"/>
          <w:sz w:val="24"/>
        </w:rPr>
        <w:t>(a)    </w:t>
      </w:r>
      <w:r>
        <w:rPr>
          <w:color w:val="000000"/>
        </w:rPr>
        <w:t>“</w:t>
      </w:r>
      <w:r>
        <w:rPr>
          <w:rFonts w:ascii="Times New Roman;serif" w:hAnsi="Times New Roman;serif"/>
          <w:b w:val="false"/>
          <w:color w:val="000000"/>
          <w:sz w:val="24"/>
          <w:u w:val="single"/>
        </w:rPr>
        <w:t>Accrued Obligations</w:t>
      </w:r>
      <w:r>
        <w:rPr>
          <w:color w:val="000000"/>
        </w:rPr>
        <w:t xml:space="preserve">” </w:t>
      </w:r>
      <w:r>
        <w:rPr>
          <w:rFonts w:ascii="Times New Roman;serif" w:hAnsi="Times New Roman;serif"/>
          <w:b w:val="false"/>
          <w:color w:val="000000"/>
          <w:sz w:val="24"/>
        </w:rPr>
        <w:t>means (i) all accrued but unpaid Base Salary through the date of a Covered Termination, (ii) any unpaid or unreimbursed expenses incurred in accordance with the policies of the Employer, and (iii) any benefits provided under the employee benefit plans and programs of the Company Group in which the Participant participates immediately prior to, and is due upon or continues after, a termination of employment, including rights with respect to Company equity.</w:t>
      </w:r>
    </w:p>
    <w:p>
      <w:pPr>
        <w:pStyle w:val="TextBody"/>
        <w:bidi w:val="0"/>
        <w:spacing w:lineRule="auto" w:line="288" w:before="0" w:after="240"/>
        <w:ind w:left="0" w:right="0" w:firstLine="941"/>
        <w:jc w:val="both"/>
        <w:rPr/>
      </w:pPr>
      <w:r>
        <w:rPr>
          <w:rFonts w:ascii="Times New Roman;serif" w:hAnsi="Times New Roman;serif"/>
          <w:b w:val="false"/>
          <w:color w:val="010000"/>
          <w:sz w:val="24"/>
        </w:rPr>
        <w:t>(b)    </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entity which, at the time of reference, directly, or indirectly through one or more intermediaries, controls, is controlled by, or is under common control with, the Company.</w:t>
      </w:r>
    </w:p>
    <w:p>
      <w:pPr>
        <w:pStyle w:val="TextBody"/>
        <w:bidi w:val="0"/>
        <w:spacing w:lineRule="auto" w:line="288" w:before="0" w:after="240"/>
        <w:ind w:left="0" w:right="0" w:firstLine="941"/>
        <w:jc w:val="both"/>
        <w:rPr/>
      </w:pPr>
      <w:r>
        <w:rPr>
          <w:rFonts w:ascii="Times New Roman;serif" w:hAnsi="Times New Roman;serif"/>
          <w:b w:val="false"/>
          <w:color w:val="010000"/>
          <w:sz w:val="24"/>
        </w:rPr>
        <w:t>(c)    </w:t>
      </w:r>
      <w:r>
        <w:rPr>
          <w:color w:val="000000"/>
        </w:rPr>
        <w:t>“</w:t>
      </w:r>
      <w:r>
        <w:rPr>
          <w:rFonts w:ascii="Times New Roman;serif" w:hAnsi="Times New Roman;serif"/>
          <w:b w:val="false"/>
          <w:color w:val="000000"/>
          <w:sz w:val="24"/>
          <w:u w:val="single"/>
        </w:rPr>
        <w:t>Annual Bonus Program</w:t>
      </w:r>
      <w:r>
        <w:rPr>
          <w:color w:val="000000"/>
        </w:rPr>
        <w:t xml:space="preserve">” </w:t>
      </w:r>
      <w:r>
        <w:rPr>
          <w:rFonts w:ascii="Times New Roman;serif" w:hAnsi="Times New Roman;serif"/>
          <w:b w:val="false"/>
          <w:color w:val="000000"/>
          <w:sz w:val="24"/>
        </w:rPr>
        <w:t>means the annual cash incentive bonus program in which the Participant participates as of the date of such Participant’s Covered Termination, if any.</w:t>
      </w:r>
    </w:p>
    <w:p>
      <w:pPr>
        <w:pStyle w:val="TextBody"/>
        <w:bidi w:val="0"/>
        <w:spacing w:lineRule="auto" w:line="288" w:before="0" w:after="240"/>
        <w:ind w:left="0" w:right="0" w:firstLine="941"/>
        <w:jc w:val="both"/>
        <w:rPr/>
      </w:pPr>
      <w:r>
        <w:rPr>
          <w:rFonts w:ascii="Times New Roman;serif" w:hAnsi="Times New Roman;serif"/>
          <w:b w:val="false"/>
          <w:color w:val="010000"/>
          <w:sz w:val="24"/>
        </w:rPr>
        <w:t>(d)    </w:t>
      </w:r>
      <w:r>
        <w:rPr>
          <w:color w:val="000000"/>
        </w:rPr>
        <w:t>“</w:t>
      </w:r>
      <w:r>
        <w:rPr>
          <w:rFonts w:ascii="Times New Roman;serif" w:hAnsi="Times New Roman;serif"/>
          <w:b w:val="false"/>
          <w:color w:val="000000"/>
          <w:sz w:val="24"/>
          <w:u w:val="single"/>
        </w:rPr>
        <w:t>Anticipatory Termination</w:t>
      </w:r>
      <w:r>
        <w:rPr>
          <w:color w:val="000000"/>
        </w:rPr>
        <w:t xml:space="preserve">” </w:t>
      </w:r>
      <w:r>
        <w:rPr>
          <w:rFonts w:ascii="Times New Roman;serif" w:hAnsi="Times New Roman;serif"/>
          <w:b w:val="false"/>
          <w:color w:val="000000"/>
          <w:sz w:val="24"/>
        </w:rPr>
        <w:t xml:space="preserve">means a Covered Termination occurring within the three months prior to the occurrence of a Change in Control; </w:t>
      </w:r>
      <w:r>
        <w:rPr>
          <w:rFonts w:ascii="Times New Roman;serif" w:hAnsi="Times New Roman;serif"/>
          <w:b w:val="false"/>
          <w:i/>
          <w:color w:val="000000"/>
          <w:sz w:val="24"/>
          <w:u w:val="single"/>
        </w:rPr>
        <w:t>provided</w:t>
      </w:r>
      <w:r>
        <w:rPr>
          <w:rFonts w:ascii="Times New Roman;serif" w:hAnsi="Times New Roman;serif"/>
          <w:b w:val="false"/>
          <w:color w:val="000000"/>
          <w:sz w:val="24"/>
        </w:rPr>
        <w:t>, that it is reasonably demonstrated that such termination (A) was at the request of a third party who has taken steps reasonably calculated or intended to effect the Change in Control (and such transaction is actually consummated) or (B) otherwise arose in connection with or in anticipation of the Change in Control (and such transaction is actually consummated).</w:t>
      </w:r>
    </w:p>
    <w:p>
      <w:pPr>
        <w:pStyle w:val="TextBody"/>
        <w:bidi w:val="0"/>
        <w:spacing w:lineRule="auto" w:line="288" w:before="0" w:after="240"/>
        <w:ind w:left="0" w:right="0" w:firstLine="941"/>
        <w:jc w:val="both"/>
        <w:rPr/>
      </w:pPr>
      <w:r>
        <w:rPr>
          <w:rFonts w:ascii="Times New Roman;serif" w:hAnsi="Times New Roman;serif"/>
          <w:b w:val="false"/>
          <w:color w:val="010000"/>
          <w:sz w:val="24"/>
        </w:rPr>
        <w:t>(e)</w:t>
      </w:r>
      <w:r>
        <w:rPr>
          <w:color w:val="000000"/>
        </w:rPr>
        <w:t>    “</w:t>
      </w:r>
      <w:r>
        <w:rPr>
          <w:rFonts w:ascii="Times New Roman;serif" w:hAnsi="Times New Roman;serif"/>
          <w:b w:val="false"/>
          <w:color w:val="000000"/>
          <w:sz w:val="24"/>
          <w:u w:val="single"/>
        </w:rPr>
        <w:t>Asset Sale</w:t>
      </w:r>
      <w:r>
        <w:rPr>
          <w:color w:val="000000"/>
        </w:rPr>
        <w:t xml:space="preserve">” </w:t>
      </w:r>
      <w:r>
        <w:rPr>
          <w:rFonts w:ascii="Times New Roman;serif" w:hAnsi="Times New Roman;serif"/>
          <w:b w:val="false"/>
          <w:color w:val="000000"/>
          <w:sz w:val="24"/>
        </w:rPr>
        <w:t xml:space="preserve">means a Change in Control resulting from the consummation of a sale or other disposition of all or substantially all of the assets of the Company. </w:t>
      </w:r>
    </w:p>
    <w:p>
      <w:pPr>
        <w:pStyle w:val="TextBody"/>
        <w:bidi w:val="0"/>
        <w:spacing w:lineRule="auto" w:line="288" w:before="0" w:after="240"/>
        <w:ind w:left="0" w:right="0" w:firstLine="941"/>
        <w:jc w:val="both"/>
        <w:rPr/>
      </w:pPr>
      <w:r>
        <w:rPr>
          <w:rFonts w:ascii="Times New Roman;serif" w:hAnsi="Times New Roman;serif"/>
          <w:b w:val="false"/>
          <w:color w:val="010000"/>
          <w:sz w:val="24"/>
        </w:rPr>
        <w:t>(f)    </w:t>
      </w:r>
      <w:r>
        <w:rPr>
          <w:color w:val="000000"/>
        </w:rPr>
        <w:t>“</w:t>
      </w:r>
      <w:r>
        <w:rPr>
          <w:rFonts w:ascii="Times New Roman;serif" w:hAnsi="Times New Roman;serif"/>
          <w:b w:val="false"/>
          <w:color w:val="000000"/>
          <w:sz w:val="24"/>
          <w:u w:val="single"/>
        </w:rPr>
        <w:t>Award</w:t>
      </w:r>
      <w:r>
        <w:rPr>
          <w:color w:val="000000"/>
        </w:rPr>
        <w:t xml:space="preserve">” </w:t>
      </w:r>
      <w:r>
        <w:rPr>
          <w:rFonts w:ascii="Times New Roman;serif" w:hAnsi="Times New Roman;serif"/>
          <w:b w:val="false"/>
          <w:color w:val="000000"/>
          <w:sz w:val="24"/>
        </w:rPr>
        <w:t>has the meaning set forth in the Stock Plan.</w:t>
      </w:r>
    </w:p>
    <w:p>
      <w:pPr>
        <w:pStyle w:val="TextBody"/>
        <w:bidi w:val="0"/>
        <w:spacing w:lineRule="auto" w:line="288" w:before="0" w:after="240"/>
        <w:ind w:left="0" w:right="0" w:firstLine="941"/>
        <w:jc w:val="both"/>
        <w:rPr/>
      </w:pPr>
      <w:r>
        <w:rPr>
          <w:rFonts w:ascii="Times New Roman;serif" w:hAnsi="Times New Roman;serif"/>
          <w:b w:val="false"/>
          <w:color w:val="010000"/>
          <w:sz w:val="24"/>
        </w:rPr>
        <w:t>(g)    </w:t>
      </w:r>
      <w:r>
        <w:rPr>
          <w:color w:val="000000"/>
        </w:rPr>
        <w:t>“</w:t>
      </w:r>
      <w:r>
        <w:rPr>
          <w:rFonts w:ascii="Times New Roman;serif" w:hAnsi="Times New Roman;serif"/>
          <w:b w:val="false"/>
          <w:color w:val="000000"/>
          <w:sz w:val="24"/>
          <w:u w:val="single"/>
        </w:rPr>
        <w:t>Base Salary</w:t>
      </w:r>
      <w:r>
        <w:rPr>
          <w:color w:val="000000"/>
        </w:rPr>
        <w:t xml:space="preserve">” </w:t>
      </w:r>
      <w:r>
        <w:rPr>
          <w:rFonts w:ascii="Times New Roman;serif" w:hAnsi="Times New Roman;serif"/>
          <w:b w:val="false"/>
          <w:color w:val="000000"/>
          <w:sz w:val="24"/>
        </w:rPr>
        <w:t>means the Participant’s then current annual base salary rate immediately prior to his or her Covered Termination (or, if higher, the annual base salary immediately prior to an event that constitutes Good Reason hereunder).</w:t>
      </w:r>
    </w:p>
    <w:p>
      <w:pPr>
        <w:pStyle w:val="TextBody"/>
        <w:bidi w:val="0"/>
        <w:spacing w:lineRule="auto" w:line="288" w:before="0" w:after="240"/>
        <w:ind w:left="0" w:right="0" w:firstLine="941"/>
        <w:jc w:val="both"/>
        <w:rPr/>
      </w:pPr>
      <w:r>
        <w:rPr>
          <w:rFonts w:ascii="Times New Roman;serif" w:hAnsi="Times New Roman;serif"/>
          <w:b w:val="false"/>
          <w:color w:val="010000"/>
          <w:sz w:val="24"/>
        </w:rPr>
        <w:t>(h)    </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941"/>
        <w:jc w:val="both"/>
        <w:rPr/>
      </w:pPr>
      <w:r>
        <w:rPr>
          <w:rFonts w:ascii="Times New Roman;serif" w:hAnsi="Times New Roman;serif"/>
          <w:b w:val="false"/>
          <w:color w:val="010000"/>
          <w:sz w:val="24"/>
        </w:rPr>
        <w:t>(i)    </w:t>
      </w:r>
      <w:r>
        <w:rPr>
          <w:color w:val="000000"/>
        </w:rPr>
        <w:t>“</w:t>
      </w:r>
      <w:r>
        <w:rPr>
          <w:rFonts w:ascii="Times New Roman;serif" w:hAnsi="Times New Roman;serif"/>
          <w:b w:val="false"/>
          <w:color w:val="000000"/>
          <w:sz w:val="24"/>
          <w:u w:val="single"/>
        </w:rPr>
        <w:t>Business Protection Agreement</w:t>
      </w:r>
      <w:r>
        <w:rPr>
          <w:color w:val="000000"/>
        </w:rPr>
        <w:t xml:space="preserve">” </w:t>
      </w:r>
      <w:r>
        <w:rPr>
          <w:rFonts w:ascii="Times New Roman;serif" w:hAnsi="Times New Roman;serif"/>
          <w:b w:val="false"/>
          <w:color w:val="000000"/>
          <w:sz w:val="24"/>
        </w:rPr>
        <w:t xml:space="preserve">or “BPA” shall mean the Business Protection Agreement executed by Participant, as may be updated or amended from time to time to reflect changes in law and/or differences in applicable state law. BPA shall mean the agreement substantially in the form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as may be updated or amended from time to time to reflect changes in law and/or differences in applicable state law. </w:t>
      </w:r>
    </w:p>
    <w:p>
      <w:pPr>
        <w:pStyle w:val="TextBody"/>
        <w:bidi w:val="0"/>
        <w:spacing w:lineRule="auto" w:line="288" w:before="0" w:after="240"/>
        <w:ind w:left="0" w:right="0" w:firstLine="941"/>
        <w:jc w:val="both"/>
        <w:rPr/>
      </w:pPr>
      <w:r>
        <w:rPr>
          <w:rFonts w:ascii="Times New Roman;serif" w:hAnsi="Times New Roman;serif"/>
          <w:b w:val="false"/>
          <w:color w:val="010000"/>
          <w:sz w:val="24"/>
        </w:rPr>
        <w:t>(j)    </w:t>
      </w:r>
      <w:r>
        <w:rPr>
          <w:color w:val="000000"/>
        </w:rPr>
        <w:t>“</w:t>
      </w:r>
      <w:r>
        <w:rPr>
          <w:rFonts w:ascii="Times New Roman;serif" w:hAnsi="Times New Roman;serif"/>
          <w:b w:val="false"/>
          <w:color w:val="000000"/>
          <w:sz w:val="24"/>
          <w:u w:val="single"/>
        </w:rPr>
        <w:t>Cash Severance Amount</w:t>
      </w:r>
      <w:r>
        <w:rPr>
          <w:color w:val="000000"/>
        </w:rPr>
        <w:t xml:space="preserve">” </w:t>
      </w:r>
      <w:r>
        <w:rPr>
          <w:rFonts w:ascii="Times New Roman;serif" w:hAnsi="Times New Roman;serif"/>
          <w:b w:val="false"/>
          <w:color w:val="000000"/>
          <w:sz w:val="24"/>
        </w:rPr>
        <w:t xml:space="preserve">means, with respect to any Participant, the “Cash Severance Amount,” as set forth on </w:t>
      </w:r>
      <w:r>
        <w:rPr>
          <w:rFonts w:ascii="Times New Roman;serif" w:hAnsi="Times New Roman;serif"/>
          <w:b w:val="false"/>
          <w:color w:val="000000"/>
          <w:sz w:val="24"/>
          <w:u w:val="single"/>
        </w:rPr>
        <w:t>Appendix B</w:t>
      </w:r>
      <w:r>
        <w:rPr>
          <w:rFonts w:ascii="Times New Roman;serif" w:hAnsi="Times New Roman;serif"/>
          <w:b w:val="false"/>
          <w:color w:val="000000"/>
          <w:sz w:val="24"/>
        </w:rPr>
        <w:t>, as attached hereto,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06705"/>
                <wp:effectExtent l="0" t="0" r="0" b="0"/>
                <wp:wrapNone/>
                <wp:docPr id="95" name="Frame9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240"/>
        <w:ind w:left="0" w:right="0" w:firstLine="941"/>
        <w:jc w:val="both"/>
        <w:rPr/>
      </w:pPr>
      <w:r>
        <w:rPr>
          <w:rFonts w:ascii="Times New Roman;serif" w:hAnsi="Times New Roman;serif"/>
          <w:b w:val="false"/>
          <w:color w:val="010000"/>
          <w:sz w:val="24"/>
        </w:rPr>
        <w:t>(k)    </w:t>
      </w: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the occurrence of any of the following as determined by the Committee:</w:t>
      </w:r>
    </w:p>
    <w:p>
      <w:pPr>
        <w:pStyle w:val="TextBody"/>
        <w:bidi w:val="0"/>
        <w:spacing w:lineRule="auto" w:line="288" w:before="0" w:after="240"/>
        <w:ind w:left="0" w:right="0" w:firstLine="1440"/>
        <w:jc w:val="both"/>
        <w:rPr/>
      </w:pPr>
      <w:r>
        <w:rPr>
          <w:rFonts w:ascii="Times New Roman;serif" w:hAnsi="Times New Roman;serif"/>
          <w:b w:val="false"/>
          <w:color w:val="010000"/>
          <w:sz w:val="24"/>
        </w:rPr>
        <w:t>(i)</w:t>
      </w:r>
      <w:r>
        <w:rPr>
          <w:color w:val="000000"/>
        </w:rPr>
        <w:t>    </w:t>
      </w:r>
      <w:r>
        <w:rPr>
          <w:rFonts w:ascii="Times New Roman;serif" w:hAnsi="Times New Roman;serif"/>
          <w:b w:val="false"/>
          <w:color w:val="000000"/>
          <w:sz w:val="24"/>
        </w:rPr>
        <w:t>the Participant’s conviction of, or plea of guilty or</w:t>
      </w:r>
      <w:r>
        <w:rPr>
          <w:color w:val="000000"/>
        </w:rPr>
        <w:t xml:space="preserve"> </w:t>
      </w:r>
      <w:r>
        <w:rPr>
          <w:rFonts w:ascii="Times New Roman;serif" w:hAnsi="Times New Roman;serif"/>
          <w:b w:val="false"/>
          <w:i/>
          <w:color w:val="000000"/>
          <w:sz w:val="24"/>
        </w:rPr>
        <w:t xml:space="preserve">nolo contendere </w:t>
      </w:r>
      <w:r>
        <w:rPr>
          <w:rFonts w:ascii="Times New Roman;serif" w:hAnsi="Times New Roman;serif"/>
          <w:b w:val="false"/>
          <w:color w:val="000000"/>
          <w:sz w:val="24"/>
        </w:rPr>
        <w:t xml:space="preserve">to, (1) a felony under federal law or the law of the state in which such action occurred or (2) any other crime involving moral turpitude; </w:t>
      </w:r>
    </w:p>
    <w:p>
      <w:pPr>
        <w:pStyle w:val="TextBody"/>
        <w:bidi w:val="0"/>
        <w:spacing w:lineRule="auto" w:line="288" w:before="0" w:after="240"/>
        <w:ind w:left="0" w:right="0" w:firstLine="1440"/>
        <w:jc w:val="both"/>
        <w:rPr/>
      </w:pPr>
      <w:r>
        <w:rPr>
          <w:rFonts w:ascii="Times New Roman;serif" w:hAnsi="Times New Roman;serif"/>
          <w:b w:val="false"/>
          <w:color w:val="010000"/>
          <w:sz w:val="24"/>
        </w:rPr>
        <w:t>(ii)    </w:t>
      </w:r>
      <w:r>
        <w:rPr>
          <w:rFonts w:ascii="Times New Roman;serif" w:hAnsi="Times New Roman;serif"/>
          <w:b w:val="false"/>
          <w:color w:val="000000"/>
          <w:sz w:val="24"/>
        </w:rPr>
        <w:t xml:space="preserve">the Participant’s willful and continued failure to perform the Participant’s employment duties (other than any such failure resulting from the Participant’s incapacity due to a Disability);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that the Company shall have provided the Participant with written notice that such actions are occurring and, where practical, the Participant has been afforded at least 15 days to cure same;</w:t>
      </w:r>
    </w:p>
    <w:p>
      <w:pPr>
        <w:pStyle w:val="TextBody"/>
        <w:bidi w:val="0"/>
        <w:spacing w:lineRule="auto" w:line="288" w:before="0" w:after="240"/>
        <w:ind w:left="0" w:right="0" w:firstLine="1440"/>
        <w:jc w:val="both"/>
        <w:rPr/>
      </w:pPr>
      <w:r>
        <w:rPr>
          <w:rFonts w:ascii="Times New Roman;serif" w:hAnsi="Times New Roman;serif"/>
          <w:b w:val="false"/>
          <w:color w:val="010000"/>
          <w:sz w:val="24"/>
        </w:rPr>
        <w:t>(iii)</w:t>
      </w:r>
      <w:r>
        <w:rPr>
          <w:color w:val="000000"/>
        </w:rPr>
        <w:t>    </w:t>
      </w:r>
      <w:r>
        <w:rPr>
          <w:rFonts w:ascii="Times New Roman;serif" w:hAnsi="Times New Roman;serif"/>
          <w:b w:val="false"/>
          <w:color w:val="000000"/>
          <w:sz w:val="24"/>
        </w:rPr>
        <w:t>the Participant’s willfully engaging in misconduct in the performance of the Participant’s duties for the Employer (including, but not limited to, theft, fraud, embezzlement and securities law violations, a violation of the Company’s “Code of Ethics and Business Conduct” or other written policies, or a material breach of the Business Protection Agreement or any other restrictive covenants to which the Participant is subject) that is materially injurious to the Company, or, in the good faith determination of the Committee, is potentially materially injurious to the Company, monetarily or otherwise.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purposes of this Section 1(j), no act, or failure to act, on the part of the Participant shall be considered “willful,” unless done, or omitted to be done, by the Participant in bad faith and without a reasonable belief that the Participant’s action or omission was in, or not opposed to, the best interests of the Company (including reputationally). Prior to any termination for Cause, the Participant will be given five business days written notice specifying the alleged Cause event. After providing the notice in foregoing sentence, the Board or the Chief Executive Officer of the Company may suspend the Participant with full pay and benefits until a final determination has been made.</w:t>
      </w:r>
    </w:p>
    <w:p>
      <w:pPr>
        <w:pStyle w:val="TextBody"/>
        <w:bidi w:val="0"/>
        <w:spacing w:before="0" w:after="0"/>
        <w:jc w:val="left"/>
        <w:rPr/>
      </w:pPr>
      <w:r>
        <w:rPr/>
      </w:r>
    </w:p>
    <w:p>
      <w:pPr>
        <w:pStyle w:val="TextBody"/>
        <w:bidi w:val="0"/>
        <w:spacing w:lineRule="auto" w:line="288" w:before="0" w:after="240"/>
        <w:ind w:left="0" w:right="0" w:firstLine="941"/>
        <w:jc w:val="both"/>
        <w:rPr/>
      </w:pPr>
      <w:r>
        <w:rPr>
          <w:rFonts w:ascii="Times New Roman;serif" w:hAnsi="Times New Roman;serif"/>
          <w:b w:val="false"/>
          <w:color w:val="010000"/>
          <w:sz w:val="24"/>
        </w:rPr>
        <w:t>(l)    </w:t>
      </w: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has the meaning set forth in the Stock Plan.</w:t>
      </w:r>
    </w:p>
    <w:p>
      <w:pPr>
        <w:pStyle w:val="TextBody"/>
        <w:bidi w:val="0"/>
        <w:spacing w:lineRule="auto" w:line="288" w:before="0" w:after="240"/>
        <w:ind w:left="0" w:right="0" w:firstLine="941"/>
        <w:jc w:val="both"/>
        <w:rPr/>
      </w:pPr>
      <w:r>
        <w:rPr>
          <w:rFonts w:ascii="Times New Roman;serif" w:hAnsi="Times New Roman;serif"/>
          <w:b w:val="false"/>
          <w:color w:val="010000"/>
          <w:sz w:val="24"/>
        </w:rPr>
        <w:t>(m)    </w:t>
      </w:r>
      <w:r>
        <w:rPr>
          <w:color w:val="000000"/>
        </w:rPr>
        <w:t>“</w:t>
      </w:r>
      <w:r>
        <w:rPr>
          <w:rFonts w:ascii="Times New Roman;serif" w:hAnsi="Times New Roman;serif"/>
          <w:b w:val="false"/>
          <w:color w:val="000000"/>
          <w:sz w:val="24"/>
          <w:u w:val="single"/>
        </w:rPr>
        <w:t>Change in Control Covered Termination</w:t>
      </w:r>
      <w:r>
        <w:rPr>
          <w:color w:val="000000"/>
        </w:rPr>
        <w:t xml:space="preserve">” </w:t>
      </w:r>
      <w:r>
        <w:rPr>
          <w:rFonts w:ascii="Times New Roman;serif" w:hAnsi="Times New Roman;serif"/>
          <w:b w:val="false"/>
          <w:color w:val="000000"/>
          <w:sz w:val="24"/>
        </w:rPr>
        <w:t xml:space="preserve">means a (i) a Covered Termination occurring during the two-year period commencing on the date of a Change in Control or (ii) an Anticipatory Termination. </w:t>
      </w:r>
    </w:p>
    <w:p>
      <w:pPr>
        <w:pStyle w:val="TextBody"/>
        <w:bidi w:val="0"/>
        <w:spacing w:lineRule="auto" w:line="288" w:before="0" w:after="240"/>
        <w:ind w:left="0" w:right="0" w:firstLine="941"/>
        <w:jc w:val="both"/>
        <w:rPr/>
      </w:pPr>
      <w:r>
        <w:rPr>
          <w:rFonts w:ascii="Times New Roman;serif" w:hAnsi="Times New Roman;serif"/>
          <w:b w:val="false"/>
          <w:color w:val="010000"/>
          <w:sz w:val="24"/>
        </w:rPr>
        <w:t>(n)    </w:t>
      </w:r>
      <w:r>
        <w:rPr>
          <w:color w:val="000000"/>
        </w:rPr>
        <w:t>“</w:t>
      </w:r>
      <w:r>
        <w:rPr>
          <w:rFonts w:ascii="Times New Roman;serif" w:hAnsi="Times New Roman;serif"/>
          <w:b w:val="false"/>
          <w:color w:val="000000"/>
          <w:sz w:val="24"/>
          <w:u w:val="single"/>
        </w:rPr>
        <w:t>CIC Covered Termination Payment Amount</w:t>
      </w:r>
      <w:r>
        <w:rPr>
          <w:color w:val="000000"/>
        </w:rPr>
        <w:t xml:space="preserve">” </w:t>
      </w:r>
      <w:r>
        <w:rPr>
          <w:rFonts w:ascii="Times New Roman;serif" w:hAnsi="Times New Roman;serif"/>
          <w:b w:val="false"/>
          <w:color w:val="000000"/>
          <w:sz w:val="24"/>
        </w:rPr>
        <w:t>means, with respect to any Participant, the “</w:t>
      </w:r>
      <w:r>
        <w:rPr>
          <w:rFonts w:ascii="Times New Roman;serif" w:hAnsi="Times New Roman;serif"/>
          <w:b w:val="false"/>
          <w:color w:val="000000"/>
          <w:sz w:val="24"/>
          <w:u w:val="single"/>
        </w:rPr>
        <w:t>CIC Covered Termination Payment Amount</w:t>
      </w:r>
      <w:r>
        <w:rPr>
          <w:rFonts w:ascii="Times New Roman;serif" w:hAnsi="Times New Roman;serif"/>
          <w:b w:val="false"/>
          <w:color w:val="000000"/>
          <w:sz w:val="24"/>
        </w:rPr>
        <w:t xml:space="preserve">,” as set forth on </w:t>
      </w:r>
      <w:r>
        <w:rPr>
          <w:rFonts w:ascii="Times New Roman;serif" w:hAnsi="Times New Roman;serif"/>
          <w:b w:val="false"/>
          <w:color w:val="000000"/>
          <w:sz w:val="24"/>
          <w:u w:val="single"/>
        </w:rPr>
        <w:t>Appendix C</w:t>
      </w:r>
      <w:r>
        <w:rPr>
          <w:rFonts w:ascii="Times New Roman;serif" w:hAnsi="Times New Roman;serif"/>
          <w:b w:val="false"/>
          <w:color w:val="000000"/>
          <w:sz w:val="24"/>
        </w:rPr>
        <w:t>, as attached hereto, as applicable.</w:t>
      </w:r>
    </w:p>
    <w:p>
      <w:pPr>
        <w:pStyle w:val="TextBody"/>
        <w:bidi w:val="0"/>
        <w:spacing w:lineRule="auto" w:line="288" w:before="0" w:after="240"/>
        <w:ind w:left="0" w:right="0" w:firstLine="941"/>
        <w:jc w:val="both"/>
        <w:rPr/>
      </w:pPr>
      <w:r>
        <w:rPr>
          <w:rFonts w:ascii="Times New Roman;serif" w:hAnsi="Times New Roman;serif"/>
          <w:b w:val="false"/>
          <w:color w:val="010000"/>
          <w:sz w:val="24"/>
        </w:rPr>
        <w:t>(o)    </w:t>
      </w:r>
      <w:r>
        <w:rPr>
          <w:color w:val="000000"/>
        </w:rPr>
        <w:t>“</w:t>
      </w:r>
      <w:r>
        <w:rPr>
          <w:rFonts w:ascii="Times New Roman;serif" w:hAnsi="Times New Roman;serif"/>
          <w:b w:val="false"/>
          <w:color w:val="000000"/>
          <w:sz w:val="24"/>
          <w:u w:val="single"/>
        </w:rPr>
        <w:t>Clawback Policy</w:t>
      </w:r>
      <w:r>
        <w:rPr>
          <w:color w:val="000000"/>
        </w:rPr>
        <w:t xml:space="preserve">” </w:t>
      </w:r>
      <w:r>
        <w:rPr>
          <w:rFonts w:ascii="Times New Roman;serif" w:hAnsi="Times New Roman;serif"/>
          <w:b w:val="false"/>
          <w:color w:val="000000"/>
          <w:sz w:val="24"/>
        </w:rPr>
        <w:t>means any clawback, forfeiture or other similar policy adopted by the Board or the Committee from time to time.</w:t>
      </w:r>
    </w:p>
    <w:p>
      <w:pPr>
        <w:pStyle w:val="TextBody"/>
        <w:bidi w:val="0"/>
        <w:spacing w:lineRule="auto" w:line="288" w:before="0" w:after="240"/>
        <w:ind w:left="0" w:right="0" w:firstLine="941"/>
        <w:jc w:val="both"/>
        <w:rPr/>
      </w:pPr>
      <w:r>
        <w:rPr>
          <w:rFonts w:ascii="Times New Roman;serif" w:hAnsi="Times New Roman;serif"/>
          <w:b w:val="false"/>
          <w:color w:val="010000"/>
          <w:sz w:val="24"/>
        </w:rPr>
        <w:t>(p)    </w:t>
      </w:r>
      <w:r>
        <w:rPr>
          <w:color w:val="000000"/>
        </w:rPr>
        <w:t>“</w:t>
      </w:r>
      <w:r>
        <w:rPr>
          <w:rFonts w:ascii="Times New Roman;serif" w:hAnsi="Times New Roman;serif"/>
          <w:b w:val="false"/>
          <w:color w:val="000000"/>
          <w:sz w:val="24"/>
          <w:u w:val="single"/>
        </w:rPr>
        <w:t>COBRA Payment</w:t>
      </w:r>
      <w:r>
        <w:rPr>
          <w:color w:val="000000"/>
        </w:rPr>
        <w:t xml:space="preserve">” </w:t>
      </w:r>
      <w:r>
        <w:rPr>
          <w:rFonts w:ascii="Times New Roman;serif" w:hAnsi="Times New Roman;serif"/>
          <w:b w:val="false"/>
          <w:color w:val="000000"/>
          <w:sz w:val="24"/>
        </w:rPr>
        <w:t xml:space="preserve">means, provided the Participant validly elects continuation coverage under COBRA or similar state law for the Participant, his spouse and/or dependents, an amount equal to the monthly COBRA premium for continued health insurance coverage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06705"/>
                <wp:effectExtent l="0" t="0" r="0" b="0"/>
                <wp:wrapNone/>
                <wp:docPr id="96" name="Frame9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in monthly installments over the number of months in the Subsidized COBRA Period set forth on</w:t>
      </w:r>
      <w:r>
        <w:rPr>
          <w:color w:val="000000"/>
          <w:u w:val="single"/>
        </w:rPr>
        <w:t xml:space="preserve"> </w:t>
      </w:r>
      <w:r>
        <w:rPr>
          <w:rFonts w:ascii="Times New Roman;serif" w:hAnsi="Times New Roman;serif"/>
          <w:b w:val="false"/>
          <w:color w:val="000000"/>
          <w:sz w:val="24"/>
          <w:u w:val="single"/>
        </w:rPr>
        <w:t>Appendix B</w:t>
      </w:r>
      <w:r>
        <w:rPr>
          <w:rFonts w:ascii="Times New Roman;serif" w:hAnsi="Times New Roman;serif"/>
          <w:b w:val="false"/>
          <w:color w:val="000000"/>
          <w:sz w:val="24"/>
        </w:rPr>
        <w:t>, as attached hereto, as applicable.</w:t>
      </w:r>
    </w:p>
    <w:p>
      <w:pPr>
        <w:pStyle w:val="TextBody"/>
        <w:bidi w:val="0"/>
        <w:spacing w:lineRule="auto" w:line="288" w:before="0" w:after="240"/>
        <w:ind w:left="0" w:right="0" w:firstLine="941"/>
        <w:jc w:val="both"/>
        <w:rPr/>
      </w:pPr>
      <w:r>
        <w:rPr>
          <w:rFonts w:ascii="Times New Roman;serif" w:hAnsi="Times New Roman;serif"/>
          <w:b w:val="false"/>
          <w:color w:val="010000"/>
          <w:sz w:val="24"/>
        </w:rPr>
        <w:t>(q)    </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and the rules, regulations or other interpretative guidance promulgated thereunder, as well as any successor laws in replacement thereof.</w:t>
      </w:r>
    </w:p>
    <w:p>
      <w:pPr>
        <w:pStyle w:val="TextBody"/>
        <w:bidi w:val="0"/>
        <w:spacing w:lineRule="auto" w:line="288" w:before="0" w:after="240"/>
        <w:ind w:left="0" w:right="0" w:firstLine="941"/>
        <w:jc w:val="both"/>
        <w:rPr/>
      </w:pPr>
      <w:r>
        <w:rPr>
          <w:rFonts w:ascii="Times New Roman;serif" w:hAnsi="Times New Roman;serif"/>
          <w:b w:val="false"/>
          <w:color w:val="010000"/>
          <w:sz w:val="24"/>
        </w:rPr>
        <w:t>(r)    </w:t>
      </w: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Compensation Committee of the Board.</w:t>
      </w:r>
    </w:p>
    <w:p>
      <w:pPr>
        <w:pStyle w:val="TextBody"/>
        <w:bidi w:val="0"/>
        <w:spacing w:lineRule="auto" w:line="288" w:before="0" w:after="240"/>
        <w:ind w:left="0" w:right="0" w:firstLine="941"/>
        <w:jc w:val="both"/>
        <w:rPr/>
      </w:pPr>
      <w:r>
        <w:rPr>
          <w:rFonts w:ascii="Times New Roman;serif" w:hAnsi="Times New Roman;serif"/>
          <w:b w:val="false"/>
          <w:color w:val="010000"/>
          <w:sz w:val="24"/>
        </w:rPr>
        <w:t>(s)    </w:t>
      </w:r>
      <w:r>
        <w:rPr>
          <w:color w:val="000000"/>
        </w:rPr>
        <w:t>“</w:t>
      </w:r>
      <w:r>
        <w:rPr>
          <w:rFonts w:ascii="Times New Roman;serif" w:hAnsi="Times New Roman;serif"/>
          <w:b w:val="false"/>
          <w:color w:val="000000"/>
          <w:sz w:val="24"/>
          <w:u w:val="single"/>
        </w:rPr>
        <w:t>Covered Termination</w:t>
      </w:r>
      <w:r>
        <w:rPr>
          <w:color w:val="000000"/>
        </w:rPr>
        <w:t xml:space="preserve">” </w:t>
      </w:r>
      <w:r>
        <w:rPr>
          <w:rFonts w:ascii="Times New Roman;serif" w:hAnsi="Times New Roman;serif"/>
          <w:b w:val="false"/>
          <w:color w:val="000000"/>
          <w:sz w:val="24"/>
        </w:rPr>
        <w:t xml:space="preserve">means a Participant’s termination of employment with the Employer by the Employer without Cause or by the Participant for Good Reason;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that no such termination shall be considered a Covered Termination if such Participant’s employment with the Employer is terminated:</w:t>
      </w:r>
    </w:p>
    <w:p>
      <w:pPr>
        <w:pStyle w:val="TextBody"/>
        <w:bidi w:val="0"/>
        <w:spacing w:lineRule="auto" w:line="288" w:before="0" w:after="240"/>
        <w:ind w:left="0" w:right="0" w:firstLine="1440"/>
        <w:jc w:val="both"/>
        <w:rPr/>
      </w:pPr>
      <w:r>
        <w:rPr>
          <w:rFonts w:ascii="Times New Roman;serif" w:hAnsi="Times New Roman;serif"/>
          <w:b w:val="false"/>
          <w:color w:val="010000"/>
          <w:sz w:val="24"/>
        </w:rPr>
        <w:t>(i)    </w:t>
      </w:r>
      <w:r>
        <w:rPr>
          <w:rFonts w:ascii="Times New Roman;serif" w:hAnsi="Times New Roman;serif"/>
          <w:b w:val="false"/>
          <w:color w:val="000000"/>
          <w:sz w:val="24"/>
        </w:rPr>
        <w:t xml:space="preserve">solely by reason of a transfer to the employ of another member of the Company Group; </w:t>
      </w:r>
    </w:p>
    <w:p>
      <w:pPr>
        <w:pStyle w:val="TextBody"/>
        <w:bidi w:val="0"/>
        <w:spacing w:lineRule="auto" w:line="288" w:before="0" w:after="240"/>
        <w:ind w:left="0" w:right="0" w:firstLine="1440"/>
        <w:jc w:val="both"/>
        <w:rPr/>
      </w:pPr>
      <w:r>
        <w:rPr>
          <w:rFonts w:ascii="Times New Roman;serif" w:hAnsi="Times New Roman;serif"/>
          <w:b w:val="false"/>
          <w:color w:val="010000"/>
          <w:sz w:val="24"/>
        </w:rPr>
        <w:t>(ii)    </w:t>
      </w:r>
      <w:r>
        <w:rPr>
          <w:rFonts w:ascii="Times New Roman;serif" w:hAnsi="Times New Roman;serif"/>
          <w:b w:val="false"/>
          <w:color w:val="000000"/>
          <w:sz w:val="24"/>
        </w:rPr>
        <w:t>upon the expiration of a leave of absence by reason of his or her failure to return to work at such time unless, at such time, there is not an available position for which such Participant is qualified;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in connection with an Asset Sale if either (A) in connection with such Asset Sale such Participant was offered employment with the purchaser or an Affiliate thereof in an Asset Sale (I) within a 25-mile radius of such Participant’s current work site for a comparable position and (II) with the same or greater Base Salary, and with comparable annual bonus and equity compensation opportunity, and the Participant fails to accept such employment offer, or (B) notwithstanding the comparable terms and conditions of employment being available within a 25-mile radius, such Participant voluntarily elected not to participate in the selection process for employment with the purchaser or an Affiliate thereof in an Asset Sale.</w:t>
      </w:r>
    </w:p>
    <w:p>
      <w:pPr>
        <w:pStyle w:val="TextBody"/>
        <w:bidi w:val="0"/>
        <w:spacing w:lineRule="auto" w:line="288" w:before="0" w:after="240"/>
        <w:ind w:left="0" w:right="0" w:firstLine="941"/>
        <w:jc w:val="both"/>
        <w:rPr/>
      </w:pPr>
      <w:r>
        <w:rPr>
          <w:rFonts w:ascii="Times New Roman;serif" w:hAnsi="Times New Roman;serif"/>
          <w:b w:val="false"/>
          <w:color w:val="010000"/>
          <w:sz w:val="24"/>
        </w:rPr>
        <w:t>(t)    </w:t>
      </w: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a Participant’s substantial inability to perform Participant’s duties due to partial or total disability or incapacity resulting from a mental or physical illness, injury or other health-related cause for a period of 90 consecutive days or 180 non-consecutive days in any 12 months period.</w:t>
      </w:r>
    </w:p>
    <w:p>
      <w:pPr>
        <w:pStyle w:val="TextBody"/>
        <w:bidi w:val="0"/>
        <w:spacing w:lineRule="auto" w:line="288" w:before="0" w:after="240"/>
        <w:ind w:left="0" w:right="0" w:firstLine="941"/>
        <w:jc w:val="both"/>
        <w:rPr/>
      </w:pPr>
      <w:r>
        <w:rPr>
          <w:rFonts w:ascii="Times New Roman;serif" w:hAnsi="Times New Roman;serif"/>
          <w:b w:val="false"/>
          <w:color w:val="010000"/>
          <w:sz w:val="24"/>
        </w:rPr>
        <w:t>(u)    </w:t>
      </w:r>
      <w:r>
        <w:rPr>
          <w:color w:val="000000"/>
        </w:rPr>
        <w:t>“</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 xml:space="preserve">means March 8, 2023, as amended on March 1, 2024 and July 16, 2024, and amended and restated on August 18, 2025. </w:t>
      </w:r>
    </w:p>
    <w:p>
      <w:pPr>
        <w:pStyle w:val="TextBody"/>
        <w:bidi w:val="0"/>
        <w:spacing w:lineRule="auto" w:line="288" w:before="0" w:after="240"/>
        <w:ind w:left="0" w:right="0" w:firstLine="941"/>
        <w:jc w:val="both"/>
        <w:rPr/>
      </w:pPr>
      <w:r>
        <w:rPr>
          <w:rFonts w:ascii="Times New Roman;serif" w:hAnsi="Times New Roman;serif"/>
          <w:b w:val="false"/>
          <w:color w:val="010000"/>
          <w:sz w:val="24"/>
        </w:rPr>
        <w:t>(v)    </w:t>
      </w:r>
      <w:r>
        <w:rPr>
          <w:color w:val="000000"/>
        </w:rPr>
        <w:t>“</w:t>
      </w:r>
      <w:r>
        <w:rPr>
          <w:rFonts w:ascii="Times New Roman;serif" w:hAnsi="Times New Roman;serif"/>
          <w:b w:val="false"/>
          <w:color w:val="000000"/>
          <w:sz w:val="24"/>
          <w:u w:val="single"/>
        </w:rPr>
        <w:t>Eligible Employee</w:t>
      </w:r>
      <w:r>
        <w:rPr>
          <w:color w:val="000000"/>
        </w:rPr>
        <w:t xml:space="preserve">” </w:t>
      </w:r>
      <w:r>
        <w:rPr>
          <w:rFonts w:ascii="Times New Roman;serif" w:hAnsi="Times New Roman;serif"/>
          <w:b w:val="false"/>
          <w:color w:val="000000"/>
          <w:sz w:val="24"/>
        </w:rPr>
        <w:t>means each non-union, salaried, full-time employee of the Company Group. Eligible Employees shall, in no event, include: (i) independent contractors, (ii) temporary employees, (iii) individuals treated other than as employees for federal income and employment tax purposes at the time such individual performs services, (iv) employees who are regularly scheduled to work less than 20 hours per week, and (v) individuals who the Company designates as “non-benefits eligible.”</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06705"/>
                <wp:effectExtent l="0" t="0" r="0" b="0"/>
                <wp:wrapNone/>
                <wp:docPr id="97" name="Frame9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240"/>
        <w:ind w:left="0" w:right="0" w:firstLine="941"/>
        <w:jc w:val="both"/>
        <w:rPr/>
      </w:pPr>
      <w:r>
        <w:rPr>
          <w:rFonts w:ascii="Times New Roman;serif" w:hAnsi="Times New Roman;serif"/>
          <w:b w:val="false"/>
          <w:color w:val="010000"/>
          <w:sz w:val="24"/>
        </w:rPr>
        <w:t>(w)    </w:t>
      </w:r>
      <w:r>
        <w:rPr>
          <w:color w:val="000000"/>
        </w:rPr>
        <w:t>“</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means, with respect to any Participant, the member of the Company Group by which such Participant is employed.</w:t>
      </w:r>
    </w:p>
    <w:p>
      <w:pPr>
        <w:pStyle w:val="TextBody"/>
        <w:bidi w:val="0"/>
        <w:spacing w:lineRule="auto" w:line="288" w:before="0" w:after="240"/>
        <w:ind w:left="0" w:right="0" w:firstLine="941"/>
        <w:jc w:val="both"/>
        <w:rPr/>
      </w:pPr>
      <w:r>
        <w:rPr>
          <w:rFonts w:ascii="Times New Roman;serif" w:hAnsi="Times New Roman;serif"/>
          <w:b w:val="false"/>
          <w:color w:val="010000"/>
          <w:sz w:val="24"/>
        </w:rPr>
        <w:t>(x)    </w:t>
      </w: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 and the rules, regulations or other interpretive guidance promulgated thereunder, as well as any successor laws in replacement thereof.</w:t>
      </w:r>
    </w:p>
    <w:p>
      <w:pPr>
        <w:pStyle w:val="TextBody"/>
        <w:bidi w:val="0"/>
        <w:spacing w:lineRule="auto" w:line="288" w:before="0" w:after="240"/>
        <w:ind w:left="0" w:right="0" w:firstLine="941"/>
        <w:jc w:val="both"/>
        <w:rPr/>
      </w:pPr>
      <w:r>
        <w:rPr>
          <w:rFonts w:ascii="Times New Roman;serif" w:hAnsi="Times New Roman;serif"/>
          <w:b w:val="false"/>
          <w:color w:val="010000"/>
          <w:sz w:val="24"/>
        </w:rPr>
        <w:t>(y)    </w:t>
      </w: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the rules, regulations or other interpretive guidance promulgated thereunder, as well as any successor laws in replacement thereof.</w:t>
      </w:r>
    </w:p>
    <w:p>
      <w:pPr>
        <w:pStyle w:val="TextBody"/>
        <w:bidi w:val="0"/>
        <w:spacing w:lineRule="auto" w:line="288" w:before="0" w:after="240"/>
        <w:ind w:left="0" w:right="0" w:firstLine="941"/>
        <w:jc w:val="both"/>
        <w:rPr/>
      </w:pPr>
      <w:r>
        <w:rPr>
          <w:rFonts w:ascii="Times New Roman;serif" w:hAnsi="Times New Roman;serif"/>
          <w:b w:val="false"/>
          <w:color w:val="010000"/>
          <w:sz w:val="24"/>
        </w:rPr>
        <w:t>(z)    </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the occurrence of any of the following events without the Participant’s consent:</w:t>
      </w:r>
    </w:p>
    <w:p>
      <w:pPr>
        <w:pStyle w:val="TextBody"/>
        <w:bidi w:val="0"/>
        <w:spacing w:lineRule="auto" w:line="288" w:before="0" w:after="240"/>
        <w:ind w:left="0" w:right="0" w:firstLine="1440"/>
        <w:jc w:val="both"/>
        <w:rPr/>
      </w:pPr>
      <w:r>
        <w:rPr>
          <w:rFonts w:ascii="Times New Roman;serif" w:hAnsi="Times New Roman;serif"/>
          <w:b w:val="false"/>
          <w:color w:val="010000"/>
          <w:sz w:val="24"/>
        </w:rPr>
        <w:t>(i)    </w:t>
      </w:r>
      <w:r>
        <w:rPr>
          <w:rFonts w:ascii="Times New Roman;serif" w:hAnsi="Times New Roman;serif"/>
          <w:b w:val="false"/>
          <w:color w:val="000000"/>
          <w:sz w:val="24"/>
        </w:rPr>
        <w:t>a material diminution in the Participant’s title, authorities, duties or responsibilities;</w:t>
      </w:r>
    </w:p>
    <w:p>
      <w:pPr>
        <w:pStyle w:val="TextBody"/>
        <w:bidi w:val="0"/>
        <w:spacing w:lineRule="auto" w:line="288" w:before="0" w:after="240"/>
        <w:ind w:left="0" w:right="0" w:firstLine="1440"/>
        <w:jc w:val="both"/>
        <w:rPr/>
      </w:pPr>
      <w:r>
        <w:rPr>
          <w:rFonts w:ascii="Times New Roman;serif" w:hAnsi="Times New Roman;serif"/>
          <w:b w:val="false"/>
          <w:color w:val="010000"/>
          <w:sz w:val="24"/>
        </w:rPr>
        <w:t>(ii)    </w:t>
      </w:r>
      <w:r>
        <w:rPr>
          <w:rFonts w:ascii="Times New Roman;serif" w:hAnsi="Times New Roman;serif"/>
          <w:b w:val="false"/>
          <w:color w:val="000000"/>
          <w:sz w:val="24"/>
        </w:rPr>
        <w:t>any reduction in the Participant’s Base Salary, other than a reduction of not more than 15% implemented in connection with an across-the-board reduction affecting all similarly-situated executive employees of the Company;</w:t>
      </w:r>
    </w:p>
    <w:p>
      <w:pPr>
        <w:pStyle w:val="TextBody"/>
        <w:bidi w:val="0"/>
        <w:spacing w:lineRule="auto" w:line="288" w:before="0" w:after="240"/>
        <w:ind w:left="0" w:right="0" w:firstLine="1440"/>
        <w:jc w:val="both"/>
        <w:rPr/>
      </w:pPr>
      <w:r>
        <w:rPr>
          <w:rFonts w:ascii="Times New Roman;serif" w:hAnsi="Times New Roman;serif"/>
          <w:b w:val="false"/>
          <w:color w:val="010000"/>
          <w:sz w:val="24"/>
        </w:rPr>
        <w:t>(iii)    </w:t>
      </w:r>
      <w:r>
        <w:rPr>
          <w:rFonts w:ascii="Times New Roman;serif" w:hAnsi="Times New Roman;serif"/>
          <w:b w:val="false"/>
          <w:color w:val="000000"/>
          <w:sz w:val="24"/>
        </w:rPr>
        <w:t xml:space="preserve">the assignment to the Participant of duties or responsibilities which are materially inconsistent with any of the Participant’s duties and responsibilities; </w:t>
      </w:r>
    </w:p>
    <w:p>
      <w:pPr>
        <w:pStyle w:val="TextBody"/>
        <w:bidi w:val="0"/>
        <w:spacing w:lineRule="auto" w:line="288" w:before="0" w:after="240"/>
        <w:ind w:left="0" w:right="0" w:firstLine="1440"/>
        <w:jc w:val="both"/>
        <w:rPr/>
      </w:pPr>
      <w:r>
        <w:rPr>
          <w:rFonts w:ascii="Times New Roman;serif" w:hAnsi="Times New Roman;serif"/>
          <w:b w:val="false"/>
          <w:color w:val="010000"/>
          <w:sz w:val="24"/>
        </w:rPr>
        <w:t xml:space="preserve">(iv)     </w:t>
      </w:r>
      <w:r>
        <w:rPr>
          <w:rFonts w:ascii="Times New Roman;serif" w:hAnsi="Times New Roman;serif"/>
          <w:b w:val="false"/>
          <w:color w:val="000000"/>
          <w:sz w:val="24"/>
        </w:rPr>
        <w:t>the failure of any purchaser (or an Affiliate thereof) in an Asset Sale by agreement in writing, to expressly, absolutely and unconditionally assume and agree to perform the Plan, in the same manner and to the same extent that the Company would be required to perform the Plan if no such Asset Sale had taken place; or</w:t>
      </w:r>
    </w:p>
    <w:p>
      <w:pPr>
        <w:pStyle w:val="TextBody"/>
        <w:bidi w:val="0"/>
        <w:spacing w:lineRule="auto" w:line="288" w:before="0" w:after="240"/>
        <w:ind w:left="0" w:right="0" w:firstLine="1440"/>
        <w:jc w:val="both"/>
        <w:rPr/>
      </w:pPr>
      <w:r>
        <w:rPr>
          <w:rFonts w:ascii="Times New Roman;serif" w:hAnsi="Times New Roman;serif"/>
          <w:b w:val="false"/>
          <w:color w:val="010000"/>
          <w:sz w:val="24"/>
        </w:rPr>
        <w:t>(v)    </w:t>
      </w:r>
      <w:r>
        <w:rPr>
          <w:rFonts w:ascii="Times New Roman;serif" w:hAnsi="Times New Roman;serif"/>
          <w:b w:val="false"/>
          <w:color w:val="000000"/>
          <w:sz w:val="24"/>
        </w:rPr>
        <w:t xml:space="preserve">upon or within twenty-four (24) months following a Change in Control, (A) a reduction in the Participant’s Base Salary in effect immediately prior to the Change in Control or (B) a material reduction in the sum of (1) the Participant’s Target Bonus for the last completed fiscal year immediately prior to the Change in Control plus (2) the grant date fair value of equity or equity-based awards granted to the Participant under the Stock Plan for the last completed fiscal year immediately prior to the Change in Control; </w:t>
      </w:r>
    </w:p>
    <w:p>
      <w:pPr>
        <w:pStyle w:val="TextBody"/>
        <w:bidi w:val="0"/>
        <w:spacing w:lineRule="auto" w:line="288" w:before="0" w:after="240"/>
        <w:jc w:val="both"/>
        <w:rPr/>
      </w:pPr>
      <w:r>
        <w:rPr>
          <w:rFonts w:ascii="Times New Roman;serif" w:hAnsi="Times New Roman;serif"/>
          <w:b w:val="false"/>
          <w:i/>
          <w:color w:val="000000"/>
          <w:sz w:val="24"/>
          <w:u w:val="single"/>
        </w:rPr>
        <w:t>provided</w:t>
      </w:r>
      <w:r>
        <w:rPr>
          <w:rFonts w:ascii="Times New Roman;serif" w:hAnsi="Times New Roman;serif"/>
          <w:b w:val="false"/>
          <w:color w:val="000000"/>
          <w:sz w:val="24"/>
        </w:rPr>
        <w:t>, that any of the events described in clauses (i) – (iii) and (v) above shall constitute Good Reason only if the Participant provides the Company (or applicable employer following a Change in Control) with written objection to the event or condition within 90 days following the occurrence thereof, the Company (or applicable employer following a Change in Control) does not reverse or otherwise cure the event or condition within 30 days of receiving that written objection, and the Participant resigns employment within 30 days following the expiration of that cure period.</w:t>
      </w:r>
    </w:p>
    <w:p>
      <w:pPr>
        <w:pStyle w:val="TextBody"/>
        <w:bidi w:val="0"/>
        <w:spacing w:lineRule="auto" w:line="288" w:before="0" w:after="240"/>
        <w:ind w:left="0" w:right="0" w:firstLine="941"/>
        <w:jc w:val="both"/>
        <w:rPr/>
      </w:pPr>
      <w:r>
        <w:rPr>
          <w:rFonts w:ascii="Times New Roman;serif" w:hAnsi="Times New Roman;serif"/>
          <w:b w:val="false"/>
          <w:color w:val="010000"/>
          <w:sz w:val="24"/>
        </w:rPr>
        <w:t>(aa)    </w:t>
      </w:r>
      <w:r>
        <w:rPr>
          <w:color w:val="000000"/>
        </w:rPr>
        <w:t>“</w:t>
      </w:r>
      <w:r>
        <w:rPr>
          <w:rFonts w:ascii="Times New Roman;serif" w:hAnsi="Times New Roman;serif"/>
          <w:b w:val="false"/>
          <w:color w:val="000000"/>
          <w:sz w:val="24"/>
          <w:u w:val="single"/>
        </w:rPr>
        <w:t>Other Severance Arrangements</w:t>
      </w:r>
      <w:r>
        <w:rPr>
          <w:color w:val="000000"/>
        </w:rPr>
        <w:t xml:space="preserve">” </w:t>
      </w:r>
      <w:r>
        <w:rPr>
          <w:rFonts w:ascii="Times New Roman;serif" w:hAnsi="Times New Roman;serif"/>
          <w:b w:val="false"/>
          <w:color w:val="000000"/>
          <w:sz w:val="24"/>
        </w:rPr>
        <w:t xml:space="preserve">means any plans, policies, guidelines, arrangements, agreements, letters and/or other communication, whether formal or informal,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06705"/>
                <wp:effectExtent l="0" t="0" r="0" b="0"/>
                <wp:wrapNone/>
                <wp:docPr id="98" name="Frame9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written or oral sponsored by the Company or any of its Affiliates and/or entered into by any representative of the Company or any of its Affiliates that might otherwise provide severance benefits upon a Covered Termination.</w:t>
      </w:r>
    </w:p>
    <w:p>
      <w:pPr>
        <w:pStyle w:val="TextBody"/>
        <w:bidi w:val="0"/>
        <w:spacing w:lineRule="auto" w:line="288" w:before="0" w:after="240"/>
        <w:ind w:left="0" w:right="0" w:firstLine="941"/>
        <w:jc w:val="both"/>
        <w:rPr/>
      </w:pPr>
      <w:r>
        <w:rPr>
          <w:rFonts w:ascii="Times New Roman;serif" w:hAnsi="Times New Roman;serif"/>
          <w:b w:val="false"/>
          <w:color w:val="010000"/>
          <w:sz w:val="24"/>
        </w:rPr>
        <w:t>(bb)    </w:t>
      </w: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an Eligible Employee who is designated as a Participant by the Committee, subject to the requirements of Section 2. For purposes hereof, the Committee shall be permitted to (i) designate groups of Eligible Employees by category, job title or other classification it deems appropriate as Participants without the need to identify any individual Participant by name, provided that the Committee may determine in its sole discretion that any one or more Eligible Employees within a designated group shall not be a Participant in the Plan and (ii) delegate to Company management the authority to determine whether specific individuals qualify as Participants within the parameters set forth by the Committee.</w:t>
      </w:r>
    </w:p>
    <w:p>
      <w:pPr>
        <w:pStyle w:val="TextBody"/>
        <w:bidi w:val="0"/>
        <w:spacing w:lineRule="auto" w:line="288" w:before="0" w:after="240"/>
        <w:ind w:left="0" w:right="0" w:firstLine="941"/>
        <w:jc w:val="both"/>
        <w:rPr/>
      </w:pPr>
      <w:r>
        <w:rPr>
          <w:rFonts w:ascii="Times New Roman;serif" w:hAnsi="Times New Roman;serif"/>
          <w:b w:val="false"/>
          <w:color w:val="010000"/>
          <w:sz w:val="24"/>
        </w:rPr>
        <w:t>(cc)    </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entity or group (within the meaning of Section 13(d)(3) or 14(d)(2) of the Exchange Act).</w:t>
      </w:r>
    </w:p>
    <w:p>
      <w:pPr>
        <w:pStyle w:val="TextBody"/>
        <w:bidi w:val="0"/>
        <w:spacing w:lineRule="auto" w:line="288" w:before="0" w:after="240"/>
        <w:ind w:left="0" w:right="0" w:firstLine="941"/>
        <w:jc w:val="both"/>
        <w:rPr/>
      </w:pPr>
      <w:r>
        <w:rPr>
          <w:rFonts w:ascii="Times New Roman;serif" w:hAnsi="Times New Roman;serif"/>
          <w:b w:val="false"/>
          <w:color w:val="010000"/>
          <w:sz w:val="24"/>
        </w:rPr>
        <w:t>(dd)    </w:t>
      </w:r>
      <w:r>
        <w:rPr>
          <w:color w:val="000000"/>
        </w:rPr>
        <w:t xml:space="preserve"> “</w:t>
      </w:r>
      <w:r>
        <w:rPr>
          <w:rFonts w:ascii="Times New Roman;serif" w:hAnsi="Times New Roman;serif"/>
          <w:b w:val="false"/>
          <w:color w:val="000000"/>
          <w:sz w:val="24"/>
          <w:u w:val="single"/>
        </w:rPr>
        <w:t>Release Agreement</w:t>
      </w:r>
      <w:r>
        <w:rPr>
          <w:color w:val="000000"/>
        </w:rPr>
        <w:t xml:space="preserve">” </w:t>
      </w:r>
      <w:r>
        <w:rPr>
          <w:rFonts w:ascii="Times New Roman;serif" w:hAnsi="Times New Roman;serif"/>
          <w:b w:val="false"/>
          <w:color w:val="000000"/>
          <w:sz w:val="24"/>
        </w:rPr>
        <w:t>means a release and/or waiver of claims in the form customarily provided by the Company Group to terminated employees, pursuant to which a Participant may be required to (i) acknowledge the receipt of the severance payment and other benefits, and (ii) release the Company and its Affiliates (including the Employer and its Affiliates) and other Persons designated by the Company from any and all claims and liabilities, whether known or unknown, or suspected or unsuspected, from the beginning of time until Participant’s execution of the Release Agreement, including without limitation, those arising from his or her employment or termination thereof (other than with respect to the Participant’s rights under the Plan).</w:t>
      </w:r>
    </w:p>
    <w:p>
      <w:pPr>
        <w:pStyle w:val="TextBody"/>
        <w:bidi w:val="0"/>
        <w:spacing w:lineRule="auto" w:line="288" w:before="0" w:after="240"/>
        <w:ind w:left="0" w:right="0" w:firstLine="941"/>
        <w:jc w:val="both"/>
        <w:rPr/>
      </w:pPr>
      <w:r>
        <w:rPr>
          <w:rFonts w:ascii="Times New Roman;serif" w:hAnsi="Times New Roman;serif"/>
          <w:b w:val="false"/>
          <w:color w:val="010000"/>
          <w:sz w:val="24"/>
        </w:rPr>
        <w:t>(ee)    “</w:t>
      </w:r>
      <w:r>
        <w:rPr>
          <w:rFonts w:ascii="Times New Roman;serif" w:hAnsi="Times New Roman;serif"/>
          <w:b w:val="false"/>
          <w:color w:val="010000"/>
          <w:sz w:val="24"/>
          <w:u w:val="single"/>
        </w:rPr>
        <w:t>Severance Pay</w:t>
      </w:r>
      <w:r>
        <w:rPr>
          <w:color w:val="010000"/>
        </w:rPr>
        <w:t xml:space="preserve">” </w:t>
      </w:r>
      <w:r>
        <w:rPr>
          <w:rFonts w:ascii="Times New Roman;serif" w:hAnsi="Times New Roman;serif"/>
          <w:b w:val="false"/>
          <w:color w:val="010000"/>
          <w:sz w:val="24"/>
        </w:rPr>
        <w:t xml:space="preserve">means the </w:t>
      </w:r>
      <w:r>
        <w:rPr>
          <w:rFonts w:ascii="Times New Roman;serif" w:hAnsi="Times New Roman;serif"/>
          <w:b w:val="false"/>
          <w:color w:val="000000"/>
          <w:sz w:val="24"/>
        </w:rPr>
        <w:t xml:space="preserve">Cash Severance Amount set forth on </w:t>
      </w:r>
      <w:r>
        <w:rPr>
          <w:rFonts w:ascii="Times New Roman;serif" w:hAnsi="Times New Roman;serif"/>
          <w:b w:val="false"/>
          <w:color w:val="000000"/>
          <w:sz w:val="24"/>
          <w:u w:val="single"/>
        </w:rPr>
        <w:t>Appendix B for each Participant</w:t>
      </w:r>
      <w:r>
        <w:rPr>
          <w:rFonts w:ascii="Times New Roman;serif" w:hAnsi="Times New Roman;serif"/>
          <w:b w:val="false"/>
          <w:color w:val="000000"/>
          <w:sz w:val="24"/>
        </w:rPr>
        <w:t xml:space="preserve">, payable in substantially equal installments in accordance with the Company’s payroll practices as in effect from time to time over the applicable number of months set forth on </w:t>
      </w:r>
      <w:r>
        <w:rPr>
          <w:rFonts w:ascii="Times New Roman;serif" w:hAnsi="Times New Roman;serif"/>
          <w:b w:val="false"/>
          <w:color w:val="000000"/>
          <w:sz w:val="24"/>
          <w:u w:val="single"/>
        </w:rPr>
        <w:t>Appendix B.</w:t>
      </w:r>
    </w:p>
    <w:p>
      <w:pPr>
        <w:pStyle w:val="TextBody"/>
        <w:bidi w:val="0"/>
        <w:spacing w:lineRule="auto" w:line="288" w:before="0" w:after="240"/>
        <w:ind w:left="0" w:right="0" w:firstLine="941"/>
        <w:jc w:val="both"/>
        <w:rPr/>
      </w:pPr>
      <w:r>
        <w:rPr>
          <w:rFonts w:ascii="Times New Roman;serif" w:hAnsi="Times New Roman;serif"/>
          <w:b w:val="false"/>
          <w:color w:val="010000"/>
          <w:sz w:val="24"/>
        </w:rPr>
        <w:t>(ff)    “</w:t>
      </w:r>
      <w:r>
        <w:rPr>
          <w:rFonts w:ascii="Times New Roman;serif" w:hAnsi="Times New Roman;serif"/>
          <w:b w:val="false"/>
          <w:color w:val="010000"/>
          <w:sz w:val="24"/>
          <w:u w:val="single"/>
        </w:rPr>
        <w:t>Severance Period</w:t>
      </w:r>
      <w:r>
        <w:rPr>
          <w:color w:val="010000"/>
        </w:rPr>
        <w:t xml:space="preserve">” </w:t>
      </w:r>
      <w:r>
        <w:rPr>
          <w:rFonts w:ascii="Times New Roman;serif" w:hAnsi="Times New Roman;serif"/>
          <w:b w:val="false"/>
          <w:color w:val="010000"/>
          <w:sz w:val="24"/>
        </w:rPr>
        <w:t>means the number of months set forth on Appendix B indicating the time the Cash Severance Amount will be paid to each Participant for a Covered Termination.</w:t>
      </w:r>
    </w:p>
    <w:p>
      <w:pPr>
        <w:pStyle w:val="TextBody"/>
        <w:bidi w:val="0"/>
        <w:spacing w:lineRule="auto" w:line="288" w:before="0" w:after="240"/>
        <w:ind w:left="0" w:right="0" w:firstLine="941"/>
        <w:jc w:val="both"/>
        <w:rPr/>
      </w:pPr>
      <w:r>
        <w:rPr>
          <w:rFonts w:ascii="Times New Roman;serif" w:hAnsi="Times New Roman;serif"/>
          <w:b w:val="false"/>
          <w:color w:val="010000"/>
          <w:sz w:val="24"/>
        </w:rPr>
        <w:t>(gg)    </w:t>
      </w:r>
      <w:r>
        <w:rPr>
          <w:color w:val="000000"/>
        </w:rPr>
        <w:t>“</w:t>
      </w:r>
      <w:r>
        <w:rPr>
          <w:rFonts w:ascii="Times New Roman;serif" w:hAnsi="Times New Roman;serif"/>
          <w:b w:val="false"/>
          <w:color w:val="000000"/>
          <w:sz w:val="24"/>
          <w:u w:val="single"/>
        </w:rPr>
        <w:t>Stock Plan</w:t>
      </w:r>
      <w:r>
        <w:rPr>
          <w:color w:val="000000"/>
        </w:rPr>
        <w:t xml:space="preserve">” </w:t>
      </w:r>
      <w:r>
        <w:rPr>
          <w:rFonts w:ascii="Times New Roman;serif" w:hAnsi="Times New Roman;serif"/>
          <w:b w:val="false"/>
          <w:color w:val="000000"/>
          <w:sz w:val="24"/>
        </w:rPr>
        <w:t>means the OptimizeRx Corporation 2021 Equity Incentive Plan, as amended from time to time (or any successor plan thereto adopted by the Company for the purpose of providing equity and other incentive compensation to the employees and other service providers of the Company or its Affiliates).</w:t>
      </w:r>
    </w:p>
    <w:p>
      <w:pPr>
        <w:pStyle w:val="TextBody"/>
        <w:bidi w:val="0"/>
        <w:spacing w:lineRule="auto" w:line="288" w:before="0" w:after="240"/>
        <w:ind w:left="0" w:right="0" w:firstLine="941"/>
        <w:jc w:val="both"/>
        <w:rPr/>
      </w:pPr>
      <w:r>
        <w:rPr>
          <w:rFonts w:ascii="Times New Roman;serif" w:hAnsi="Times New Roman;serif"/>
          <w:b w:val="false"/>
          <w:color w:val="010000"/>
          <w:sz w:val="24"/>
        </w:rPr>
        <w:t>(hh)    </w:t>
      </w:r>
      <w:r>
        <w:rPr>
          <w:color w:val="000000"/>
        </w:rPr>
        <w:t>“</w:t>
      </w:r>
      <w:r>
        <w:rPr>
          <w:rFonts w:ascii="Times New Roman;serif" w:hAnsi="Times New Roman;serif"/>
          <w:b w:val="false"/>
          <w:color w:val="000000"/>
          <w:sz w:val="24"/>
          <w:u w:val="single"/>
        </w:rPr>
        <w:t>Subsidized COBRA Period</w:t>
      </w:r>
      <w:r>
        <w:rPr>
          <w:color w:val="000000"/>
        </w:rPr>
        <w:t xml:space="preserve">” </w:t>
      </w:r>
      <w:r>
        <w:rPr>
          <w:rFonts w:ascii="Times New Roman;serif" w:hAnsi="Times New Roman;serif"/>
          <w:b w:val="false"/>
          <w:color w:val="000000"/>
          <w:sz w:val="24"/>
        </w:rPr>
        <w:t xml:space="preserve">means, with respect to any Participant, the period set forth on </w:t>
      </w:r>
      <w:r>
        <w:rPr>
          <w:rFonts w:ascii="Times New Roman;serif" w:hAnsi="Times New Roman;serif"/>
          <w:b w:val="false"/>
          <w:color w:val="000000"/>
          <w:sz w:val="24"/>
          <w:u w:val="single"/>
        </w:rPr>
        <w:t>Appendix B</w:t>
      </w:r>
      <w:r>
        <w:rPr>
          <w:rFonts w:ascii="Times New Roman;serif" w:hAnsi="Times New Roman;serif"/>
          <w:b w:val="false"/>
          <w:color w:val="000000"/>
          <w:sz w:val="24"/>
        </w:rPr>
        <w:t>, as attached hereto, as applicable.</w:t>
      </w:r>
    </w:p>
    <w:p>
      <w:pPr>
        <w:pStyle w:val="TextBody"/>
        <w:bidi w:val="0"/>
        <w:spacing w:lineRule="auto" w:line="288" w:before="0" w:after="240"/>
        <w:ind w:left="0" w:right="0" w:firstLine="941"/>
        <w:jc w:val="both"/>
        <w:rPr/>
      </w:pPr>
      <w:r>
        <w:rPr>
          <w:rFonts w:ascii="Times New Roman;serif" w:hAnsi="Times New Roman;serif"/>
          <w:b w:val="false"/>
          <w:color w:val="010000"/>
          <w:sz w:val="24"/>
        </w:rPr>
        <w:t>(ii)</w:t>
      </w:r>
      <w:r>
        <w:rPr>
          <w:color w:val="000000"/>
        </w:rPr>
        <w:t>    “</w:t>
      </w:r>
      <w:r>
        <w:rPr>
          <w:rFonts w:ascii="Times New Roman;serif" w:hAnsi="Times New Roman;serif"/>
          <w:b w:val="false"/>
          <w:color w:val="000000"/>
          <w:sz w:val="24"/>
          <w:u w:val="single"/>
        </w:rPr>
        <w:t>Target Bonus</w:t>
      </w:r>
      <w:r>
        <w:rPr>
          <w:color w:val="000000"/>
        </w:rPr>
        <w:t xml:space="preserve">” </w:t>
      </w:r>
      <w:r>
        <w:rPr>
          <w:rFonts w:ascii="Times New Roman;serif" w:hAnsi="Times New Roman;serif"/>
          <w:b w:val="false"/>
          <w:color w:val="000000"/>
          <w:sz w:val="24"/>
        </w:rPr>
        <w:t>means the Participant’s target annual bonus under the Annual Bonus Program.</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06705"/>
                <wp:effectExtent l="0" t="0" r="0" b="0"/>
                <wp:wrapNone/>
                <wp:docPr id="99" name="Frame9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before="0" w:after="240"/>
        <w:ind w:left="0" w:right="0" w:firstLine="941"/>
        <w:jc w:val="both"/>
        <w:rPr/>
      </w:pPr>
      <w:r>
        <w:rPr/>
      </w:r>
    </w:p>
    <w:p>
      <w:pPr>
        <w:pStyle w:val="TextBody"/>
        <w:bidi w:val="0"/>
        <w:spacing w:before="0" w:after="240"/>
        <w:ind w:left="0" w:right="0" w:firstLine="941"/>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06705"/>
                <wp:effectExtent l="0" t="0" r="0" b="0"/>
                <wp:wrapNone/>
                <wp:docPr id="100" name="Frame9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B</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Severance Payments on Covered Termination</w:t>
      </w:r>
    </w:p>
    <w:tbl>
      <w:tblPr>
        <w:tblW w:w="10205" w:type="dxa"/>
        <w:jc w:val="left"/>
        <w:tblInd w:w="0" w:type="dxa"/>
        <w:tblLayout w:type="fixed"/>
        <w:tblCellMar>
          <w:top w:w="28" w:type="dxa"/>
          <w:left w:w="28" w:type="dxa"/>
          <w:bottom w:w="28" w:type="dxa"/>
          <w:right w:w="28" w:type="dxa"/>
        </w:tblCellMar>
      </w:tblPr>
      <w:tblGrid>
        <w:gridCol w:w="510"/>
        <w:gridCol w:w="383"/>
        <w:gridCol w:w="385"/>
        <w:gridCol w:w="1716"/>
        <w:gridCol w:w="1616"/>
        <w:gridCol w:w="1621"/>
        <w:gridCol w:w="681"/>
        <w:gridCol w:w="653"/>
        <w:gridCol w:w="526"/>
        <w:gridCol w:w="705"/>
        <w:gridCol w:w="581"/>
        <w:gridCol w:w="828"/>
      </w:tblGrid>
      <w:tr>
        <w:trPr/>
        <w:tc>
          <w:tcPr>
            <w:tcW w:w="51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Participant </w:t>
            </w:r>
          </w:p>
        </w:tc>
        <w:tc>
          <w:tcPr>
            <w:tcW w:w="49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Subsidized COBRA Period</w:t>
            </w:r>
          </w:p>
        </w:tc>
        <w:tc>
          <w:tcPr>
            <w:tcW w:w="186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Bonus Amount</w:t>
            </w:r>
          </w:p>
        </w:tc>
        <w:tc>
          <w:tcPr>
            <w:tcW w:w="211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Cash Severance Amount</w:t>
            </w:r>
          </w:p>
        </w:tc>
      </w:tr>
      <w:tr>
        <w:trPr/>
        <w:tc>
          <w:tcPr>
            <w:tcW w:w="12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Stephen Silvestro</w:t>
            </w:r>
          </w:p>
        </w:tc>
        <w:tc>
          <w:tcPr>
            <w:tcW w:w="49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the date of the Covered Termination until the earliest of (x) 12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lineRule="auto" w:line="288" w:before="0" w:after="0"/>
              <w:jc w:val="left"/>
              <w:rPr>
                <w:color w:val="000000"/>
              </w:rPr>
            </w:pPr>
            <w:r>
              <w:rPr>
                <w:color w:val="000000"/>
              </w:rPr>
              <w:t> </w:t>
            </w:r>
          </w:p>
        </w:tc>
        <w:tc>
          <w:tcPr>
            <w:tcW w:w="186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times the Participant’s Annual Bonus Target, paid in lump sum</w:t>
            </w:r>
          </w:p>
        </w:tc>
        <w:tc>
          <w:tcPr>
            <w:tcW w:w="211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 times the Participant’s Base Salary, paid in equal installments over 18 months</w:t>
            </w:r>
          </w:p>
        </w:tc>
      </w:tr>
      <w:tr>
        <w:trPr/>
        <w:tc>
          <w:tcPr>
            <w:tcW w:w="12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Edward Stelmakh</w:t>
            </w:r>
          </w:p>
        </w:tc>
        <w:tc>
          <w:tcPr>
            <w:tcW w:w="49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the date of the Covered Termination until the earliest of (x) 12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lineRule="auto" w:line="288" w:before="0" w:after="0"/>
              <w:jc w:val="left"/>
              <w:rPr>
                <w:color w:val="000000"/>
              </w:rPr>
            </w:pPr>
            <w:r>
              <w:rPr>
                <w:color w:val="000000"/>
              </w:rPr>
              <w:t> </w:t>
            </w:r>
          </w:p>
        </w:tc>
        <w:tc>
          <w:tcPr>
            <w:tcW w:w="186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times the Participant’s Annual Bonus Target, paid in lump sum</w:t>
            </w:r>
          </w:p>
        </w:tc>
        <w:tc>
          <w:tcPr>
            <w:tcW w:w="211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times the Participant’s Base Salary, paid in equal installments over 12 months</w:t>
            </w:r>
          </w:p>
        </w:tc>
      </w:tr>
      <w:tr>
        <w:trPr/>
        <w:tc>
          <w:tcPr>
            <w:tcW w:w="12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Marion Odence-Ford</w:t>
            </w:r>
          </w:p>
        </w:tc>
        <w:tc>
          <w:tcPr>
            <w:tcW w:w="49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the date of the Covered Termination until the earliest of (x) 12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lineRule="auto" w:line="288" w:before="0" w:after="0"/>
              <w:jc w:val="left"/>
              <w:rPr>
                <w:color w:val="000000"/>
              </w:rPr>
            </w:pPr>
            <w:r>
              <w:rPr>
                <w:color w:val="000000"/>
              </w:rPr>
              <w:t>  </w:t>
            </w:r>
          </w:p>
        </w:tc>
        <w:tc>
          <w:tcPr>
            <w:tcW w:w="186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times the Participant’s Annual Bonus Target, paid in lump sum</w:t>
            </w:r>
          </w:p>
        </w:tc>
        <w:tc>
          <w:tcPr>
            <w:tcW w:w="211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times the Participant’s Base Salary, paid in equal installments over 12 months</w:t>
            </w:r>
          </w:p>
        </w:tc>
      </w:tr>
      <w:tr>
        <w:trPr/>
        <w:tc>
          <w:tcPr>
            <w:tcW w:w="12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Besch</w:t>
            </w:r>
          </w:p>
        </w:tc>
        <w:tc>
          <w:tcPr>
            <w:tcW w:w="49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the date of the Covered Termination until the earliest of (x) 12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lineRule="auto" w:line="288" w:before="0" w:after="0"/>
              <w:jc w:val="left"/>
              <w:rPr>
                <w:color w:val="000000"/>
              </w:rPr>
            </w:pPr>
            <w:r>
              <w:rPr>
                <w:color w:val="000000"/>
              </w:rPr>
              <w:t> </w:t>
            </w:r>
          </w:p>
        </w:tc>
        <w:tc>
          <w:tcPr>
            <w:tcW w:w="186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times the Participant’s Annual Bonus Target, paid in lump sum</w:t>
            </w:r>
          </w:p>
        </w:tc>
        <w:tc>
          <w:tcPr>
            <w:tcW w:w="211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times the Participant’s Base Salary, paid in equal installments over 12 months</w:t>
            </w:r>
          </w:p>
        </w:tc>
      </w:tr>
      <w:tr>
        <w:trPr/>
        <w:tc>
          <w:tcPr>
            <w:tcW w:w="127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Theresa Greco</w:t>
            </w:r>
          </w:p>
        </w:tc>
        <w:tc>
          <w:tcPr>
            <w:tcW w:w="495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the date of the Covered Termination until the earliest of (x) 12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lineRule="auto" w:line="288" w:before="0" w:after="0"/>
              <w:jc w:val="left"/>
              <w:rPr>
                <w:color w:val="000000"/>
              </w:rPr>
            </w:pPr>
            <w:r>
              <w:rPr>
                <w:color w:val="000000"/>
              </w:rPr>
              <w:t> </w:t>
            </w:r>
          </w:p>
        </w:tc>
        <w:tc>
          <w:tcPr>
            <w:tcW w:w="186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times the Participant’s Annual Bonus Target, paid in lump sum</w:t>
            </w:r>
          </w:p>
        </w:tc>
        <w:tc>
          <w:tcPr>
            <w:tcW w:w="211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times the Participant’s Base Salary, paid in equal installments over 12 months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06705"/>
                <wp:effectExtent l="0" t="0" r="0" b="0"/>
                <wp:wrapNone/>
                <wp:docPr id="101" name="Frame10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7"/>
        <w:gridCol w:w="279"/>
        <w:gridCol w:w="280"/>
        <w:gridCol w:w="1734"/>
        <w:gridCol w:w="1734"/>
        <w:gridCol w:w="1738"/>
        <w:gridCol w:w="637"/>
        <w:gridCol w:w="637"/>
        <w:gridCol w:w="639"/>
        <w:gridCol w:w="631"/>
        <w:gridCol w:w="631"/>
        <w:gridCol w:w="898"/>
      </w:tblGrid>
      <w:tr>
        <w:trPr/>
        <w:tc>
          <w:tcPr>
            <w:tcW w:w="3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D’Silva</w:t>
            </w:r>
          </w:p>
        </w:tc>
        <w:tc>
          <w:tcPr>
            <w:tcW w:w="520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the date of the Covered Termination until the earliest of (x) 6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lineRule="auto" w:line="288" w:before="0" w:after="0"/>
              <w:jc w:val="left"/>
              <w:rPr>
                <w:color w:val="000000"/>
              </w:rPr>
            </w:pPr>
            <w:r>
              <w:rPr>
                <w:color w:val="000000"/>
              </w:rPr>
              <w:t> </w:t>
            </w:r>
          </w:p>
        </w:tc>
        <w:tc>
          <w:tcPr>
            <w:tcW w:w="19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 times the Participant’s Annual Bonus Target, paid in lump sum</w:t>
            </w:r>
          </w:p>
        </w:tc>
        <w:tc>
          <w:tcPr>
            <w:tcW w:w="21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 times the Participant’s Base Salary, paid in equal installments over 6 months</w:t>
            </w:r>
          </w:p>
        </w:tc>
      </w:tr>
      <w:tr>
        <w:trPr/>
        <w:tc>
          <w:tcPr>
            <w:tcW w:w="92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Brendan Merrell</w:t>
            </w:r>
          </w:p>
        </w:tc>
        <w:tc>
          <w:tcPr>
            <w:tcW w:w="520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the date of the Covered Termination until the earliest of (x) 6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lineRule="auto" w:line="288" w:before="0" w:after="0"/>
              <w:jc w:val="left"/>
              <w:rPr>
                <w:color w:val="000000"/>
              </w:rPr>
            </w:pPr>
            <w:r>
              <w:rPr>
                <w:color w:val="000000"/>
              </w:rPr>
              <w:t> </w:t>
            </w:r>
          </w:p>
        </w:tc>
        <w:tc>
          <w:tcPr>
            <w:tcW w:w="191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 times the Participant’s Annual Bonus Target, paid in lump sum</w:t>
            </w:r>
          </w:p>
        </w:tc>
        <w:tc>
          <w:tcPr>
            <w:tcW w:w="216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 times the Participant’s Base Salary, paid in equal installments over 6 months</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06705"/>
                <wp:effectExtent l="0" t="0" r="0" b="0"/>
                <wp:wrapNone/>
                <wp:docPr id="102" name="Frame10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C</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Payments on Change in Control Covered Termination</w:t>
      </w:r>
    </w:p>
    <w:p>
      <w:pPr>
        <w:pStyle w:val="TextBody"/>
        <w:bidi w:val="0"/>
        <w:spacing w:before="0" w:after="0"/>
        <w:jc w:val="center"/>
        <w:rPr/>
      </w:pPr>
      <w:r>
        <w:rPr/>
      </w:r>
    </w:p>
    <w:tbl>
      <w:tblPr>
        <w:tblW w:w="6540" w:type="dxa"/>
        <w:jc w:val="left"/>
        <w:tblInd w:w="0" w:type="dxa"/>
        <w:tblLayout w:type="fixed"/>
        <w:tblCellMar>
          <w:top w:w="28" w:type="dxa"/>
          <w:left w:w="28" w:type="dxa"/>
          <w:bottom w:w="28" w:type="dxa"/>
          <w:right w:w="28" w:type="dxa"/>
        </w:tblCellMar>
      </w:tblPr>
      <w:tblGrid>
        <w:gridCol w:w="658"/>
        <w:gridCol w:w="577"/>
        <w:gridCol w:w="580"/>
        <w:gridCol w:w="1382"/>
        <w:gridCol w:w="1382"/>
        <w:gridCol w:w="1961"/>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Participant</w:t>
            </w:r>
          </w:p>
        </w:tc>
        <w:tc>
          <w:tcPr>
            <w:tcW w:w="47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CIC Covered Termination Payment Amount</w:t>
            </w:r>
          </w:p>
        </w:tc>
      </w:tr>
      <w:tr>
        <w:trPr/>
        <w:tc>
          <w:tcPr>
            <w:tcW w:w="18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Stephen Silvestro</w:t>
            </w:r>
          </w:p>
        </w:tc>
        <w:tc>
          <w:tcPr>
            <w:tcW w:w="47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times the Participant’s Base Salary</w:t>
            </w:r>
          </w:p>
        </w:tc>
      </w:tr>
      <w:tr>
        <w:trPr/>
        <w:tc>
          <w:tcPr>
            <w:tcW w:w="18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Edward Stelmakh</w:t>
            </w:r>
          </w:p>
        </w:tc>
        <w:tc>
          <w:tcPr>
            <w:tcW w:w="47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times the Participant’s Base Salary</w:t>
            </w:r>
          </w:p>
        </w:tc>
      </w:tr>
      <w:tr>
        <w:trPr/>
        <w:tc>
          <w:tcPr>
            <w:tcW w:w="18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Marion Odence-Ford</w:t>
            </w:r>
          </w:p>
        </w:tc>
        <w:tc>
          <w:tcPr>
            <w:tcW w:w="47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times the Participant’s Base Salary</w:t>
            </w:r>
          </w:p>
        </w:tc>
      </w:tr>
      <w:tr>
        <w:trPr/>
        <w:tc>
          <w:tcPr>
            <w:tcW w:w="18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Besch</w:t>
            </w:r>
          </w:p>
        </w:tc>
        <w:tc>
          <w:tcPr>
            <w:tcW w:w="47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times the Participant’s Base Salary</w:t>
            </w:r>
          </w:p>
        </w:tc>
      </w:tr>
      <w:tr>
        <w:trPr/>
        <w:tc>
          <w:tcPr>
            <w:tcW w:w="18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Theresa Greco</w:t>
            </w:r>
          </w:p>
        </w:tc>
        <w:tc>
          <w:tcPr>
            <w:tcW w:w="47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times the Participant’s Base Salary</w:t>
            </w:r>
          </w:p>
        </w:tc>
      </w:tr>
      <w:tr>
        <w:trPr/>
        <w:tc>
          <w:tcPr>
            <w:tcW w:w="18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D’Silva</w:t>
            </w:r>
          </w:p>
        </w:tc>
        <w:tc>
          <w:tcPr>
            <w:tcW w:w="47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times the Participant’s Base Salary</w:t>
            </w:r>
          </w:p>
        </w:tc>
      </w:tr>
      <w:tr>
        <w:trPr/>
        <w:tc>
          <w:tcPr>
            <w:tcW w:w="181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Brendan Merrell</w:t>
            </w:r>
          </w:p>
        </w:tc>
        <w:tc>
          <w:tcPr>
            <w:tcW w:w="472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times the Participant’s Base Salary</w:t>
            </w:r>
          </w:p>
        </w:tc>
      </w:tr>
    </w:tbl>
    <w:p>
      <w:pPr>
        <w:pStyle w:val="TextBody"/>
        <w:bidi w:val="0"/>
        <w:spacing w:lineRule="auto" w:line="288" w:before="0" w:after="240"/>
        <w:jc w:val="center"/>
        <w:rPr>
          <w:color w:val="000000"/>
        </w:rPr>
      </w:pPr>
      <w:r>
        <w:rPr>
          <w:color w:val="000000"/>
        </w:rPr>
        <w:t> </w:t>
      </w:r>
    </w:p>
    <w:p>
      <w:pPr>
        <w:pStyle w:val="TextBody"/>
        <w:bidi w:val="0"/>
        <w:spacing w:lineRule="auto" w:line="288" w:before="0" w:after="240"/>
        <w:jc w:val="left"/>
        <w:rPr>
          <w:color w:val="000000"/>
        </w:rPr>
      </w:pPr>
      <w:r>
        <w:rPr>
          <w:color w:val="000000"/>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06705"/>
                <wp:effectExtent l="0" t="0" r="0" b="0"/>
                <wp:wrapNone/>
                <wp:docPr id="103" name="Frame10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OPTIMIZERX CORPORATION</w:t>
      </w:r>
    </w:p>
    <w:p>
      <w:pPr>
        <w:pStyle w:val="TextBody"/>
        <w:bidi w:val="0"/>
        <w:spacing w:before="0" w:after="0"/>
        <w:jc w:val="center"/>
        <w:rPr/>
      </w:pPr>
      <w:r>
        <w:rPr/>
      </w:r>
    </w:p>
    <w:p>
      <w:pPr>
        <w:pStyle w:val="TextBody"/>
        <w:bidi w:val="0"/>
        <w:spacing w:lineRule="auto" w:line="288" w:before="0" w:after="253"/>
        <w:jc w:val="center"/>
        <w:rPr>
          <w:rFonts w:ascii="Times New Roman;serif" w:hAnsi="Times New Roman;serif"/>
          <w:b/>
          <w:color w:val="000000"/>
          <w:sz w:val="24"/>
        </w:rPr>
      </w:pPr>
      <w:r>
        <w:rPr>
          <w:rFonts w:ascii="Times New Roman;serif" w:hAnsi="Times New Roman;serif"/>
          <w:b/>
          <w:color w:val="000000"/>
          <w:sz w:val="24"/>
        </w:rPr>
        <w:t>BUSINESS PROTECTION AGREEMENT</w:t>
      </w:r>
    </w:p>
    <w:p>
      <w:pPr>
        <w:pStyle w:val="TextBody"/>
        <w:bidi w:val="0"/>
        <w:spacing w:lineRule="auto" w:line="288" w:before="0" w:after="25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consideration of my employment with OptimizeRx Corporation, a Nevada corporation with its principal place of business in Waltham, Massachusetts, (the “Company”), and in recognition that (i) as an employee of the Company I will have access to Confidential Information (defined in Section 9 below), customers and corporate opportunities of Company, and (ii) if I become employed or affiliated with a Competing Organization (defined in Section 9 below), Company will be at risk, I agree with Company as follows: </w:t>
      </w:r>
    </w:p>
    <w:p>
      <w:pPr>
        <w:pStyle w:val="TextBody"/>
        <w:bidi w:val="0"/>
        <w:spacing w:lineRule="auto" w:line="288" w:before="0" w:after="253"/>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Confidential Information</w:t>
      </w:r>
      <w:r>
        <w:rPr>
          <w:rFonts w:ascii="Times New Roman;serif" w:hAnsi="Times New Roman;serif"/>
          <w:b w:val="false"/>
          <w:color w:val="000000"/>
          <w:sz w:val="22"/>
        </w:rPr>
        <w:t xml:space="preserve">. </w:t>
      </w:r>
    </w:p>
    <w:p>
      <w:pPr>
        <w:pStyle w:val="TextBody"/>
        <w:bidi w:val="0"/>
        <w:spacing w:lineRule="auto" w:line="288" w:before="0" w:after="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No Unauthorized Disclosure or Use</w:t>
      </w:r>
      <w:r>
        <w:rPr>
          <w:rFonts w:ascii="Times New Roman;serif" w:hAnsi="Times New Roman;serif"/>
          <w:b w:val="false"/>
          <w:color w:val="000000"/>
          <w:sz w:val="22"/>
        </w:rPr>
        <w:t xml:space="preserve">. While employed by Company and thereafter, I shall not, directly or indirectly, use or disclose to anyone outside of Company any Confidential Information other than pursuant to my employment by and for the benefit of Company.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Ownership of Confidential Information</w:t>
      </w:r>
      <w:r>
        <w:rPr>
          <w:rFonts w:ascii="Times New Roman;serif" w:hAnsi="Times New Roman;serif"/>
          <w:b w:val="false"/>
          <w:color w:val="000000"/>
          <w:sz w:val="22"/>
        </w:rPr>
        <w:t xml:space="preserve">. I agree that all originals and all copies of manuscripts, letters, notes, notebooks, reports, models, computer files and other materials containing, representing, evidencing, recording, or constituting any Confidential Information (created by myself or others) shall be the sole property of Company or the property of third parties who lawfully disclosed the Confidential Information under obligations of confidentiality.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Third Party Confidential Information</w:t>
      </w:r>
      <w:r>
        <w:rPr>
          <w:rFonts w:ascii="Times New Roman;serif" w:hAnsi="Times New Roman;serif"/>
          <w:b w:val="false"/>
          <w:color w:val="000000"/>
          <w:sz w:val="22"/>
        </w:rPr>
        <w:t xml:space="preserve">. I understand that Company from time to time has in its possession information which is claimed by others to be proprietary or confidential and which Company has agreed or is under an obligation to keep confidential. I agree that all such information shall be Confidential Information for purposes of this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Developments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Ownership</w:t>
      </w:r>
      <w:r>
        <w:rPr>
          <w:rFonts w:ascii="Times New Roman;serif" w:hAnsi="Times New Roman;serif"/>
          <w:b w:val="false"/>
          <w:color w:val="000000"/>
          <w:sz w:val="22"/>
        </w:rPr>
        <w:t xml:space="preserve">. I agree that all Developments (defined in Section 9 below) created during the period of my employment with Company (whether or not made on Company’s premises, during work hours or disclosed by me to Company), together with all products or services which embody these Developments, shall be the sole property of Company.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Assignment and Cooperation</w:t>
      </w:r>
      <w:r>
        <w:rPr>
          <w:rFonts w:ascii="Times New Roman;serif" w:hAnsi="Times New Roman;serif"/>
          <w:b w:val="false"/>
          <w:color w:val="000000"/>
          <w:sz w:val="22"/>
        </w:rPr>
        <w:t xml:space="preserve">. I agree, for all Developments created during the period of my employment with Company or during the six month period following termination of my employment with Company, (i) to make and maintain adequate and current written records of all Developments, and to disclose all Developments promptly, fully and in writing to Company immediately upon development of the same and at any time upon request, (ii) that I hereby assign and will assign to Company all my right, title and interest in and to all Developments and to anything tangible which evidences, incorporates, constitutes, represents or records any Developments, (iii) to cooperate and assist Company in obtaining and maintaining any governmental protection it may seek for Developments, and to execute all documents that may be required therefor, and (iv) if any Developments constitute works made for hire under the laws of the United States, they shall be exclusive property of the Company, and should any Developments be held by a court of competent jurisdiction not to be a ‘work made for hire’, I hereby and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06705"/>
                <wp:effectExtent l="0" t="0" r="0" b="0"/>
                <wp:wrapNone/>
                <wp:docPr id="104" name="Frame10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will assign to Company all copyrights, patents and other proprietary rights I may have in any Developments, together with rights to file for and own wholly without restriction United States and foreign copyrights, patents, and trademarks with respect thereto. In the event the Company is unable to secure my signature on any application for patent, copyright or other analogous protection relating to any Development, whether because of my physical or mental incapacity or for any other reason whatsoever, I hereby irrevocably designate and appoint the Company and its duly authorized officers and agents as my agent and attorney-in-fact (which designation and appointment shall be (i) deemed coupled with an interest and (ii) irrevocable, and shall survive my death or incapacity), to act for and in my behalf and stead to execute and file any application and to do all other lawfully permitted acts to further the prosecution and issuance of patents, copyrights or other analogous protections with the same legal force and effect as if executed by 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Prior Developments</w:t>
      </w:r>
      <w:r>
        <w:rPr>
          <w:rFonts w:ascii="Times New Roman;serif" w:hAnsi="Times New Roman;serif"/>
          <w:b w:val="false"/>
          <w:color w:val="000000"/>
          <w:sz w:val="22"/>
        </w:rPr>
        <w:t xml:space="preserve">. I agree that the foregoing assignment covers all results, outputs and products of my work for Company prior to the date hereof (whether as an employee or as a consultant), and that all related copyrights, patents and other intellectual property rights, and that all such results, output and products are Developments and the sole property of Company. </w:t>
      </w:r>
    </w:p>
    <w:p>
      <w:pPr>
        <w:pStyle w:val="TextBody"/>
        <w:bidi w:val="0"/>
        <w:spacing w:before="0" w:after="0"/>
        <w:jc w:val="both"/>
        <w:rPr/>
      </w:pPr>
      <w:r>
        <w:rPr/>
      </w:r>
    </w:p>
    <w:p>
      <w:pPr>
        <w:pStyle w:val="TextBody"/>
        <w:bidi w:val="0"/>
        <w:spacing w:lineRule="auto" w:line="288" w:before="0" w:after="253"/>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Exceptions to this Agreement</w:t>
      </w:r>
      <w:r>
        <w:rPr>
          <w:rFonts w:ascii="Times New Roman;serif" w:hAnsi="Times New Roman;serif"/>
          <w:b w:val="false"/>
          <w:color w:val="000000"/>
          <w:sz w:val="22"/>
        </w:rPr>
        <w:t xml:space="preserve">. I understand that Company does not desire to acquire from me any trade secrets or confidential business information that I may have acquired from others. I have informed Company, in the space below, of any (i) continuing obligations that I may have to any previous employers which require me not to disclose information to Company or compete with any such previous employers; and (ii) confidential information or developments which I claim as my own or otherwise intend to exclude from this Agreement because it was developed by me prior to the date of this Agreement. I understand that after execution of this Agreement I shall have no right to exclude confidential information or developments from this Agreement. </w:t>
      </w:r>
    </w:p>
    <w:p>
      <w:pPr>
        <w:pStyle w:val="TextBody"/>
        <w:bidi w:val="0"/>
        <w:spacing w:lineRule="auto" w:line="288" w:before="0" w:after="25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there are none, please enter the word “None”; attach additional pages as necessary)</w:t>
      </w:r>
    </w:p>
    <w:p>
      <w:pPr>
        <w:pStyle w:val="TextBody"/>
        <w:bidi w:val="0"/>
        <w:spacing w:lineRule="auto" w:line="288" w:before="0" w:after="0"/>
        <w:ind w:left="0" w:right="0" w:firstLine="720"/>
        <w:jc w:val="both"/>
        <w:rPr/>
      </w:pPr>
      <w:r>
        <w:rPr>
          <w:rFonts w:ascii="Times New Roman;serif" w:hAnsi="Times New Roman;serif"/>
          <w:b w:val="false"/>
          <w:color w:val="000000"/>
          <w:sz w:val="22"/>
          <w:u w:val="single"/>
        </w:rPr>
        <w:t>Note</w:t>
      </w:r>
      <w:r>
        <w:rPr>
          <w:rFonts w:ascii="Times New Roman;serif" w:hAnsi="Times New Roman;serif"/>
          <w:b w:val="false"/>
          <w:color w:val="000000"/>
          <w:sz w:val="22"/>
        </w:rPr>
        <w:t xml:space="preserve">: For obligations not to disclose information to Company or compete with any such previous employers, give the date of each obligation, identify the parties owed each obligation and the nature of any restriction. Please attach any such agreement(s) to this Agreement.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_________________________________________________________________________________________________________________________________________________________________________________________________________________________________________________________</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Employee’s Obligation to Cooperate</w:t>
      </w:r>
      <w:r>
        <w:rPr>
          <w:rFonts w:ascii="Times New Roman;serif" w:hAnsi="Times New Roman;serif"/>
          <w:b w:val="false"/>
          <w:color w:val="000000"/>
          <w:sz w:val="22"/>
        </w:rPr>
        <w:t xml:space="preserve">. At any time upon the request of Company, I shall execute all documents and perform all acts which Company considers necessary or advisable to secure its rights hereunder and to carry out the intent of this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Return of Property</w:t>
      </w:r>
      <w:r>
        <w:rPr>
          <w:rFonts w:ascii="Times New Roman;serif" w:hAnsi="Times New Roman;serif"/>
          <w:b w:val="false"/>
          <w:color w:val="000000"/>
          <w:sz w:val="22"/>
        </w:rPr>
        <w:t xml:space="preserve">. At any time upon the request of Company, and in any event upon cessation of employment, I shall return promptly to Company all Company property, including all Confidential Information and Developments and any copies thereof.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Employment At-Will</w:t>
      </w:r>
      <w:r>
        <w:rPr>
          <w:rFonts w:ascii="Times New Roman;serif" w:hAnsi="Times New Roman;serif"/>
          <w:b w:val="false"/>
          <w:color w:val="000000"/>
          <w:sz w:val="22"/>
        </w:rPr>
        <w:t xml:space="preserve">. Nothing in this Agreement shall require that Company employ me for any period of time. I understand that I am an employee-at-will and that my employment relationship with Company may be terminated by Company or me at any time for any reason, with or without prior notice. I further understand that the employment-at-will relationship between me and Company cannot be modified by oral or written statements from supervisors, managers or others at Company; the at-will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06705"/>
                <wp:effectExtent l="0" t="0" r="0" b="0"/>
                <wp:wrapNone/>
                <wp:docPr id="105" name="Frame10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nature of my employment with Company can only be modified by a written agreement signed by the CEO of Company.</w:t>
      </w:r>
    </w:p>
    <w:p>
      <w:pPr>
        <w:pStyle w:val="TextBody"/>
        <w:bidi w:val="0"/>
        <w:spacing w:before="0" w:after="0"/>
        <w:jc w:val="both"/>
        <w:rPr/>
      </w:pPr>
      <w:r>
        <w:rPr/>
      </w:r>
    </w:p>
    <w:p>
      <w:pPr>
        <w:pStyle w:val="TextBody"/>
        <w:bidi w:val="0"/>
        <w:spacing w:lineRule="auto" w:line="288" w:before="0" w:after="253"/>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Restrictive Covenants</w:t>
      </w:r>
      <w:r>
        <w:rPr>
          <w:rFonts w:ascii="Times New Roman;serif" w:hAnsi="Times New Roman;serif"/>
          <w:b w:val="false"/>
          <w:color w:val="000000"/>
          <w:sz w:val="22"/>
        </w:rPr>
        <w:t xml:space="preserve">. </w:t>
      </w:r>
    </w:p>
    <w:p>
      <w:pPr>
        <w:pStyle w:val="TextBody"/>
        <w:bidi w:val="0"/>
        <w:spacing w:lineRule="auto" w:line="288" w:before="0" w:after="25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I acknowledge and agree that Company has invested substantial time, money and resources in the development of its Confidential Information and the development and retention of its customers, clients, collaborators, and employees. I further acknowledge that during the course of my employment, I may be introduced to customers, clients, and collaborators of Company, and agree that any “goodwill” associated with any customer, client, or collaborator belongs exclusively to Company. In recognition of the foregoing, I specifically acknowledge and agree that while I am employed by Company and for a period of one (1) year after termination of such employment (for any reason, whether voluntary or involuntary) I will not directly or indirectly in any position or capacity engage in the following activities for myself or for any other person, business, corporation, partnership or other entity: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call upon, solicit, divert, or accept, or attempt to solicit or divert any of Company’s business or prospective business from any of Company’s customers, clients, or collaborators, or prospective customers, clients, or collaborators with whom I had contact or whose dealings with Company I coordinated or supervised or about whom I obtained Confidential Information, unless I obtain prior written consent of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refer, request, solicit, induce, hire (or attempt or assist in doing any of these actions) any employee or other persons (including consultants) who may have performed work or services for Company within one (1) year prior to the termination of my employment with Company to perform work or services for any person or entity other than Company; or </w:t>
      </w:r>
    </w:p>
    <w:p>
      <w:pPr>
        <w:pStyle w:val="TextBody"/>
        <w:bidi w:val="0"/>
        <w:spacing w:before="0" w:after="0"/>
        <w:jc w:val="both"/>
        <w:rPr/>
      </w:pPr>
      <w:r>
        <w:rPr/>
      </w:r>
    </w:p>
    <w:p>
      <w:pPr>
        <w:pStyle w:val="TextBody"/>
        <w:bidi w:val="0"/>
        <w:spacing w:lineRule="auto" w:line="288" w:before="0" w:after="25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become employed by, associated with or render services to any Competing Organization in connection with any Competing Product anywhere in the world where Company does business or is planning to do business. I understand and agree that this covenant not to compete is reasonable in that I can continue my chosen profession when I leave the employment of Company so long as I do not work for companies that are Competing Organizations in connection with Competing Products and so long as I do not disclose confidential, proprietary and trade secret information of Company. I understand and agree that it does not impose an unnecessary restraint because of the nature of the confidential, proprietary and trade secret information of Company related to the Competing Products which mandates protection in the geographical areas described above. I also understand and agree that the covenant is necessary to protect the goodwill and confidential, proprietary and trade secret information of Company. </w:t>
      </w:r>
    </w:p>
    <w:p>
      <w:pPr>
        <w:pStyle w:val="TextBody"/>
        <w:bidi w:val="0"/>
        <w:spacing w:lineRule="auto" w:line="288" w:before="0" w:after="253"/>
        <w:jc w:val="both"/>
        <w:rPr>
          <w:rFonts w:ascii="Times New Roman;serif" w:hAnsi="Times New Roman;serif"/>
          <w:b w:val="false"/>
          <w:color w:val="000000"/>
          <w:sz w:val="22"/>
        </w:rPr>
      </w:pPr>
      <w:r>
        <w:rPr>
          <w:rFonts w:ascii="Times New Roman;serif" w:hAnsi="Times New Roman;serif"/>
          <w:b w:val="false"/>
          <w:color w:val="000000"/>
          <w:sz w:val="22"/>
        </w:rPr>
        <w:t xml:space="preserve">I ACKNOWLEDGE THAT THESE RESTRICTIONS SHALL APPLY AND BE BINDING REGARDLESS OF CHANGES IN MY POSITION, DUTIES, GEOGRAPHIC LOCATION, RESPONSIBILITIES OR COMPENSATION DURING MY EMPLOYMENT. </w:t>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Confirmation of Post-Employment Status</w:t>
      </w:r>
      <w:r>
        <w:rPr>
          <w:rFonts w:ascii="Times New Roman;serif" w:hAnsi="Times New Roman;serif"/>
          <w:b w:val="false"/>
          <w:color w:val="000000"/>
          <w:sz w:val="22"/>
        </w:rPr>
        <w:t xml:space="preserve">. I agree to inform Company, for a period of one year following the termination of my employment, of every place of employment and every affiliation I have in a company or business enterprise, directly or indirectly, as an employee, owner, manager, stockholder, consultant, director, officer, or partner. If I fail to so inform Company, and I have violated the obligations set forth in this Section 7, the one-year period shall run from the date that Company first learned of my activity.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06705"/>
                <wp:effectExtent l="0" t="0" r="0" b="0"/>
                <wp:wrapNone/>
                <wp:docPr id="106" name="Frame10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Small Ownership Exemption</w:t>
      </w:r>
      <w:r>
        <w:rPr>
          <w:rFonts w:ascii="Times New Roman;serif" w:hAnsi="Times New Roman;serif"/>
          <w:b w:val="false"/>
          <w:color w:val="000000"/>
          <w:sz w:val="22"/>
        </w:rPr>
        <w:t xml:space="preserve">. The provisions of this Section 7 shall not apply to ownership of less than one percent (1%) of the stock of any publicly traded corporation.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Corporate Compliance</w:t>
      </w:r>
      <w:r>
        <w:rPr>
          <w:rFonts w:ascii="Times New Roman;serif" w:hAnsi="Times New Roman;serif"/>
          <w:b w:val="false"/>
          <w:color w:val="000000"/>
          <w:sz w:val="22"/>
        </w:rPr>
        <w:t>. I agree that I will abide by all policies and procedures that Company may have in effect from time to time, including without limitation, the Code of Conduct, Acceptable Use Policy, or any other corporate compliance programs or polices. I further acknowledge that failure to abide by policies and procedures may result in discipline, including immediate termination of my employment. Nothing herein limits my at-will employment with Company, pursuant to paragraph six (6)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Definitions</w:t>
      </w:r>
      <w:r>
        <w:rPr>
          <w:rFonts w:ascii="Times New Roman;serif" w:hAnsi="Times New Roman;serif"/>
          <w:b w:val="false"/>
          <w:color w:val="000000"/>
          <w:sz w:val="22"/>
        </w:rPr>
        <w:t xml:space="preserve">. The following terms, as used in this Agreement, shall have the meanings set forth below: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“Competing Organization” shall mean persons, organizations, or any other entity, including myself, engaged in, or considering to become engaged in, research or development, production, distribution, marketing, providing or selling of a Competing Product.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“Competing Product” shall mean products, processes, or services of any person, organization, or entity other than Company, in existence or under development, which are substantially similar, may be substituted for, or applied to substantially similar end use of the products, processes or services with which I worked on in any capacity, including a sales or marketing capacity, at any time during my employment with Company or about which I acquired Confidential Information through my work with Company.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c.    </w:t>
      </w:r>
      <w:r>
        <w:rPr>
          <w:color w:val="000000"/>
        </w:rPr>
        <w:t>“</w:t>
      </w:r>
      <w:r>
        <w:rPr>
          <w:rFonts w:ascii="Times New Roman;serif" w:hAnsi="Times New Roman;serif"/>
          <w:b w:val="false"/>
          <w:color w:val="000000"/>
          <w:sz w:val="22"/>
        </w:rPr>
        <w:t xml:space="preserve">Confidential Information” shall mean all trade secrets, proprietary information, and other data or information (and any tangible evidence, record or representation thereof), whether prepared, conceived or developed by an employee of Company (including myself) or received by Company from an outside source, which is in the possession of Company (whether or not the property of Company) and which is maintained in confidence by Company, including, but not limited to: (i) technical and business information; (ii) information relating to the design, manufacture, application, know-how, research and development of Company’s products and services including Developments; (iii) sources of supply and material; (iv) operating and other cost data; (v) information relating to present, past or prospective customers, customer relationships, customer proposals, price lists and data relating to pricing of products or services; (vi) patient medical records and all other information relating to patients; and (vii) any other information not generally known in the industry, including specifically, all information contained in manuals, memoranda, formulae, plans, drawings and designs, specifications, supply sources, and records of Company whether or nor legended or otherwise identified by Company as “Confidential Information.” Notwithstanding the foregoing, the term Confidential Information shall not apply to information which senior management of Company has voluntarily disclosed to the public without restriction or which has otherwise lawfully entered the public domain. </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“Developments” shall mean all Confidential Information and all other discoveries, inventions, ideas, concepts, research and other information, processes, products, methods and improvements, or parts thereof (including, without limitation, all computer programs, algorithms, subroutines, source codes, object codes, designs, and improvements), conceived, developed, or otherwise made by me, alone or jointly with others and in any way relating to the Corporation's present or proposed services, programs or products or to tasks assigned to me during the course of my employment, whether or not patentable or subject to copyright protection and whether or not reduced to tangible form or reduced to practice.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06705"/>
                <wp:effectExtent l="0" t="0" r="0" b="0"/>
                <wp:wrapNone/>
                <wp:docPr id="107" name="Frame10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“Company” includes OptimizeRx and all other companies or entities currently or which in the future are related or affiliated with OptimizeRx.</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Miscellaneous Provisions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Entire Agreement and Amendment</w:t>
      </w:r>
      <w:r>
        <w:rPr>
          <w:rFonts w:ascii="Times New Roman;serif" w:hAnsi="Times New Roman;serif"/>
          <w:b w:val="false"/>
          <w:color w:val="000000"/>
          <w:sz w:val="22"/>
        </w:rPr>
        <w:t>. This Agreement contains the entire and only agreement between Company and me respecting the subject matter hereof, and it supersedes all prior agreements and representations with regard to the subject matter hereof; provided however, to the extent I have a prior written agreement with Company regarding confidentiality, noncompetition, nonsolicitation, and/or developments, that agreement shall remain in full force and effect, as applicable. In the event of any inconsistency between this Agreement and any other contract between Company and me, the provisions of this Agreement shall prevail (unless such other contract expressly supersedes this Agreement). No modification of this Agreement shall be binding upon me or Company unless made in writing and signed by an authorized officer of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Survival and Waivers</w:t>
      </w:r>
      <w:r>
        <w:rPr>
          <w:rFonts w:ascii="Times New Roman;serif" w:hAnsi="Times New Roman;serif"/>
          <w:b w:val="false"/>
          <w:color w:val="000000"/>
          <w:sz w:val="22"/>
        </w:rPr>
        <w:t xml:space="preserve">. This Agreement will remain in effect if I am transferred, promoted, or reassigned to work on functions other than my present functions anywhere within Company. My obligations under this Agreement shall survive the termination of my employment with Company regardless of the manner of or reasons for such termination, and regardless of whether such termination constitutes a breach of any other agreement I may have with Company. This Agreement shall inure to the benefit of, and be binding upon, Company and me and our respective heirs, legal representatives, successors and assigns. This Agreement may be assigned by Company for no additional consideration and without my consent to any successor entity in the event of a merger, acquisition, change of control, or sale of all or a part of the business or assets of Company. I acknowledge that the term “Company,” as used in this Agreement, shall also mean any such successor entity as the context requires. Failure by Company to insist upon strict compliance with any term of this Agreement shall not be deemed a waiver of that or any other right.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Interpretation</w:t>
      </w:r>
      <w:r>
        <w:rPr>
          <w:rFonts w:ascii="Times New Roman;serif" w:hAnsi="Times New Roman;serif"/>
          <w:b w:val="false"/>
          <w:color w:val="000000"/>
          <w:sz w:val="22"/>
        </w:rPr>
        <w:t xml:space="preserve">. In the event that any provision of this Agreement shall be determined to be unenforceable by any court of competent jurisdiction by reason of its extending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immediately preceding sentence, any provision of this Agreement shall be determined to be invalid, illegal or otherwise unenforceable by any court of competent jurisdiction, the validity, legality and enforceability of the other provisions of this Agreement shall not be affected. Except as otherwise provided in this paragraph, any invalid, illegal or unenforceable provision of this Agreement shall be severable and all other provisions hereof shall remain in full force and effect.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Equitable Relief</w:t>
      </w:r>
      <w:r>
        <w:rPr>
          <w:rFonts w:ascii="Times New Roman;serif" w:hAnsi="Times New Roman;serif"/>
          <w:b w:val="false"/>
          <w:color w:val="000000"/>
          <w:sz w:val="22"/>
        </w:rPr>
        <w:t xml:space="preserve">. I acknowledge and agree that (i) the provisions set forth in this Agreement are necessary and reasonable to protect Company’s Confidential Information and goodwill; (ii) the specific time, geography and scope provisions set forth in Section 7 are reasonable and necessary to protect Company’s business interests; and (iii) in the event of my breach of any of the agreements set forth in this Agreement, Company would suffer substantial irreparable harm and that Company would not have an adequate remedy at law for such breach. In recognition of the foregoing, I agree that in the event of a breach or threatened breach of any of these covenants, in addition to such other remedies as Company may have at law, without posting any bond or security, Company shall be entitled to seek and obtain equitable relief, in the form of specific performance, or temporary, preliminary or permanent injunctive relief, or any other equitable remedy which then may be available.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06705"/>
                <wp:effectExtent l="0" t="0" r="0" b="0"/>
                <wp:wrapNone/>
                <wp:docPr id="108" name="Frame10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508"/>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Agreement shall be governed by, and construed and enforced in accordance with, the substantive laws of the state of Nevada without regard to its principles of conflicts of laws, and shall be deemed to be effective as of the first day of my employment by Company. Both parties further agree that any action, demand, claim or counterclaim relating to this Agreement shall be resolved by a judge alone, and both parties hereby waive and forever renounce the right to a trial before a civil jury. </w:t>
      </w:r>
    </w:p>
    <w:p>
      <w:pPr>
        <w:pStyle w:val="TextBody"/>
        <w:bidi w:val="0"/>
        <w:spacing w:lineRule="auto" w:line="288" w:before="0" w:after="25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BY PLACING MY SIGNATURE HEREUNDER, I ACKNOWLEDGE THAT I HAVE HAD ADEQUATE OPPORTUNITY TO REVIEW THESE TERMS AND CONDITIONS AND TO REFLECT UPON AND CONSIDER THE TERMS AND CONDITIONS OF THIS AGREEMENT. I FURTHER ACKNOWLEDGE THAT I FULLY UNDERSTAND ITS TERMS AND THAT I VOLUNTARILY EXECUTED THIS AGREEMENT.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EMPLOYEE:</w:t>
      </w:r>
    </w:p>
    <w:p>
      <w:pPr>
        <w:pStyle w:val="TextBody"/>
        <w:bidi w:val="0"/>
        <w:spacing w:before="0" w:after="0"/>
        <w:jc w:val="both"/>
        <w:rPr/>
      </w:pPr>
      <w:r>
        <w:rPr/>
      </w:r>
    </w:p>
    <w:tbl>
      <w:tblPr>
        <w:tblW w:w="2901" w:type="dxa"/>
        <w:jc w:val="left"/>
        <w:tblInd w:w="0" w:type="dxa"/>
        <w:tblLayout w:type="fixed"/>
        <w:tblCellMar>
          <w:top w:w="28" w:type="dxa"/>
          <w:left w:w="28" w:type="dxa"/>
          <w:bottom w:w="28" w:type="dxa"/>
          <w:right w:w="28" w:type="dxa"/>
        </w:tblCellMar>
      </w:tblPr>
      <w:tblGrid>
        <w:gridCol w:w="228"/>
        <w:gridCol w:w="200"/>
        <w:gridCol w:w="202"/>
        <w:gridCol w:w="109"/>
        <w:gridCol w:w="109"/>
        <w:gridCol w:w="109"/>
        <w:gridCol w:w="109"/>
        <w:gridCol w:w="109"/>
        <w:gridCol w:w="109"/>
        <w:gridCol w:w="239"/>
        <w:gridCol w:w="239"/>
        <w:gridCol w:w="242"/>
        <w:gridCol w:w="175"/>
        <w:gridCol w:w="175"/>
        <w:gridCol w:w="175"/>
        <w:gridCol w:w="109"/>
        <w:gridCol w:w="109"/>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Date: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8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Print Name:</w:t>
            </w:r>
          </w:p>
        </w:tc>
        <w:tc>
          <w:tcPr>
            <w:tcW w:w="37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ACCEPTED: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OPTIMIZERx CORPORATION</w:t>
      </w:r>
    </w:p>
    <w:p>
      <w:pPr>
        <w:pStyle w:val="TextBody"/>
        <w:bidi w:val="0"/>
        <w:spacing w:before="0" w:after="0"/>
        <w:ind w:left="0" w:right="0" w:hanging="504"/>
        <w:jc w:val="both"/>
        <w:rPr/>
      </w:pPr>
      <w:r>
        <w:rPr/>
      </w:r>
    </w:p>
    <w:tbl>
      <w:tblPr>
        <w:tblW w:w="2699" w:type="dxa"/>
        <w:jc w:val="left"/>
        <w:tblInd w:w="0" w:type="dxa"/>
        <w:tblLayout w:type="fixed"/>
        <w:tblCellMar>
          <w:top w:w="28" w:type="dxa"/>
          <w:left w:w="28" w:type="dxa"/>
          <w:bottom w:w="28" w:type="dxa"/>
          <w:right w:w="28" w:type="dxa"/>
        </w:tblCellMar>
      </w:tblPr>
      <w:tblGrid>
        <w:gridCol w:w="228"/>
        <w:gridCol w:w="200"/>
        <w:gridCol w:w="202"/>
        <w:gridCol w:w="109"/>
        <w:gridCol w:w="109"/>
        <w:gridCol w:w="109"/>
        <w:gridCol w:w="109"/>
        <w:gridCol w:w="109"/>
        <w:gridCol w:w="109"/>
        <w:gridCol w:w="129"/>
        <w:gridCol w:w="129"/>
        <w:gridCol w:w="131"/>
        <w:gridCol w:w="109"/>
        <w:gridCol w:w="109"/>
        <w:gridCol w:w="109"/>
        <w:gridCol w:w="109"/>
        <w:gridCol w:w="109"/>
        <w:gridCol w:w="109"/>
        <w:gridCol w:w="109"/>
        <w:gridCol w:w="109"/>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Date: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Name:</w:t>
            </w:r>
          </w:p>
        </w:tc>
        <w:tc>
          <w:tcPr>
            <w:tcW w:w="37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Its:</w:t>
            </w:r>
          </w:p>
        </w:tc>
        <w:tc>
          <w:tcPr>
            <w:tcW w:w="1026" w:type="dxa"/>
            <w:gridSpan w:val="9"/>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center"/>
        <w:rPr/>
      </w:pPr>
      <w:bookmarkStart w:id="1" w:name="ex1024amendmentno4.htm"/>
      <w:bookmarkStart w:id="2" w:name="ksex1024amendmentno4"/>
      <w:bookmarkEnd w:id="1"/>
      <w:bookmarkEnd w:id="2"/>
      <w:r>
        <w:rPr/>
        <w:drawing>
          <wp:inline distT="0" distB="0" distL="0" distR="0">
            <wp:extent cx="10048875" cy="13001625"/>
            <wp:effectExtent l="0" t="0" r="0" b="0"/>
            <wp:docPr id="10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06705"/>
                <wp:effectExtent l="0" t="0" r="0" b="0"/>
                <wp:wrapNone/>
                <wp:docPr id="110" name="Frame10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on August 18, 2025</w:t>
                      </w:r>
                    </w:p>
                  </w:txbxContent>
                </v:textbox>
                <w10:wrap type="none"/>
              </v:rect>
            </w:pict>
          </mc:Fallback>
        </mc:AlternateContent>
      </w:r>
    </w:p>
    <w:p>
      <w:pPr>
        <w:pStyle w:val="TextBody"/>
        <w:bidi w:val="0"/>
        <w:jc w:val="center"/>
        <w:rPr>
          <w:color w:val="FFFFFF"/>
          <w:sz w:val="2"/>
        </w:rPr>
      </w:pPr>
      <w:r>
        <w:rPr>
          <w:color w:val="FFFFFF"/>
          <w:sz w:val="2"/>
        </w:rPr>
        <w:t xml:space="preserve">Execution Version 168005731_4 AMENDMENT NO. 4 TO FINANCING AGREEMENT AMENDMENT NO. 4 TO FINANCING AGREEMENT, dated as of March 2, 2026 (this "Amendment"), to the Financing Agreement, dated as of October 11, 2023 (as amended, restated, supplemented or otherwise modified from time to time, including by that certain Joinder Agreement, dated as of October 24, 2023, by and among the Lead Borrower (as defined below), Orion Merger Sub, Inc. (“Merger Sub”) and the Collateral Agent (as defined below), that certain Joinder and Assumption Agreement, dated as of October 25, 2023, by and among the Lead Borrower, Merger Sub, Healthy Offers, Inc. and the Collateral Agent and as amended by Amendment No. 1 to Financing Agreement, dated as of March 29, 2024, by Amendment No. 2 to Financing Agreement, dated as of September 30, 2024 and by Amendment No. 3 to Financing Agreement, dated as of February 5, 2025, the "Financing Agreement"), by and among OptimizeRx Corporation (the "Lead Borrower"), the lenders from time to time party thereto (each a "Lender" and, collectively, the "Lenders") and Blue Torch Finance, LLC (“Blue Torch”), as collateral agent for the Lenders (in such capacity, together with its successors and assigns in such capacity, the “Collateral Agent”), and Blue Torch, as administrative agent for the Lenders (in such capacity, together with its successors and assigns in such capacity, the "Administrative Agent" and together with the Collateral Agent, each an "Agent" and, collectively, the "Agents"). WHEREAS, pursuant to Section 12.02 of the Financing Agreement, the Loan Parties have requested, and, subject to the following conditions and notwithstanding anything to the contrary in the Financing Agreement, the Agents and the Required Lenders have agreed to, amend the Financing Agreement on the terms and conditions set forth herein. NOW THEREFORE, in consideration of the premises and other good and valuable consideration, the receipt and sufficiency of which are hereby acknowledged, the parties hereto hereby agree as follows: 1. Definitions. All terms used herein that are defined in the Financing Agreement and not otherwise defined herein shall have the meanings assigned to them in the Financing Agreement. 2. Amendment. The Financing Agreement is hereby amended (i) to delete the stricken text (indicated textually in the same manner as the following example: stricken text and (ii) to add the underlined text (indicated textually in the same manner as the following example: double-underlined text), in each case, as set forth in the marked copy of the Financing Agreement attached as Annex A hereto and made a part hereof for all purposes. 4. Representations and Warranties. Each Loan Party hereby represents and warrants to the Agents and the Lenders as follows: (a) Representations and Warranties; No Event of Default. The representations and warranties herein, in Article VI of the Financing Agreement and in each other Loan Document, certificate or other writing delivered by or on behalf of the Loan Parties to any Agent or any Lender pursuant to the Financing Agreement or any other Loan Document on or immediately prior to the Amendment Effective Date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-2- 168005731_4 correct in all respects subject to such qualification) on and as of such date as though made on and as of such date, except to the extent that any such representation or warranty expressly relates solely to an earlier date (in which case such representation or warranty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 no Default or Event of Default has occurred and is continuing as of the Amendment Effective Date or would result from this Amendment becoming effective in accordance with its terms. (b) Organization, Good Standing, Etc. Each Loan Party (i) is a corporation, limited liability company or limited partnership duly organized, validly existing and in good standing under the laws of the jurisdiction of its organization, (ii) has all requisite power and authority to conduct its business as now conducted and as presently contemplated, and to execute and deliver this Amendment, and to consummate the transactions contemplated hereby and by the Financing Agreement, as amended hereby, and (iii) is duly qualified to do business in, and is in good standing in each jurisdiction where the character of the properties owned or leased by it or in which the transaction of its business makes such qualification necessary except (solely for the purposes of this subclause (iii)) where the failure to be so qualified and be in good standing could not reasonably be expected to have a Material Adverse Effect. (c) Authorization, Etc. The execution and delivery by each Loan Party of this Amendment and each other Loan Document to which it is or will be a party, and the performance by it of the Financing Agreement, as amended hereby, (i) are within the power and authority of such Loan Party and have been duly authorized by all necessary action, (ii) do not and will not contravene any of its Governing Documents, (iii) do not and will not result in or require the creation of any Lien (other than pursuant to any Loan Document) upon or with respect to any of its properties, (iv) do not and will not result in any default, noncompliance, suspension, revocation, impairment, forfeiture or nonrenewal of any permit, license, authorization or approval applicable to its operations or any of its properties, except (solely for the purposes of this subclause (iv)) to the extent that such default, noncompliance, suspension, revocation, impairment, forfeiture or nonrenewal could not reasonably be expected to have a Material Adverse Effect and (v) do not contravene any applicable Requirement of Law or any Contractual Obligation binding on or otherwise affecting it or any of its properties, except (solely for the purposes of this subclause (v)) to the extent it could not reasonably be expected to have a Material Adverse Effect. (d) Enforceability of Loan Documents. This Amendment is, and each other Loan Document to which any Loan Party is or will be a party, when delivered hereunder, will be, a legal, valid and binding obligation of such Person, enforceable against such Person in accordance with its terms, except as enforceability may be limited by applicable bankruptcy, insolvency, reorganization, moratorium or other similar laws affecting creditors' rights generally and by principles of equity. (e) Governmental Approvals. No authorization or approval or other action by, and no notice to or filing with, any Governmental Authority is required in connection with the due execution, delivery and performance by any Loan Party of any Loan Document to which it is or will be a party. 5. Conditions to Effectiveness. This Amendment shall become effective only upon satisfaction in full, in a manner satisfactory to the Agents, of the following conditions precedent (the first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-3- 168005731_4 upon which all such conditions shall have been satisfied being hereinafter referred to as the "Amendment Effective Date"): (a) Payment of Fees, Etc. The Borrowers shall have paid on or before the Amendment Effective Date all fees, costs, expenses and taxes then payable, if any, pursuant to Section 2.06 or 12.04 of the Financing Agreement. (b) Delivery of Documents. The Collateral Agent shall have received on or before the Amendment Effective Date a copy of this Amendment, duly executed by the Loan Parties, each Agent and the Required Lenders. 6. Continued Effectiveness of the Financing Agreement and Other Loan Documents. Each Loan Party hereby (a) acknowledges and consents to this Amendment, (b) confirms and agrees that the Financing Agreement and each other Loan Document to which it is a party is, and shall continue to be, in full force and effect and is hereby ratified and confirmed in all respects, except that on and after the Amendment Effective Date, all references in any such Loan Document to "the Financing Agreement", the "Agreement", "thereto", "thereof", "thereunder" or words of like import referring to the Financing Agreement shall mean the Financing Agreement as amended by this Amendment, and (c) confirms and agrees that, to the extent that any such Loan Document purports to assign or pledge to the Collateral Agent, for the benefit of the Agents and the Lenders, or to grant to the Collateral Agent, for the benefit of the Agents and the Lenders, a security interest in or Lien on any Collateral as security for the Obligations of the Loan Parties from time to time existing in respect of the Financing Agreement (as amended hereby) and the other Loan Documents, such pledge, assignment and/or grant of the security interest or Lien is hereby ratified and confirmed in all respects. This Amendment does not and shall not affect any of the obligations of the Loan Parties, other than as expressly provided herein, including, without limitation, the Loan Parties' obligations to repay the Loans in accordance with the terms of Financing Agreement or the obligations of the Loan Parties under any Loan Document to which they are a party, all of which obligations shall remain in full force and effect. Except as expressly provided herein, the execution, delivery and effectiveness of this Amendment shall not operate as a waiver of any right, power or remedy of any Agent or any Lender under the Financing Agreement or any other Loan Document nor constitute a waiver of any provision of the Financing Agreement or any other Loan Document. 7. No Novation. Nothing herein contained shall be construed as a substitution or novation of the Obligations outstanding under the Financing Agreement or instruments securing the same, which shall remain in full force and effect, except as modified hereby. 8. No Representations by Agents or Lenders. Each Loan Party hereby acknowledges that it has not relied on any representation, written or oral, express or implied, by any Agent or any Lender, other than those expressly contained herein, in entering into this Amendment. 9. Release. Each Loan Party hereby acknowledges and agrees that: (a) neither it nor any of its Subsidiaries has any claim or cause of action against any Agent or any Lender (or any of the directors, officers, employees, agents, attorneys or consultants of any of the foregoing), and (b) the Agents and the Lenders have heretofore properly performed and satisfied in a timely manner all of their obligations to the Loan Parties, and all of their Subsidiaries and Affiliates. Notwithstanding the foregoing, the Agents and the Lenders wish (and the Loan Parties agree) to eliminate any possibility that any past conditions, acts, omissions, events or circumstances would impair or otherwise adversely affect any of their rights,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-4- 168005731_4 security and/or remedies. Accordingly, for and in consideration of the agreements contained in this Amendment and other good and valuable consideration, each Loan Party (for itself and its Subsidiaries and Affiliates and the successors, assigns, heirs and representatives of each of the foregoing) (collectively, the "Releasors") does hereby fully, finally, unconditionally and irrevocably release, waive and forever discharge the Agents and the Lenders, together with their respective Affiliates and Related Funds, and each of the directors, officers, employees, agents, attorneys and consultants of each of the foregoing (collectively, the "Released Parties"), from any and all debts, claims, allegations,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in each case, on or prior to the Amendment Effective Date directly arising out of, connected with or related to this Amendment, the Financing Agreement or any other Loan Document, or any act, event or transaction related or attendant thereto, or the agreements of any Agent or any Lender contained therein, or the possession, use, operation or control of any of the assets of any Loan Party, or the making of any Loans or other advances, or the management of such Loans or other advances or the Collateral. Each Loan Party represents and warrants that it has no knowledge of any claim by any Releasor against any Released Party or of any facts or acts or omissions of any Released Party which on the date hereof would be the basis of a claim by any Releasor against any Released Party which would not be released hereby. 10. Further Assurances. The Loan Parties shall execute any and all further documents, agreements and instruments, and take all further actions, as may be required under Applicable Law or as any Agent may reasonably request, in order to effect the purposes of this Amendment. 11. Miscellaneous. (a) This Amendment may be executed in any number of counterparts and by different parties hereto in separate counterparts, each of which shall be deemed to be an original but all of which taken together shall constitute one and the same agreement. Delivery of an executed counterpart of this Amendment by facsimile or electronic mail shall be equally effective as delivery of an original executed counterpart of this Amendment. (b) Section and paragraph headings herein are included for convenience of reference only and shall not constitute a part of this Amendment for any other purpose. (c) This Amendment shall be governed by, and construed in accordance with, the laws of the State of New York. (d) Each Loan Party hereby acknowledges and agrees that this Amendment constitutes a "Loan Document" under the Financing Agreement. Accordingly, it shall be an immediate Event of Default under the Financing Agreement if (i) any representation or warranty made by any Loan Party under or in connection with this Amendment shall have been incorrect in any respect when made or deemed made, or (ii) any Loan Party shall fail to perform or observe any term, covenant or agreement contained in this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-5- 168005731_4 (e) Any provision of this Amendment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Amendment No. 4 to Financing Agreement IN WITNESS WHEREOF, the parties hereto have caused this Amendment to be executed and delivered as of the date set forth on the first page hereof. BORROWERS: OPTIMIZERX CORPORATION By: Name: Edward Stelmakh Title: Chief Finance and Strategy Officer HEALTHY OFFERS, INC. By: Name: Edward Stelmakh Title: Chief Finance and Strategy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Amendment No. 4 to Financing Agreement COLLATERAL AGENT, ADMINISTRATIVE AGENT AND LENDER: BLUE TORCH FINANCE, LLC By: Name: Kevin Genda Title: Managing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Amendment No. 4 to Financing Agreement LENDERS: BTC HOLDINGS SBAF FUND LLC By: Blue Torch Credit Opportunities SBAF Fund LP, its sole member By: Blue Torch Credit Opportunities SBAF GP, LLC, its general partner By: KPG BTC Management LLC, its sole member By: Name: Kevin Genda Title: Managing Member BTC HOLDINGS KRS FUND LLC By: Blue Torch Credit Opportunities KRS Fund LP, its sole member By: Blue Torch Credit Opportunities KRS GP, LLC, its general partner By: KPG BTC Management LLC, its sole member By: Name: Kevin Genda Title: Managing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Amendment No. 4 to Financing Agreement BLUE TORCH CREDIT OPPORTUNITIES UNLEVERED FUND III LP By: Blue Torch Credit Opportunities GP III LLC, its general partner By: KPG BTC Management LLC, its sole member By: Name: Kevin Genda Title: Managing Member BTC HOLDINGS FUND III LLC By: Blue Torch Credit Opportunities Fund III LP, its sole member By: Blue Torch Credit Opportunities GP III LLC, its general partner By: KPG BTC Management LLC, its sole member By: Name: Kevin Genda Title: Managing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Amendment No. 4 to Financing Agreement BTC HOLDINGS FUND III-B LLC By: Blue Torch Credit Opportunities Fund III LP, its sole member By: Blue Torch Credit Opportunities GP III LLC, its general partner By: KPG BTC Management LLC, its sole member By: Name: Kevin Genda Title: Managing Member BTC HOLDINGS SC FUND LLC By: Blue Torch Credit Opportunities SC Master Fund LP, its sole member By: Blue Torch Credit Opportunities SC GP LLC, its general partner By: KPG BTC Management LLC, its sole member By: Name: Kevin Genda Title: Managing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BTC OFFSHORE HOLDINGS FUND III-B LLC By: Blue Torch Offshore Credit Opportunities Master Fund III LP, its sole member By: Blue Torch Offshore Credit Opportunities GP III LLC, its general partner By: KPG BTC Management LLC, its sole member By: Name: Kevin Genda Title: Managing Member BTC OFFSHORE HOLDINGS FUND-D LLC By: Blue Torch Offshore Credit Opportunities Master Fund III LP, its sole member By: Blue Torch Offshore Credit Opportunities GP III LLC, its general partner By: KPG BTC Management LLC, its sole member By: Name: Kevin Genda Title: Managing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3"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4"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VersionConformed thru 4th Amendment 138813885_11168006499_3 FINANCING AGREEMENT Dated as of October 11, 2023 by and among OPTIMIZERX CORPORATION, as the Lead Borrower, THE LENDERS FROM TIME TO TIME PARTY HERETO, as Lenders, and BLUE TORCH FINANCE, LLC, as Administrative Agent and Collateral Agent FOR PURPOSES OF SECTIONS 1272, 1273 AND 1275 OF THE INTERNAL REVENUE CODE, THE TERM LOANS ARE BEING ISSUED WITH ORIGINAL ISSUE DISCOUNT. REQUESTS FOR INFORMATION REGARDING THE ORIGINAL ISSUE DISCOUNT ON THE TERM LOANS MAY BE DIRECTED TO THE CHIEF FINANCIAL OFFICER AT (248) 651-6568.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5"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138813885_11168006499_3 Table of Contents Page ARTICLE I DEFINITIONS; CERTAIN TERMS 1 Section 1.01 Definitions 1 Section 1.02 Terms Generally 42 Section 1.03 Certain Matters of Construction 42 Section 1.04 Accounting and Other Terms 43 Section 1.05 Time References 44 Section 1.06 Interest Rates 44 ARTICLE II THE LOANS 44 Section 2.01 Commitments 44 Section 2.02 Making the Loans 45 Section 2.03 Repayment of Loans; Evidence of Debt 45 Section 2.04 Interest 46 Section 2.05 Reduction of Commitment; Prepayment of Loans 47 Section 2.06 Fees 50 Section 2.07 SOFR Option 51 Section 2.08 Funding Losses 53 Section 2.09 Taxes 53 Section 2.10 Increased Costs and Reduced Return 57 Section 2.11 Changes in Law; Impracticability or Illegality 58 ARTICLE III [INTENTIONALLY OMITTED] 59 ARTICLE IV APPLICATION OF PAYMENTS; DEFAULTING LENDERS 59 Section 4.01 Payments; Computations and Statements 59 Section 4.02 Sharing of Payments 60 Section 4.03 Apportionment of Payments 61 Section 4.04 Lead Borrower; Joint and Several Liability of the Borrowers. 61 ARTICLE V CONDITIONS TO LOANS 63 Section 5.01 Conditions Precedent to Effectiveness 63 Section 5.02 Conditions Precedent to Closing Date 66 ARTICLE VI REPRESENTATIONS AND WARRANTIES 67 Section 6.01 Representations and Warranties 67 ARTICLE VII COVENANTS OF THE LOAN PARTIES AND OTHER COLLATERAL MATTERS 77 Section 7.01 Affirmative Covenants 77 Section 7.02 Negative Covenants 88 Section 7.03 Financial Covenants 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6"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138813885_11168006499_3 ARTICLE VIII CASH MANAGEMENT ARRANGEMENTS AND OTHER COLLATERAL MATTERS 93 Section 8.01 Cash Management Arrangements 93 ARTICLE IX EVENTS OF DEFAULT 94 Section 9.01 Events of Default 94 ARTICLE X AGENTS 97 Section 10.01 Appointment 97 Section 10.02 Nature of Duties; Delegation 98 Section 10.03 Rights, Exculpation, Etc. 99 Section 10.04 Reliance 100 Section 10.05 Indemnification 100 Section 10.06 Agents Individually 101 Section 10.07 Successor Agent 101 Section 10.08 Collateral Matters 101 Section 10.09 Agency for Perfection 103 Section 10.10 No Reliance on any Agent's Customer Identification Program 104 Section 10.11 No Third Party Beneficiaries 104 Section 10.12 No Fiduciary Relationship 104 Section 10.13 Reports; Confidentiality; Disclaimers 104 Section 10.14 Collateral Custodian 105 Section 10.15 [Reserved]. 105 Section 10.16 [Reserved]. 105 Section 10.17 Collateral Agent May File Proofs of Claim 105 Section 10.18 Erroneous Distribution 106 ARTICLE XI GUARANTY 106 Section 11.01 Guaranty 106 Section 11.02 Guaranty Absolute 107 Section 11.03 Waiver 108 Section 11.04 Continuing Guaranty; Assignments 108 Section 11.05 Subrogation 108 Section 11.06 Contribution 109 ARTICLE XII MISCELLANEOUS 110 Section 12.01 Notices, Etc. 110 Section 12.02 Amendments, Etc. 112 Section 12.03 No Waiver; Remedies, Etc. 115 Section 12.04 Expenses; Attorneys' Fees 115 Section 12.05 Right of Set-off 116 Section 12.06 Severability 116 Section 12.07 Assignments and Participations. 116 Section 12.08 Counterparts 121 Section 12.09 GOVERNING LAW 121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7"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138813885_11168006499_3 Section 12.10 CONSENT TO JURISDICTION; SERVICE OF PROCESS AND VENUE 121 Section 12.11 WAIVER OF JURY TRIAL, ETC. 122 Section 12.12 Consent by the Agents and Lenders 122 Section 12.13 No Party Deemed Drafter 123 Section 12.14 Reinstatement; Certain Payments 123 Section 12.15 Indemnification; Limitation of Liability for Certain Damages 123 Section 12.16 Records 124 Section 12.17 Binding Effect 124 Section 12.18 Highest Lawful Rate 124 Section 12.19 Confidentiality 126 Section 12.20 Public Disclosure 126 Section 12.21 Integration 127 Section 12.22 USA PATRIOT Act 127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8"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138813885_11168006499_3 SCHEDULE AND EXHIBITS Schedule 1.01(A) Lenders and Lenders' Commitments Schedule 1.01(B) Facilities Schedule 6.01(e) Capitalization; Subsidiaries Schedule 6.01(f) Litigation Schedule 6.01(l) Nature of Business Schedule 6.01(q) Environmental Matters Schedule 6.01(r) Insurance Schedule 6.01(u) Intellectual Property Schedule 6.01(v) Material Contracts Schedule 7.02(a) Existing Liens Schedule 7.02(b) Existing Indebtedness Schedule 7.02(e) Existing Investments Schedule 7.02(k) Limitations on Dividends and Other Payment Restrictions Schedule 8.01 Cash Management Accounts Exhibit A-1 Form of Joinder Agreement Exhibit A-2 Form of Joinder and Assumption Agreement Exhibit B Form of Assignment and Acceptance Exhibit C Form of Notice of Borrowing Exhibit D Form of SOFR Notice Exhibit E Form of Compliance Certificate Exhibit 2.09(d) Forms of U.S. Tax Compliance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9"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FINANCING AGREEMENT Financing Agreement, dated as of October 11, 2023, by and among OptimizeRx Corporation, a Nevada corporation (the “Lead Borrower” and together with any other Person that becomes a “Borrower” hereunder pursuant to a Joinder Agreement, each a “Borrower” and collectively, the “Borrowers”), the lenders from time to time party hereto (each a "Lender" and collectively, the "Lenders"), Blue Torch Finance, LLC, a Delaware limited liability company ("Blue Torch"), as collateral agent for the Lenders (in such capacity, together with its successors and assigns in such capacity, the "Collateral Agent"), and Blue Torch, as administrative agent for the Lenders (in such capacity, together with its successors and assigns in such capacity, the "Administrative Agent" and together with the Collateral Agent, each an "Agent" and collectively, the "Agents"). RECITALS The Borrowers have asked the Lenders to extend credit to the Borrowers consisting of a term loan in the aggregate principal amount of $40,000,000. The proceeds of the term loan shall be used to fund, together with cash on hand of the Lead Borrower, the consideration for the Closing Date Merger. The Lenders are severally, and not jointly, willing to extend such credit to the Borrowers subject to the terms and conditions hereinafter set forth. In consideration of the premises and the covenants and agreements contained herein, the parties hereto agree as follows: ARTICLE I DEFINITIONS; CERTAIN TERMS Section 1.01 Definitions. As used in this Agreement, the following terms shall have the respective meanings indicated below: "Account Debtor" means, with respect to any Person, each debtor, customer or obligor in any way obligated on or in connection with any Account of such Person. "Acquired EBITDA" shall mean, with respect to any Person or business acquired pursuant to an Acquisition permitted hereunder for any period, the amount for such period of Consolidated EBITDA of any such Person or business so acquired (determined using such definitions as if references to the Lead Borrower and its Subsidiaries therein were to such Person or business), as calculated by the Borrowers. "Acquisition" means the acquisition (whether by means of a merger, consolidation or otherwise) of all of the Equity Interests of any Person or all or substantially all of the assets of (or any division or business line of) any Person. "Action" has the meaning specified therefor in Section 12.12. 138813885_11168006499_3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0"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138813885_11168006499_3 "Additional Amount" has the meaning specified therefor in Section 2.09(a). "Adjusted Term SOFR" means, for purposes of any calculation, an interest rate per annum equal to the sum of (a) Term SOFR for such calculation plus (b) the Term SOFR Adjustment. "Administrative Agent" has the meaning specified therefor in the preamble hereto. "Administrative Agent's Accounts" means one or more accounts designated by the Administrative Agent at a bank designated by the Administrative Agent from time to time as the accounts into which the Loan Parties shall make all payments to the Administrative Agent for the benefit of the Agents and the Lenders under this Agreement and the other Loan Documents. "Affiliate" means, with respect to any Person, any other Person that directly or indirectly through one or more intermediaries, controls, is controlled by, or is under common control with, such Person. For purposes of this definition, "control" of a Person means the power, directly or indirectly, either to (a) vote 10% or more of the Equity Interests having ordinary voting power for the election of members of the Board of Directors of such Person or (b) direct or cause the direction of the management and policies of such Person whether by contract or otherwise. Notwithstanding anything herein to the contrary, in no event shall any Agent or any Lender be considered an "Affiliate" of any Loan Party. "After Acquired Property" has the meaning specified therefor in Section 6.01(a). "Agency Fee" has the meaning specified therefor in the Fee Letter. "Agent" and "Agents" have the respective meanings specified therefor in the preamble hereto. "Agreement" means this Financing Agreement, including all amendments, modifications and supplements and any exhibits or schedules to any of the foregoing, and shall refer to the Agreement as the same may be in effect at the time such reference becomes operative. "Anti-Corruption Laws" means all Requirements of Law concerning or relating to bribery or corruption, including, without limitation, the United States Foreign Corrupt Practices Act of 1977, as amended (the "FCPA"), the UK Bribery Act of 2010, and the anti-bribery and anti-corruption laws and regulations of those jurisdictions in which the Loan Parties do business. "Anti-Money Laundering Laws" means all Requirements of Law concerning or relating to terrorism or money laundering, including, without limitation, the Money Laundering Control Act of 1986 (18 U.S.C. §§ 1956-1957), the USA PATRIOT Act and the Currency and Foreign Transactions Reporting Act (also known as the "Bank Secrecy Act," 31 U.S.C. §§ 5311-5332 and 12 U.S.C. §§ 1818(s), 1820(b) and §§ 1951-1959) and the rules and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1"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138813885_11168006499_3 thereunder, and any law prohibiting or directed against the financing or support of terrorist activities (e.g., 18 U.S.C. §§ 2339A and 2339B). "Applicable Margin" means, as of any date of determination, with respect to the interest rate of (a) any Reference Rate Loan or any portion thereof, 7.50% per annum, and (b) any SOFR Loan or any portion thereof, 8.50% per annum. "Applicable Premium" means as of the date of the occurrence of an Applicable Premium Trigger Event: (i) during the period from and after the Closing Date up to and including the date that is the first anniversary of the Closing Date (the "First Period"), an amount equal to the Yield Maintenance Amount; (ii) during the period after the First Period up to and including the date that is the second anniversary of the Closing Date (the "Second Period"), an amount equal to 2.0% of the aggregate principal amount of Term Loans subject to the Applicable Premium Trigger Event on such date; (iii) during the period after the Second Period up to and including the date that is the thirdfourth anniversary of the Closing Date, an amount equal to 1.0% of the aggregate principal amount of Term Loans subject to the Applicable Premium Trigger Event on such date; and (iv) thereafter, zero; "Applicable Premium Interest Rate" means 8.50% per annum plus the highest Adjusted Term SOFR in effect for a SOFR Loan on the date of the Applicable Premium Trigger Event (or, if no SOFR Loans are outstanding on the date of such Applicable Premium Trigger Event, 7.50% per annum plus the Reference Rate in effect on the date of such Applicable Premium Trigger Event); provided that if a Default or Event of Default (including pursuant to Section 9.01(g) or (h) of this Agreement) has occurred and is continuing on the date of the Applicable Premium Trigger Event, the Applicable Premium Interest Rate shall be 9.50% per annum plus the Reference Rate in effect on the date of such Applicable Premium Trigger Event. "Applicable Premium Subject Amount" means the principal amount of Term Loans paid, required to be paid, or in the case of an Applicable Premium Trigger Event specified in clauses (b), (c) or (d) of the definition thereof, deemed paid on the date of the occurrence of the Applicable Premium Trigger Event. "Applicable Premium Trigger Event" means (a) any payment, redemption, repurchase, prepayment or repayment by any Loan Party of all, or any part, of the principal balance of any Term Loan for any reason (including, without limitation, any optional prepayment or mandatory prepayment other than (x) any prepayment made pursuant to Section 2.05(c)(i) and (y) any regularly scheduled amortization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2"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138813885_11168006499_3 payment made pursuant to the first sentence of Section 2.03(a)) whether before or after (i) the occurrence of an Event of Default, or (ii) the commencement of any Insolvency Proceeding, and notwithstanding any acceleration (for any reason) of the Obligations; (b) the acceleration of the Obligations for any reason, including, without limitation, acceleration in accordance with Section 9.01, including as a result of the commencement of an Insolvency Proceeding; (c) the satisfaction, release, payment, restructuring, reorganization, replacement, reinstatement, defeasance or compromise of any of the Obligations in any Insolvency Proceeding, foreclosure (whether by power of judicial proceeding or otherwise) or deed in lieu of foreclosure or the making of a distribution of any kind in any Insolvency Proceeding to any Agent, for the account of the Lenders in full or partial satisfaction of the Obligations; or (d) the termination of this Agreement for any reason. For the purposes of the definition of Applicable Premium Subject Amount, if an Applicable Premium Trigger Event occurs under clause (b), (c) or (d), then solely for the purposes of determining the amount of the Applicable Premium Subject Amount, the entire outstanding balance of the Term Loans shall be deemed to have been paid and all of the Commitments shall be deemed to have been terminated, in each case, on the date of such Applicable Premium Trigger Event. "Assignment and Acceptance" means an assignment and acceptance entered into by an assigning Lender and an assignee, and accepted by the Collateral Agent (and the Administrative Agent, if applicable), in accordance with Section 12.07 hereof and substantially in the form of Exhibit B hereto or such other form acceptable to the Collateral Agent. "Authorized Officer" means, with respect to any Person, the chief executive officer, chief operating officer, chief financial officer, treasurer or other financial officer performing similar functions, president or executive vice president of such Person. "Bankruptcy Code" means Title 11 of the United States Code, as amended from time to time and any successor statute or any similar federal or state law for the relief of debtors. "Benchmark" means, initially, the Term SOFR Reference Rate; provided that if a Benchmark Transition Event and a replacement of the applicable Benchmark has occurred pursuant to Section 2.09(f), then "Benchmark" means the applicable Benchmark Replacement to the extent that such Benchmark Replacement has replaced such prior benchmark rate pursuant to Section 2.09(f). "Blue Torch" has the meaning specified therefor in the preamble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3"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138813885_11168006499_3 "Board" means the Board of Governors of the Federal Reserve System of the United States (or any successor). "Board Observer" has the meaning specified therefor in Section 7.01(p). "Board of Directors" means with respect to (a) any corporation, the board of directors of the corporation or any committee thereof duly authorized to act on behalf of such board, (b) a partnership, the board of directors of the general partner of the partnership, (c) a limited liability company, the managing member or members or any controlling committee or board of directors of such company or the sole member or the managing member thereof, and (d) any other Person, the board or committee of such Person serving a similar function. "Borrower" and “Borrowers” have the respective the meaning specified therefor in the preamble hereto. "Business Day" means any day other than a Saturday, Sunday or other day on which commercial banks in New York City are authorized or required to close; provided that for purposes of determining the borrowing, payment or continuation of, or determination of interest rate on, SOFR Loans, "Business Day" shall exclude any day on which the Securities Industry and Financial Markets Association recommends that the fixed income departments of its members be closed for the entire day for purposes of trading in United States government securities. "Capital Expenditures" means, with respect to any Person for any period, the aggregate of all expenditures by such Person and its Subsidiaries during such period that in accordance with GAAP are or should be included in "property, plant and equipment" or in a similar fixed asset account on its balance sheet. "Capitalized Lease" means, with respect to any Person, any lease of (or other arrangement conveying the right to use) real or personal property by such Person as lessee that is required under GAAP to be capitalized on the balance sheet of such Person. "Capitalized Lease Obligations" means, with respect to any Person, obligations of such Person and its Subsidiaries under Capitalized Leases, and, for purposes hereof, the amount of any such obligation shall be the capitalized amount thereof determined in accordance with GAAP. "Cash Equivalents" means (a) marketable direct obligations issued or unconditionally guaranteed by the United States Government or issued by any agency thereof and backed by the full faith and credit of the United States, in each case, maturing within six months from the date of acquisition thereof; (b) commercial paper, maturing not more than 270 days after the date of issue rated P 1 by Moody's or A 1 by Standard &amp; Poor's; (c) certificates of deposit maturing not more than 270 days after the date of issue, issued by commercial banking institutions and money market or demand deposit 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4"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138813885_11168006499_3 entered into with major money center banks included in the commercial banking institutions described in clause (c) above and which are secured by readily marketable direct obligations of the United States Government or any agency thereof; (e) money market accounts maintained with mutual funds having assets in excess of $2,500,000,000, which assets are primarily comprised of Cash Equivalents described in another clause of this definition; (f) marketable tax exempt securities rated A or higher by Moody's or A+ or higher by Standard &amp; Poor's, in each case, maturing within 270 days from the date of acquisition thereof and (g) in the case of any Foreign Subsidiary, cash and cash equivalents that are substantially equivalent in such jurisdiction to those described in clauses (a) through (f) above in respect of each country that is a member of the Organization for Economic Co-operation and Development. “Cash Management Account” means each deposit account, securities account or commodities account of a Loan Party, other than an Excluded Account. "Change in Law" means the occurrence, after the date of this Agreement, of any of the following: (a) the adoption or taking effect of any law, rule, regulation, judicial ruling, judgment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"Change in Law", regardless of the date enacted, adopted or issued. "Change of Control" means each occurrence of any of the following: (a) the acquisition, directly or indirectly, by any person or group (within the meaning of Section 13(d)(3) of the Exchange Act) of beneficial ownership of more than 33% of the aggregate outstanding voting or economic power of the Equity Interests of the Lead Borrower; (b) during any period of two consecutive years, individuals who at the beginning of such period constituted the Board of Directors of the Lead Borrower (together with any new directors whose election by such Board of Directors or whose nomination for election by the shareholders of the Lead Borrower was approved by a vote of at least a majority of the directors of the Lead Borrower then still in office who were either directors at the beginning of such period, or whose election or nomination for election was previously approved) cease for any reason to constitute a majority of the Board of Directors of the Lead Borrower; or (d) the Lead Borrower shall cease to have direct or indirect beneficial ownership (as defined in Rule 13d-3 under the Exchange Act) of 100% of the aggregate voting or economic power of the Equity Interests of each other Loan Party and each of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5"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138813885_11168006499_3 (other than in connection with any transaction permitted pursuant to Section 7.02(c)(i)), free and clear of all Liens (other than Permitted Specified Liens). “Channel Partnerships and Data Providers” means (x) providers that enable digital connectivity to the Borrower for communications with patients and doctors and (y) vendors of data that enable the Borrower to identify trends and make predictions using proprietary algorithms that result in digital communications with patients and doctors, respectively. “Closing Date” has the meaning specified therefor in Section 5.02. “Closing Date Merger” means the merger of Merger Sub with and into Healthy Offers pursuant to the Closing Date Merger Agreement, with Healthy Offers becoming a wholly-owned subsidiary of the Lead Borrower. “Closing Date Merger Agreement” means the Agreement and Plan of Merger, to be dated as of the Closing Date, by and among inter alia, the Borrower and Healthy Offers. "Collateral" means all of the property and assets and all interests therein and proceeds thereof now owned or hereafter acquired by any Person upon which a Lien is granted or purported to be granted by such Person as security for all or any part of the Obligations. "Collateral Agent" has the meaning specified therefor in the preamble hereto. "Collateral Agent Advances" has the meaning specified therefor in Section 10.08(a). "Collections" means all cash, checks, notes, instruments, and other items of payment (including insurance proceeds, proceeds of cash sales, rental proceeds, and tax refunds). "Commodity Exchange Act" means the Commodity Exchange Act (7 U.S.C. § 1 et seq.), as amended from time to time, and any successor statute. "Compliance Certificate" means a Compliance Certificate, substantially in the form of Exhibit E, duly executed by an Authorized Officer of the Lead Borrower. "Connection Income Taxes" means Other Connection Taxes that are imposed on or measured by net income (however denominated) or that are franchise Taxes or branch profits Taxes. "Consolidated Adjusted EBITDA" means, with respect to any Person for any period: (a) the Consolidated EBITDA of such Person for such period,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6"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138813885_11168006499_3 (b) without duplication, the sum of the following amounts for such period to the extent deducted in the calculation of Consolidated Net Income for such period: (i) reasonable transaction fees and expenses incurred in connection with the negotiation, execution and delivery on the Agreement and the consummation on the Closing Date Merger to the extent set forth in a funds flow delivered to the Administrative Agent or approved by the Administrative Agent in its sole discretion, (ii) reasonable fees, costs and expenses incurred hereunder or in connection with any amendments to or waivers or consents to this Agreement to the extent set forth in a funds flow delivered to the Administrative Agent or approved by the Administrative Agent in its sole discretion, (iii) reasonable transaction fees and expenses incurred in connection with any Permitted Acquisition consummated or attempted to be consummated during such period (including travel and accounting expenses and financing fees) to the extent set forth in a funds flow delivered to the Administrative Agent or approved by the Administrative Agent in its sole discretion, (iv) reasonably non-recurring integration consulting and advisory fees arising in connection within six (6) months of the closing of any transaction that is or would be a Permitted Acquisition approved by the Administrative Agent in its sole discretion, (v) all non-cash charges, losses or expenses (or minus non-cash income or gain) included or deducted in calculating net income (or loss) for such period including, without limitation, any non-cash loss or expense (or income or gain) due to the application of FASB ASC 815-10 regarding hedging activity, FASB ASC 350 regarding impairment of goodwill and intangibles, FASB ASC 480-10 regarding accounting for financial instruments with debt and equity characteristics, FASB ASC No. 715 regarding post-retirement benefits, FASB ASC No. 805 regarding the accrual of earn-outs, non-cash foreign currency exchange losses (or minus gains) and non-cash expenses deducted as a result of any grant of capital stock, partnership interests, membership interests or other equity interests to employees, officers or directors, in each case, other than (i) any non-cash charge to the extent it represents an accrual or reserve for potential cash charges in any future period and (ii) any write down or impairment charge against accounts receivable or Inventory, (vi) non-cash adjustments resulting from the application of purchase accounting or similar acquisition accounting under GAAP, (vii) all net gains or losses resulting from currency translation gains or losses related to currency remeasurements of Indebtedness or other obligations (including any net loss or gain resulting from hedge agreements for currency exchange risk) and all foreign currency translation gains or losses for such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7"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138813885_11168006499_3 (viii) market rate compensation and reimbursement of expenses to non-management members of the board of directors of Lead Borrower in an amount not to exceed $500,000 in any Test Period, (ix) to the extent covered by insurance under which the insurer has been properly notified (and has not rejected or denied insurance coverage) and the Lead Borrower has received or reasonably expects to receive proceeds of insurance within 180 days after such Test Period, expenses with respect to liability or casualty events or business interruption, and (x) other extraordinary, unusual or non-recurring non-cash charges and extraordinary, unusual or non-recurring items (including cash items) in an amount not to exceed 5.0% of Consolidated EBITDA in any Test Period, provided, that, from the period commencing on January 1, 2025 and continuing until the Test Period ending June 30, 2026, amounts attributable to severance payments made to William J. Febbo in excess of the foregoing cap, not to exceed $1,100,000 in the aggregate, may be added back pursuant to this clause (x). "Consolidated EBITDA" means, with respect to any Person for any period: (a) the Consolidated Net Income of such Person for such period, plus (b) without duplication, the sum of the following amounts for such period to the extent deducted in the calculation of Consolidated Net Income for such period: (i) any provision for United States federal income taxes or other taxes measured by net income, (ii) Consolidated Net Interest Expense, (iii) [reserved], (iv) any depreciation and amortization expense, (v) any aggregate net loss on the Disposition of property (other than accounts and Inventory) outside the ordinary course of business, and (vi) any other non-cash expenditure, charge or loss for such period (other than any non-cash expenditure, charge or loss relating to write-offs, write-downs or reserves with respect to accounts and Inventory), minus (c) without duplication, the sum of the following amounts for such period to the extent included in the calculation of such Consolidated Net Income for such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8"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138813885_11168006499_3 November 30, 2022 April 30, 2023 $998,790 $45,853 September 30, 2022 May 31, 2023 ($504,845) December 31, 2022 $1,877,934 June 30, 2023 $4,582,284 $1,685,076 Month July 31, 2023 ($273,348) January 31, 2023 August 31, 2023 ($582,783) $245,844 October 31, 2022 "Consolidated Net Income" means, with respect to any Person, for any period, the consolidated net income (or loss) of such Person and its Subsidiaries for such period; provided, however, that the following shall be excluded: (a) the net income of any other Person in which such Person or one of its Subsidiaries has a joint interest with a third-party (which interest does not cause the net income of such other Person to be consolidated into the net income of such Consolidated EBITDA February 28, 2023 $509,974 ($724,954) (i) any credit for United States federal income taxes or other taxes measured by net income, (ii) any gain from extraordinary items, (iii) any aggregate net gain from the Disposition of property (other than accounts and Inventory) outside the ordinary course of business, and (iv) any other non-cash gain, including any reversal of a charge referred to in clause (b)(vi) above by reason of a decrease in the value of any Equity Interest; in each case, determined on a consolidated basis in accordance with GAAP. There shall be included in determining Consolidated EBITDA for any Test Period, without duplication, the actual Acquired EBITDA (without any adjustments for cost savings, synergies or similar adjustments, and to the extent not subsequently sold, transferred, abandoned or otherwise disposed by the Lead Borrower or such Subsidiary) of any Person or business, or attributable to any property or asset, acquired by the Lead Borrower or any Subsidiary during such Test Period. Acquired EBITDA for purposes of determining Consolidated EBITDA for any Test Period shall include the portion of Acquired EBITDA for Test Periods prior to such Acquisition as if such Acquisition had occurred on the first day of the applicable Test Period. For purposes of determining Consolidated EBITDA and subject to adjustments for any Acquired EBITDA after the Effective Date, Consolidated EBITDA and Consolidated Adjusted EBTIDA of Holdings and its Subsidiaries for each of the following months shall be stipulated as follows: March 31, 2023 $554,239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9"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138813885_11168006499_3 Person), except to the extent of the amount of dividends or distributions paid to such Person or Subsidiary, (b) the net income of any Subsidiary of such Person that is, on the last day of such period, subject to any restriction or limitation on the payment of dividends or the making of other distributions, to the extent of such restriction or limitation, and (c) the net income of any other Person arising prior to such other Person becoming a Subsidiary of such Person or merging or consolidating into such Person or its Subsidiaries. "Consolidated Net Interest Expense" means, with respect to any Person for any period, (a) gross interest expense of such Person and its Subsidiaries for such period determined on a consolidated basis and in accordance with GAAP (including, without limitation, interest expense paid to Affiliates of such Person), less (b) the sum of (i) interest income for such period and (ii) gains for such period on Hedging Agreements (to the extent not included in interest income above and to the extent not deducted in the calculation of gross interest expense), plus (c) the sum of (i) losses for such period on Hedging Agreements (to the extent not included in gross interest expense) and (ii) the upfront costs or fees for such period associated with Hedging Agreements (to the extent not included in gross interest expense), in each case, determined on a consolidated basis and in accordance with GAAP. "Contingent Indemnity Obligations" means any Obligation constituting a contingent, unliquidated indemnification obligation of any Loan Party, in each case, to the extent (a) such obligation has not accrued and is not yet due and payable and (b) no claim has been made or is reasonably anticipated to be made with respect thereto. "Contingent Obligation" means, with respect to any Person, any obligation of such Person guaranteeing or intending to guarantee any Indebtedness, leases, dividends or other obligations ("primary obligations") of any other Person (the "primary obligor") in any manner, whether directly or indirectly, including, without limitation, (a) the direct or indirect guaranty, endorsement (other than for collection or deposit in the ordinary course of business), co-making, discounting with recourse or sale with recourse by such Person of the obligation of a primary obligor, (b) the obligation to make take-or-pay or similar payments, if required, regardless of nonperformance by any other party or parties to an agreement, and (c)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assets,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provided, however, that the term "Contingent Obligation" shall not include any product warranties extended in the ordinary course of business. The amount of any Contingent Obligation shall be deemed to be an amount equal to the stated or determinable amount of the primary obligation with respect to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0"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138813885_11168006499_3 liability with respect thereto (assuming such Person is required to perform thereunder), as determined by such Person in good faith. "Contractual Obligation" means, as to any Person, any provision of any security issued by such Person or of any agreement, instrument or other undertaking to which such Person is a party or by which it or any of its property is bound. "Control Agreement" means, with respect to any deposit account, any securities account, commodity account, securities entitlement or commodity contract, an agreement, in form and substance satisfactory to the Collateral Agent, among the Collateral Agent, the financial institution or other Person at which such account is maintained or with which such entitlement or contract is carried and the Loan Party maintaining such account, effective to grant "control" (as defined under the applicable UCC) over such account to the Collateral Agent. "Controlled Investment Affiliate" means, as to any Person, any other Person that (a) directly or indirectly, is in control of, is controlled by, or is under common control with, such Person and (b) is organized by such Person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 "Current Value" has the meaning specified therefor in Section 7.01(m). "Debtor Relief Law" means the Bankruptcy Code and any other liquidation, conservatorship, bankruptcy, assignment for the benefit of creditors, moratorium, rearrangement, receivership, insolvency, reorganization, or similar debtor relief law of the United States or other applicable jurisdiction from time to time in effect. "Default" means an event which, with the giving of notice or the lapse of time or both, would constitute an Event of Default. "DIP Financing" has the meaning specified therefor in Section 12.02(g). "DIP Lender" and "DIP Lenders" have the respective meanings specified therefor in Section 12.02(g). "Disbursement Letter" means a disbursement letter, in form and substance satisfactory to the Collateral Agent, by and among the Loan Parties, the Agents, the Lenders and the other Persons party thereto, and the related funds flow memorandum describing the sources and uses of all cash payments in connection with the transactions contemplated to occur on the Closing Date. "Disposition" means any transaction, or series of related transactions, pursuant to which any Person or any of its Subsidiaries sells, assigns, transfers, leases, licenses (as licensor) or otherwise disposes of any property or assets (whether now owned or hereafter acquired) to any other Person, in each case, whether or not the consideration therefor consists of cash,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1"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138813885_11168006499_3 or other assets owned by the acquiring Person. For purposes of clarification, "Disposition" shall include (a) the sale or other disposition for value of any contracts, (b) any disposition of property through a "plan of division" under the Delaware Limited Liability Company Act or any comparable transaction under any similar law, or (c) the early termination, assignment or modification of any contract resulting in the receipt by any Loan Party of a cash payment or other consideration in exchange for such event (other than payments in the ordinary course for accrued and unpaid amounts due through the date of termination or modification). "Disqualified Equity Interests" means any Equity Interest that, by its terms (or by the terms of any security or other Equity Interest into which it is convertible or for which it is exchangeable), or upon the happening of any event or condition, (a) matures or is mandatorily redeemable,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(b) is redeemable at the option of the holder thereof, in whole or in part, (c) provides for the scheduled payments of dividends or distributions in cash, or (d) is convertible into or exchangeable for (i) Indebtedness or (ii) any other Equity Interests that would constitute Disqualified Equity Interests, in each case of clauses (a) through (d), prior to the date that is six months after the Final Maturity Date. "Dollar," "Dollars" and the symbol "$" each means lawful money of the United States of America. "Domestic Subsidiary" means any Subsidiary that is organized and existing under the laws of the United States or any state or commonwealth thereof or under the laws of the District of Columbia. "Effective Date" has the meaning specified therefor in Section 5.01. "Employee Plan" means an employee benefit plan within the meaning of Section 3(3) of ERISA (other than a Multiemployer Plan), regardless of whether subject to ERISA, that any Loan Party or any of its ERISA Affiliates maintains, sponsors or contributes to or is obligated to contribute to. "Environmental Claim" means any action, suit, complaint, summons, citation, notice, directive, order, claim, litigation, investigation, judicial or administrative proceeding, judgment, letter or other communication, from any Person or Governmental Authority relating to or arising out of any threatened, alleged or actual (a) violation of, non-compliance with, or liability under, any Environmental Law, or (b) the manufacture, use, handling, processing, distribution, labeling, generation, transportation, storage, treatment, Release, threatened Release, disposal or arranging for the disposal of, or exposure to, any Hazardous Materials. "Environmental Law" means any Requirement of Law relating to, regulating or governing (i) the pollution or protection of the environment, any environmental media, natural resources, human health or safety, or (ii) the manufacture, use, handling, processing,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2"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138813885_11168006499_3 labeling, generation, transportation, storage, treatment, Release, threatened Release, disposal or arranging for the disposal of, or exposure to, any Hazardous Materials. "Environmental Liability" means all liabilities (contingent or otherwise, known or unknown), monetary obligations, losses (including monies paid in settlement), damages, natural resource damages, costs and expenses (including all reasonable fees, costs, client charges and expenses of counsel, experts and consultants), fines, penalties, sanctions and interest arising directly or indirectly as a result of, from, or based upon (a) any Environmental Claim, (b) any actual, alleged or threatened violation of or non-compliance with any Environmental Law or Environmental Permit, (c) any actual, alleged or threatened Release of, or exposure to, Hazardous Materials, (d) any Remedial Action, (f) any adverse environmental condition or (g) any contract, agreement or other arrangement pursuant to which liability is assumed or imposed contractually or by operation of law with respect to any of the foregoing (a)-(f). "Environmental Lien" means any Lien in favor of any Governmental Authority arising out of any Environmental Liability. "Environmental Permit" means any permit, license, authorization, approval, registration or entitlement required by or issued pursuant to any Environmental Law or by any Governmental Authority pursuant to Environmental Law. "Equity Interests" means (a) all shares of capital stock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 "Equity Issuance" means either (a) the sale or issuance by any Loan Party or any of its Subsidiaries of any shares of its Equity Interests or (b) the receipt by the Lead Borrower of any cash capital contributions. "ERISA" means the Employee Retirement Income Security Act of 1974, as amended, and any successor statute of similar import, and regulations thereunder, in each case, as in effect from time to time. References to sections of ERISA shall be construed also to refer to any successor sections. "ERISA Affiliate" means,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 "ERISA Event" means (a) the occurrence of a Reportable Event with respect to any Pension Plan; (b) the failure to meet the minimum funding standards of Section 412 or 430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3"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138813885_11168006499_3 of the Internal Revenue Code or Section 302 or 303 of ERISA with respect to any Pension Plan (whether or not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Loan Party or any of its ERISA Affiliates from any Pension Plan with two or more contributing sponsors or the termination of any such Pension Plan resulting in liability to any Loan Party or any of its ERISA Affiliates pursuant to Section 4063 or 4064 of ERISA; (g) the institution by the PBGC of proceedings to terminate any Pension Plan, or the occurrence of any event or condition that would reasonably be expected to constitute grounds under ERISA for the termination of, or the appointment of a trustee to administer, any Pension Plan; (h) the imposition of liability on any Loan Party or any of its ERISA Affiliates pursuant to Section 4062(e) or 4069(a) of ERISA or by reason of the application of Section 4212(c) of ERISA; (i) the withdrawal of any Loan Party or any of its ERISA Affiliates in a complete or partial withdrawal (within the meaning of Sections 4203 and 4205 of ERISA) from any Multiemployer Plan or the receipt by any Loan Party or any of its ERISA Affiliates of notice from any Multiemployer Plan that it is in reorganization or insolvency pursuant to Section 4241 or 4245 of ERISA, or that it intends to terminate or has terminated under Section 4041A or 4042 of ERISA; (j) the occurrence of an act or omission which could give rise to the imposition on any Loan Party or any of its ERISA Affiliates of fines, penalties, taxes or related charges under Sections 4975 or 4971 of the Internal Revenue Code or under Section 409, Section 502(c), (i) or (l), or Section 4071 of ERISA in respect of any Employee Plan; (k) the imposition of any liability under Title IV of ERISA, other than for PBGC premiums due but not delinquent, upon any Loan Party or any of its ERISA Affiliates; (l) receipt from the Internal Revenue Service of notice of the failure of any Pension Plan (or any other Employee Plan intended to be qualified under Section 401(a) of the Internal Revenue Code) to qualify under Section 401(a) of the Internal Revenue Code, or the failure of any trust forming part of any such Pension Plan (or such other Employee Plan) to qualify for exemption from taxation under Section 501(a) of the Internal Revenue Code; (m) the imposition on any Loan Party of any material fine, excise tax or penalty with respect to any Pension Plan or Multiemployer Plan resulting from any noncompliance with any Requirements of Law; or (n) the imposition of a Lien pursuant to Section 430(k) of the Internal Revenue Code or pursuant to ERISA with respect to any Pension Plan. "Erroneous Distribution" has the meaning specified therefor in Section 10.18. "Event of Default" has the meaning specified therefor in Section 9.01. "Excess Cash Flow" means, with respect to any Person for any period, (a) Consolidated EBITDA of such Person and its Subsidiaries for such period, less (b) the sum of, without duplication, (i) all cash principal payments (excluding any principal payments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4"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138813885_11168006499_3 pursuant to Section 2.05(c)) on the Loans made during such period, and all cash principal payments on Indebtedness (other than intercompany indebtedness) of such Person or any of its Subsidiaries during such period to the extent such other Indebtedness is permitted to be incurred, and such payments are permitted to be made, under this Agreement (but, in the case of revolving loans, only to the extent that the revolving credit commitment in respect thereof is permanently reduced by the amount of such payments), in each case, to the extent financed with Internally Generated Cash (ii) all Consolidated Net Interest Expense to the extent paid or payable in cash during such period and to the extent financed with Internally Generated Cash, (iii) the cash portion of Capital Expenditures made by such Person and its Subsidiaries during such period to the extent permitted to be made under this Agreement and to the extent financed with Internally Generated Cash, (iv) all scheduled loan servicing fees and other similar fees in respect of Indebtedness of such Person or any of its Subsidiaries paid in cash during such period, to the extent such Indebtedness is permitted to be incurred, and such payments are permitted to be made, under this Agreement, (v) income taxes paid in cash by such Person and its Subsidiaries for such period, (vi) all cash expenses, cash charges, cash losses and other cash items that were added back in the determination of Consolidated EBITDA for such period and (vii) the excess, if any, of Working Capital at the end of such period over Working Capital at the beginning of such period (or minus the excess, if any, of Working Capital at the beginning of such period over Working Capital at the end of such period). "Exchange Act" means the Securities Exchange Act of 1934, as amended. "Excluded Account" means any deposit account specifically and exclusively used for payroll, payroll taxes and other employee wage and benefit payments to or for the benefit of any Loan Party's employees but only to the extent of funds on deposit in such accounts for the immediately succeeding payroll period. "Excluded Subsidiary" means (a) any Immaterial Subsidiary and (b) any Subsidiary that is restricted or prohibited by applicable law from guaranteeing the Obligations or which would require governmental (including regulatory) consent, approval, license or authorization to provide a guarantee unless, such consent, approval, license or authorization has been received.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Section 2.09, amounts with respect to such Taxes were payable either to such Lender's assignor immediately before such Lender became a party hereto or to such Lender immediately before it changed its lending office, (c) Taxes attributable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5"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138813885_11168006499_3 Recipient's failure to comply with Section 2.09(d) and (d) any U.S. federal withholding Taxes imposed under FATCA. "Executive Order No. 13224" means the Executive Order No. 13224 on Terrorist Financing, effective September 24, 2001, as the same has been, or shall hereafter be, renewed, extended, amended or replaced. "Extraordinary Receipts" means any cash received by the Lead Borrower or any of its Subsidiaries not in the ordinary course of business (and not consisting of proceeds described in Section 2.05(c)(ii) or (iii) hereof), including, without limitation, (a) foreign, United States, state or local tax refunds, (b) pension plan reversions, (c) proceeds of insurance (other than to the extent such insurance proceeds are (i) immediately payable to a Person that is not the Lead Borrower or any of its Subsidiaries in accordance with applicable Requirements of Law or with Contractual Obligations entered into in the ordinary course of business or (ii) received by the Lead Borrower or any of its Subsidiaries as reimbursement for any out-of-pocket costs incurred or made by such Person prior to the receipt thereof directly related to the event resulting from the payment of such proceeds), (d) judgments, proceeds of settlements or other consideration of any kind in connection with any cause of action, (e) condemnation awards (and payments in lieu thereof), (f) indemnity payments (other than to the extent such indemnity payments are (i) immediately payable to a Person that is not an Affiliate of the Lead Borrower or any of its Subsidiaries or (ii) received by the Lead Borrower or any of its Subsidiaries as reimbursement for any costs previously incurred or any payment previously made by such Person) and (g) any purchase price adjustment received in connection with any purchase agreement including, without limitation, the Merger Agreement, provided that Extraordinary Receipts shall not include any amount of income tax refunds received by Healthy Offers on account of any estimated tax payments made prior to the Closing Date, in an amount not exceed $1,000,000, so long as (w) such tax refund is paid to the Persons that were shareholders of Healthy Offers immediately prior to the Closing Date Merger, (x) no Default or Event of Default has occurred and is continuing as of the date of receipt of such amounts and the day of payment of such amounts to the former shareholders of Healthy Offers, (y) the payment is made within fifteen days of the receipt of the tax refund and (z) the payment is made in accordance with Section 6.17 of the Merger Agreement. "Facility" means the real property identified on Schedule 1.01(B) and any New Facility hereafter acquired by the Lead Borrower or any of its Subsidiaries, including, without limitation, the land on which each such facility is located, all buildings and other improvements thereon, and all fixtures located thereat or used in connection therewith. "FASB ASC" means the Accounting Standards Codification of the Financial Accounting Standards Board. "FATCA"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Internal Revenue Code and any fiscal, tax or regulatory legislation, rules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6"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138813885_11168006499_3 official practices adopted pursuant to any intergovernmental agreement entered into in connection with the implementation of Sections 1471 through 1474 of the Internal Revenue Code and the Treasury Regulations thereunder. "FCPA" has the meaning specified therefor in the definition of Anti-Corruption Laws. "Federal Funds Rate" means, for any period, a fluctuating interest rate per annum equal to, for each day during such period,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“Fee Letter" means the fee letter, dated as of the date hereof, among the Borrowers and the Administrative Agent. "Final Maturity Date" means the fourthsixth (4th6th) anniversary of the Closing Date. "Financial Statements" means, collectively, the (i) Financial Statements (Healthy), (ii) the Financial Statements (OptimizeRx), and (iii) Financial Statements (Pro Forma). “Financial Statements (Healthy)” means (a) the audited consolidated balance sheet of the Company for the Fiscal Years ended December 31, 2021 and December 31, 2022, and the related consolidated statement of operations, changes in stockholders’ equity and cash flows for the Fiscal Years then ended, and (b) the unaudited consolidated balance sheet of the Company as of August 31, 2023, and the related consolidated statement of operations and cash flows for the eight month period ended August 31, 2023. “Financial Statements (OptimizeRx)” means (a) the audited consolidated balance sheet of the Lead Borrower and its Subsidiaries (immediately prior to the Closing Date Merger) for the Fiscal Year ended December 31, 2022, and the related consolidated statement of operations, stockholders’ equity and cash flows for the Fiscal Year then ended, and (b) the unaudited consolidated balance sheet of the Lead Borrower and its Subsidiaries (immediately prior to the Closing Date Merger) as of August 31, 2023, and the related consolidated statement of operations and cash flows for the eight month period ended August 31, 2023. “Financial Statements (Pro Forma)” means the unaudited pro forma consolidated balance sheet of the Lead Borrower and its Subsidiaries as of June 30, 2023, prepared after giving effect to the Closing Date Merger as if the Closing Date Merger had occurred on such date. “Financial Statements (Projections)” means the pro forma combined financial projection of revenue, gross profit, operating expenses, EBITDA, cash flows and certain balance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7"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138813885_11168006499_3 sheet items for the fiscal years 2023-2027 provided by the Lead Borrower to Agent on or about September 24, 2023. "Fiscal Year" means the fiscal year of the Lead Borrower and its Subsidiaries ending on December 31 of each year. “Floor” means 3.00% per annum. "Foreign Plan" means any employee benefit plan, program, policy, arrangement or agreement maintained, sponsored or contributed to, or for which there is an obligation to contribute to, by any Loan Party that is subject to any Requirements of Laws other than, or in addition to, the laws of the United States or any state thereof or the laws of the District of Columbia. "Foreign Subsidiary" means any Subsidiary of the Lead Borrower that is not a Domestic Subsidiary. "Funding Losses" has the meaning specified therefor in Section 2.08. "GAAP" means generally accepted accounting principles in effect from time to time in the United States, applied on a consistent basis, provided that for the purpose of Section 7.03 hereof and the definitions used therein, "GAAP" shall mean generally accepted accounting principles in effect on the date hereof and consistent with those used in the preparation of the Financial Statements, provided, further, that if there occurs after the date of this Agreement any change in GAAP that affects in any respect the calculation of any covenant contained in Section 7.03 hereof, the Collateral Agent and the Lead Borrower shall negotiate in good faith amendments to the provisions of this Agreement that relate to the calculation of such covenant with the intent of having the respective positions of the Lenders and the Borrowers after such change in GAAP conform as nearly as possible to their respective positions as of the date of this Agreement and, until any such amendments have been agreed upon, the covenants in Section 7.03 hereof shall be calculated as if no such change in GAAP has occurred. "Governing Documents"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the operating agreement; (c) with respect to any partnership, joint venture, trust or other form of business entity, the partnership, joint venture, declaration or other applicable agreement or documentation evidencing or otherwise relating to its formation or organization, governance and capitalization; and (d) with respect to any of the entities described above, any other agreement, instrument, filing or notice with respect thereto filed in connection with its formation or organization with the applicable Governmental Authority in the jurisdiction of its formation or organization. "Governmental Authority" means any nation or government, any foreign, Federal, state, territory, provincial, city, town, municipality, county, local or other political subdivision thereof or thereto and any department, commission, board, bureau, instrumentality, agency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8"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138813885_11168006499_3 other entity exercising executive, legislative, judicial, taxing, regulatory or administrative powers or functions of or pertaining to government (including any supra-national bodies such as the European Union or the European Central Bank). “Government Sponsored Health Care Program” means any health benefit program that is sponsored by a Governmental Authority, including but not limited to the Medicare Program (Title XVIII of the Social Security Act), the TRICARE Program (10 U.S.C. § 1071 et seq.), the Medicaid Program (Title XIX of the Social Security Act) or any state health care program. "Guaranteed Obligations" has the meaning specified therefor in Section 11.01. "Guarantor" means each Person which guarantees, pursuant to Section 7.01(b) or otherwise, all or any part of the Obligations. "Guaranty" means (a) the guaranty of each Guarantor party hereto contained in Article XI hereof and (b) each other guaranty, in form and substance satisfactory to the Collateral Agent, made by any other Guarantor in favor of the Collateral Agent for the benefit of the Agents and the Lenders guaranteeing all or part of the Obligations. "Hazardous Material" means any element, material, substance, waste, compound or chemical that is defined, listed or otherwise classified as a contaminant, pollutant, toxic or hazardous substance, hazardous waste, universal waste, special waste, or solid waste or is otherwise characterized by words of similar import under any Environmental Law or that is regulated under, or for which liability or standards of care are imposed, pursuant to any Environmental Law, including, without limitation, petroleum, polychlorinated biphenyls; asbestos-containing materials, lead or lead-containing materials, urea formaldehyde-containing materials, radioactive materials, radon, per- and polyfluoroalkyl substances and mold. “Healthy Offers” means Healthy Offers, Inc., a Nevada corporation. "Hedging Agreement" means any interest rate, foreign currency, commodity or equity swap, collar, cap, floor or forward rate agreement, or other agreement or arrangement designed to protect against fluctuations in interest rates or currency, commodity or equity values (including, without limitation, any option with respect to any of the foregoing and any combination of the foregoing agreements or arrangements), and any confirmation executed in connection with any such agreement or arrangement. “Health Care Laws” means all Requirements of Law applicable to the business of any Loan Party relating to health care regulatory matters, as well as the privacy and security of medical information, including without limitation: (a) Title XVIII of the Social Security Act, 42 U.S.C. §§ 1395 et seq. (the Medicare statute), Title XIX of the Social Security Act, 42 U.S.C. §§ 1396-1396w-5 (the Medicaid statute), and any other federal and state Law imposed in connection with a Payment Program; (b) all federal, state, and local Laws related to health care fraud and abuse, patient inducement, and the solicitation or acceptance of improper incentives involving persons operating in the health care industry, including the U.S. Anti-Kickback Statute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39"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138813885_11168006499_3 U.S.C. § 1320a-7b(b)), the U.S. Civil False Claims Act (31 U.S.C. Sections 3729 et seq.), the Medicare Program Laws at Title XVIII of the Social Security Act (42 U.S.C. §§ 1395 et seq.), Sections 1320a-7, 1320a-7a, and 1320a-7b of Title 42 of the United States Code, the Program Fraud Civil Remedies Act of 1986 (31 U.S.C. §§ 3801- 3812), the Anti-Kickback Act of 1986 (41 U.S.C. §§ 51-58), the Federal Health Care Fraud Law (18 U.S.C. § 1347) and other federal and/or state Laws regarding financial relationships with referral sources, the submission of false claims, and false representations; (c) all state and federal Laws governing electronic prescriptions (including federal regulations at 21 C.F.R. Parts 1300, 1304, 1306 and 1311); (d) the Federal Food, Drug, and Cosmetic Act of 1938, as amended (21 U.S.C. 321, et seq.); (e) the Public Health Service Act of 1944; (f) Laws relating to TRICARE (including 10 U.S.C. § 1071); (g) the Consolidated Omnibus Budget Reconciliation Act of 1985, as amended; (h) any state insurance, health maintenance organization or managed care Laws (including Laws relating to Medicaid programs); (i) the so-called federal "sunshine" law or Open Payments law (42 U.S.C. § 1320a-7h), as well as corollary state Laws governing disclosure of payments by pharmaceutical or medical device manufacturers to health care professionals; (j) the American Recovery and Reinvestment Act of 2009, the Patient Protection and Affordable Care Act 42 U.S.C. § 18001 et seq., as amended by the Health Care and Education Reconciliation Act of 2010 (42 U.S.C. § 1305 et seq.), the Medicare Access and CHIP Reauthorization Act of 2015 (MACRA) (Pub. L. No. 114-10), as amended; (k) the 21st Century Cures Act (Pub. L. No. 114-255) and its implementing regulations; (l) all Privacy Obligations, including without limitation HIPAA, TCPA, and CAN-SPAM; (m) all Requirements of Law related to the corporate practice of medicine or other health care professions and health care professional licensure and scope of practice; and (n) each of their state, local, foreign and international counterparts or equivalents, and their implementing regulations or rules, and in each case any formal applicable guidance documents promulgated thereunder. "Highest Lawful Rate" means, with respect to any Agent or any Lender, the maximum non-usurious interest rate, if any, that at any time or from time to time may be contracted for, taken, reserved, charged or received on the Obligations under laws applicable to such Agent or such Lender which are currently in effect or, to the extent allowed by law, under such applicable laws which may hereafter be in effect and which allow a higher maximum non-usurious interest rate than applicable laws now allow. “HIPAA” means the Health Insurance Portability and Accountability Act of 1996, as amended by the Health Information Technology for Economic and Clinical Health Act and any and all rules or regulations promulgated from time to time thereunder, including 45 C.F.R. Parts 160 – 164, as amended from time to time. "Holdout Lender" has the meaning specified therefor in Section 12.02(c). "Immaterial Subsidiary" means, at any time, any Subsidiary that (i) contributed 2.5% or less of the Consolidated EBITDA of the Lead Borrower and its Subsidiaries for the most recently ended period for which financial statements have been delivered, (ii) contributed 2.5% or less of the revenues of the Lead Borrower and its Subsidiaries for the most recently ended period for which financial statements have been delivered, and (iii) had assets representing 2.5% or less of the total consolidated assets of the Lead Borrower and its Subsidiaries on the last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0"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138813885_11168006499_3 of the most recently ended period for which financial statements have been delivered; provided, if at any time and from time to time after the Effective Date, Immaterial Subsidiaries comprise in the aggregate more than 5.0% of the Consolidated EBITDA of the Lead Borrower and its Subsidiaries for the most recently ended period for which financial statements have been delivered, or more than 5.0% of the revenues of the Lead Borrower and its Subsidiaries for the most recently ended period for which financial statements have been delivered or more than 5.0% of the consolidated assets of the Lead Borrower and its Subsidiaries as of the end of the most recently ended period for which financial statements have been delivered, then the Lead Borrower shall, not later than thirty days after the date by which financial statements for such period are required to be delivered (or such longer period as the Administrative Agent may agree in its sole discretion), designate in writing to the Administrative Agent that one or more of such Subsidiaries is no longer an Immaterial Subsidiary for purposes of this Agreement to the extent required such that the foregoing condition ceases to be true. As of the Effective Date, the Immaterial Subsidiaries are listed on Schedule 1.01(B). "Indebtedness" means, with respect to any Person, without duplication, (a) all indebtedness of such Person for borrowed money; (b) all obligations of such Person for the deferred purchase price of property or services (other than trade payables or other accounts payable incurred in the ordinary course of such Person's business and not outstanding for more than 90 days after the date such payable was created and any earn-out, purchase price adjustment or similar obligation until such obligation appears in the liabilities section of the balance sheet of such Person); (c) all obligations of such Person evidenced by bonds, debentures, notes or other similar instruments or upon which interest payments are customarily made; (d) all reimbursement, payment or other obligations and liabilities of such Person created or arising under any conditional sales or other title retention agreement with respect to property used and/or acquired by such Person, even though the rights and remedies of the lessor, seller and/or lender thereunder may be limited to repossession or sale of such property; (e) all Capitalized Lease Obligations of such Person; (f) all obligations and liabilities, contingent or otherwise, of such Person, in respect of letters of credit, acceptances and similar facilities; (g) all obligations and liabilities, calculated on a basis satisfactory to the Collateral Agent and in accordance with accepted practice, of such Person under Hedging Agreements; (h) all monetary obligations under any receivables factoring, receivable sales or similar transactions and all monetary obligations under any synthetic lease, tax ownership/operating lease, off-balance sheet financing or similar financing; (i) all Contingent Obligations; (j) all Disqualified Equity Interests; and (k) all obligations referred to in clauses (a) through (j) of this definition of another Person secured by (or for which the holder of such Indebtedness has an existing right, contingent or otherwise, to be secured by) a Lien upon property owned by such Person, even though such Person has not assumed or become liable for the payment of such Indebtedness. The Indebtedness of any Person shall include the Indebtedness of any partnership of or joint venture in which such Person is a general partner or a joint venturer. "Indemnified Matters" has the meaning specified therefor in Section 12.15.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1"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138813885_11168006499_3 "Indemnified Taxes" means (a) Taxes, other than Excluded Taxes, imposed on or with respect to any payment made by or on account of any obligation any Loan Party under any Loan Document and (b) to the extent not otherwise described in clause (a), Other Taxes. "Indemnitees" has the meaning specified therefor in Section 12.15. "Insolvency Proceeding" means any proceeding commenced by or against any Person under any provision of any Debtor Relief Law. "Intellectual Property" has the meaning specified therefor in the Security Agreement. "Intellectual Property Contracts" means all agreements concerning Intellectual Property, including without limitation license agreements, technology consulting agreements, confidentiality agreements, co-existence agreements, consent agreements and non-assertion agreements. "Intercompany Note" means an Intercompany Note and Allonge made by the Lead Borrower and its Subsidiaries in favor of the Collateral Agent for the benefit of the Agents and the Lenders, in form and substance reasonably satisfactory to the Collateral Agent. "Interest Period" means, with respect to each SOFR Loan, a period commencing on the date of the making of such SOFR Loan (or the continuation of a SOFR Loan or the conversion of a Reference Rate Loan to a SOFR Loan) and ending 1 months thereafter; provided, however, that (a) if any Interest Period would end on a day that is not a Business Day, such Interest Period shall be extended (subject to clauses (c)-(e) below) to the next succeeding Business Day, (b) interest shall accrue at the applicable rate based upon Adjusted Term SOFR from and including the first day of each Interest Period to, but excluding, the day on which any Interest Period expires, (c) any Interest Period that would end on a day that is not a Business Day shall be extended to the next succeeding Business Day unless such Business Day falls in another calendar month, in which case such Interest Period shall end on the next preceding Business Day, (d)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one month after the date on which the Interest Period began, as applicable, and (e) the Lead Borrower may not elect an Interest Period which will end after the Final Maturity Date. "Internal Revenue Code" means the Internal Revenue Code of 1986, as amended. "Internally Generated Cash" means cash of the Lead Borrower and its Subsidiaries not constituting (a) proceeds of the issuance of (or contributions in respect of) Equity Interests of the Lead Borrower, (b) proceeds of the incurrence of Indebtedness (other than (i) intercompany Indebtedness funded from Internally Generated Cash of the creditor company or (ii) extensions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2"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138813885_11168006499_3 of credit under any other revolving credit or similar facility), and (c) proceeds of Dispositions and Extraordinary Receipts. "Inventory" means, with respect to any Person, all goods and merchandise of such Person leased or held for sale or lease by such Person, including, without limitation, all raw materials, work-in-process and finished goods, and all packaging, supplies and materials of every nature used or usable in connection with the shipping, storing, advertising or sale of such goods and merchandise, whether now owned or hereafter acquired, and all such other property the sale or other disposition of which would give rise to an Account or cash. "Investment" means, with respect to any Person, (a) any investment by such Person in any other Person (including Affiliates) in the form of loans, guarantees, advances or other extensions of credit (excluding Accounts arising in the ordinary course of business), capital contributions or acquisitions of Indebtedness (including, any bonds, notes, debentures or other debt securities), Equity Interests, or all or substantially all of the assets of such other Person (or of any division or business line of such other Person), (b) the purchase or ownership of any futures contract or liability for the purchase or sale of currency or other commodities at a future date in the nature of a futures contract, or (c) any investment in any other items that are or would be classified as investments on a balance sheet of such Person prepared in accordance with GAAP. "Joinder Agreement" means a Joinder Agreement, substantially in the form of Exhibit A-1, duly executed by a Subsidiary of a Loan Party made a party hereto pursuant to Section 7.01(b). “Joinder and Assumption Agreement” means a Joinder and Assumption Agreement in the form of Exhibit A-2, duly executed by the Company, Merger Sub and the Agents. "Lease" means any lease, sublease or license of, or other agreement granting a possessory interest in, real property to which any Loan Party or any of its Subsidiaries is a party as lessor, lessee, sublessor, sublessee, licensor or licensee. "Lender" has the meaning specified therefor in the preamble hereto. "Leverage Ratio" means, with respect to any Person and its Subsidiaries for any period, the ratio of (a) all Indebtedness described in clauses (a), (b), (c), (d), (e) and (f) in the definition thereof of such Person and its Subsidiaries as of the end of such Test Period (or, in the case of the Test Period ending September 30, 2024, as of October 15, 2024), less an amount, which shall not exceed $7,500,000, equal to the amount of Qualified Cash as of the end of such test period (or, in the case of the Test Period ending September 30, 2024, as of October 15, 2025) to (b) Consolidated Adjusted EBITDA of such Person and its Subsidiaries for such Test Period. "Lien" means any mortgage, deed of trust, deed to secure debt, pledge, lien (statutory or otherwise), security interest, charge or other encumbrance or security or preferential arrangement of any nature, including, without limitation, any conditional sale or title retention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3"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138813885_11168006499_3 arrangement, any Capitalized Lease and any assignment, deposit arrangement or financing lease intended as, or having the effect of, security. “Liquidity” means Qualified Cash less any Indebtedness of the Lead Borrower and its Subsidiaries in excess of $1,000,000 that is of the type specified in clause (b) of the definition of Indebtedness. "Loan" means the Term Loan made by an Agent or a Lender to the Borrowers pursuant to Article II hereof. "Loan Account" means an account maintained hereunder by the Administrative Agent on its books of account at the Payment Office, and with respect to the Borrower, in which the Borrowers will be charged with all Loans made to, and all other Obligations incurred by, the Borrowers. "Loan Document" means this Agreement, the Merger Agreement Collateral Assignment, the Merger Agreement R&amp;W Collateral Assignment, any Control Agreement, the Disbursement Letter, the Fee Letter, any Guaranty, the Intercompany Note, any Joinder Agreement, any Mortgage, any Security Agreement, the VCOC Management Rights Agreement, any Perfection Certificate and any other agreement, instrument, certificate, report and other document executed and delivered pursuant hereto or thereto or otherwise evidencing or securing any Loan or any other Obligation. "Loan Party" means any Borrower and any Guarantor. "Material Adverse Effect" means a material adverse effect on any of (a) the operations, assets, liabilities, financial condition or prospects of the Loan Parties taken as a whole, (b) the ability of the Loan Parties taken as a whole to perform any of their obligations under any Loan Document, (c) the legality, validity or enforceability of this Agreement or any other Loan Document, (d) the rights and remedies of any Agent or any Lender under any Loan Document, or (e) the validity, perfection or priority of a Lien in favor of the Collateral Agent for the benefit of the Agents and the Lenders on Collateral having a fair market value in excess of $2,500,000. "Material Contract" means, with respect to any Person, (a) each contract or agreement to which such Person or any of its Subsidiaries is a party involving aggregate consideration payable to or by such Person or such Subsidiary of $2,500,000 or more in any Fiscal Year (other than purchase orders in the ordinary course of the business of such Person or such Subsidiary and other than contracts that by their terms may be terminated by such Person or Subsidiary in the ordinary course of its business upon less than 60 days' notice without penalty or premium) and (b) all other contracts or agreements as to which the breach, nonperformance, cancellation or failure to renew by any party thereto could reasonably be expected to have a Material Adverse Effect. "Merger Agreement" means the Agreement and Plan of Merger, dated as of October 11, 2023, by and among the Company, Healthy Offers, the securityholders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4"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138813885_11168006499_3 Company party thereto from time to time and Michael Weintraub, as the representative, agent and attorney-in-fact of the securityholders (in such capacity the “Representative”), as in effect on the date hereof. "Merger Agreement Collateral Assignment" means the Collateral Assignment of Merger Documents, dated as of the date hereof, and in form and substance satisfactory to the Collateral Agent, made by Merger Sub in favor of the Collateral Agent, and acknowledged by the Representative. “Merger Agreement R&amp;W Collateral Assignment” means the Collateral Assignment of Buyer’s Representations and Warranties Insurance Policy, dated as of the date hereof, and in form and substance satisfactory to the Collateral Agent, made by Merger Sub in favor of the Collateral Agent, and acknowledged by Liberty Surplus Insurance Corporation (a New Hampshire Stock Insurance Company). "Merger Documents" means the Merger Agreement and all other agreements, instruments and other documents related thereto or executed in connection therewith. “Merger Sub” means a newly incorporated subsidiary of the Lead Borrower formed to consummate the Closing Date Merger under the Merger Agreement. "Moody's" means Moody's Investors Service, Inc. and any successor thereto. "Mortgage" means a mortgage, deed of trust or deed to secure debt, in form and substance satisfactory to the Collateral Agent, made by a Loan Party in favor of the Collateral Agent for the benefit of the Agents and the Lenders, securing the Obligations and delivered to the Collateral Agent. "Multiemployer Plan" means a "multiemployer plan" as defined in Section 4001(a)(3) of ERISA to which any Loan Party or any of its ERISA Affiliates has contributed, or has been obligated to contribute, to at any time during the preceding the six calendar years. "Net Cash Proceeds" means, with respect to any issuance or incurrence of any Indebtedness, any Disposition, or the receipt of any Extraordinary Receipts by any Person or any of its Subsidiaries, the aggregate amount of cash received (directly or indirectly) from time to time (whether as initial consideration or through the payment or disposition of deferred consideration) by or on behalf of such Person or such Subsidiary, in connection therewith after deducting therefrom only (a) in the case of any Disposition or the receipt of any Extraordinary Receipts consisting of insurance proceeds or condemnation awards, the amount of any Indebtedness secured by any Permitted Lien on any asset (other than Indebtedness assumed by the purchaser of such asset) which is required to be repaid prior to the repayment of the Obligations, and is repaid in connection therewith (other than Indebtedness under this Agreement and Indebtedness that is junior in lien priority to the Liens securing the Obligations), (b) reasonable expenses related thereto incurred by such Person or such Subsidiary in connection therewith, (c) transfer taxes paid to any taxing authorities by such Person or such Subsidiary in connection therewith, and (d) net income taxes to be paid in connection therewith (after taking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5"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138813885_11168006499_3 into account any tax credits or deductions and any tax sharing arrangements), in each case, to the extent, but only to the extent, that the amounts so deducted are (i) actually paid to a Person that, except in the case of reasonable out-of-pocket expenses, is not an Affiliate of such Person or any of its Subsidiaries and (ii) properly attributable to such transaction or to the asset that is the subject thereof. "New Facility" has the meaning specified therefor in Section 7.01(m). "New Lending Office" has the meaning specified therefor in 1)a)i)(1). "Non-U.S. Lender" has the meaning specified therefor in 1)a)i)(1). "Notice of Borrowing" has the meaning specified therefor in Section 2.02(a). "NPL" means the National Priorities List under CERCLA. "Obligations" means all present and future indebtedness, obligations, and liabilities of each Loan Party to the Agents and the Lenders arising under or in connection with this Agreement or any other Loan Document, whether or not the right of payment in respect of such claim is reduced to judgment, liquidated, unliquidated, fixed, contingent, matured, disputed, undisputed, legal, equitable, secured, unsecured, and whether or not such claim is discharged, stayed or otherwise affected by any proceeding referred to in Section 9.01. Without limiting the generality of the foregoing, the Obligations of each Loan Party under the Loan Documents include (a) the obligation (irrespective of whether a claim therefor is allowed in an Insolvency Proceeding) to pay principal, interest, charges, expenses, fees, premiums (including the Applicable Premium), attorneys' fees and disbursements, indemnities and other amounts payable by such Person under the Loan Documents, and (b) the obligation of such Person to reimburse any amount in respect of any of the foregoing that any Agent or any Lender (in its sole discretion) may elect to pay or advance on behalf of such Person. "OFAC" means the Office of Foreign Assets Control of the U.S. Department of the Treasury. “Order” means any judgment, order, injunction, decree, ruling, writ, stipulation, decision, verdict, determination, or award of, or any agreement with, any Governmental Authority.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except any such Taxes that are Other Connection Taxes imposed with respect to an assignment.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6"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138813885_11168006499_3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"Participant Register" has the meaning specified therefor in Section 12.07(i). "Payment Office" means the Administrative Agent's office located at 150 East 58th Street, 39th Floor, New York, New York 10155, or at such other office or offices of the Administrative Agent as may be designated in writing from time to time by the Administrative Agent to the Collateral Agent and the Borrower. “Payment Program” means any Government Sponsored Health Care Program, and any successor program, and all other third-party healthcare benefit plans and programs (including those offered or administered by employers, health maintenance organizations, preferred provider organizations, managed care organizations, commercial payors and any Medicaid or state waiver programs and health insurance providers). "PBGC" means the Pension Benefit Guaranty Corporation or any successor thereto. "Pension Plan" means an Employee Plan that is subject to Section 412 of the Internal Revenue Code, Section 302 of ERISA or Title IV of ERISA maintained, sponsored or contributed to, or for which there is an obligation to contribute to, by any Loan Party or any of its ERISA Affiliates at any time during the preceding six calendar years. "Perfection Certificate" means a certificate in form and substance satisfactory to the Collateral Agent providing information with respect to the property of each Loan Party. “Permitted Acquisition” means an Acquisition consented to in writing by the Required Lenders. "Permitted Disposition" means: (a) [reserved]; (b) licensing, on a non-exclusive basis, Intellectual Property rights in the ordinary course of business; (c) leasing or subleasing assets in the ordinary course of business; (d) (i) the lapse of Registered Intellectual Property of the Lead Borrower and its Subsidiaries to the extent such Registered Intellectual Property is not economically desirable in the conduct of their business as currently conducted or anticipated to be conducted or (ii) the abandonment of Intellectual Property rights in the ordinary course of business so long as (in each case under clauses (i) and (ii)), (A) with respect to copyrights, such copyrights are not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7"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138813885_11168006499_3 revenue generating copyrights, and (B) such lapse is not adverse to the interests of the Secured Parties; (e) any involuntary loss, damage or destruction of property; (f) any involuntary condemnation, seizure or taking, by exercise of the power of eminent domain or otherwise, or confiscation or requisition of use of property; (g) so long as no Event of Default has occurred and is continuing or would result therefrom, transfers of assets (i) from the Lead Borrower or any of its Subsidiaries to a Loan Party, and (ii) from any Subsidiary of the Lead Borrower that is not a Loan Party to any other Subsidiary of the Lead Borrower; (h) Disposition of obsolete or worn-out equipment in the ordinary course of business; and (i) Disposition of property or assets not otherwise permitted in clauses (a) through (h) above for cash in an aggregate amount not less than the fair market value of such property or assets; provided that (1) the Net Cash Proceeds of such Dispositions (including the proposed Disposition) do not exceed $75,000 in the aggregate in any Fiscal Year and (2) in all cases, are paid to the Administrative Agent for the benefit of the Agents and the Lenders pursuant to the terms of Section 2.05(c)(ii) or applied as provided in Section 2.05(c)(vi). "Permitted Indebtedness" means: (a) any Indebtedness owing to any Agent or any Lender under this Agreement and the other Loan Documents; (b) any other Indebtedness listed on Schedule 7.02(b), and any Permitted Refinancing Indebtedness in respect of such Indebtedness; (c) Permitted Purchase Money Indebtedness and any Permitted Refinancing Indebtedness in respect of such Indebtedness; (d) Permitted Intercompany Investments; (e) Indebtedness incurred in the ordinary course of business under performance, surety, statutory, and appeal bonds; (f) Indebtedness owed to any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48"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138813885_11168006499_3 (g) the incurrence by any Loan Party of Indebtedness under Hedging Agreements that are incurred for the bona fide purpose of hedging the interest rate applicable to the Loans and not for speculative purposes; (h) Indebtedness incurred in respect of credit cards, credit card processing services, debit cards, stored value cards, purchase cards (including so-called "procurement cards" or "P-cards") or other similar cash management services, in each case, incurred in the ordinary course of business provided paid when due; (i) [reserved]; (j) [reserved]; (k) [reserved]; (l) Indebtedness in an aggregate amount not exceed $75,000 at any time; and (m) Subordinated Indebtedness in an aggregate amount not exceeding $2,500,000 at any time outstanding. "Permitted Intercompany Investments" means Investments made by (a) a Loan Party to or in another Loan Party, (b) a Subsidiary that is not a Loan Party to or in another Subsidiary that is not a Loan Party, and (c) a Subsidiary that is not a Loan Party to or in a Loan Party, so long as, in the case of a loan or advance, the parties thereto are party to the Intercompany Note. "Permitted Investments" means: (a) Investments in cash and Cash Equivalents; (b) Investments in negotiable instruments deposited or to be deposited for collection in the ordinary course of business; (c) advances made in connection with purchases of goods or services in the ordinary course of business; (d) 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 (e) Investments existing on the date hereof, as set forth on Schedule 7.02(e) hereto, but not any increase in the amount thereof as set forth in such Schedule or any other modification of the terms thereof; (f) Permitted Intercompany Investments;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49"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138813885_11168006499_3 (g) Investments in the ordinary course of business consistent with past practice in connection with Channel Partnerships and Data Providers; (h) so long as no Default or Event of Default has occurred and is continuing or would result therefrom, any other Investments in an aggregate amount not to exceed $75,000 at any time outstanding. "Permitted Liens" means: (a) Liens securing the Obligations; (b) Liens for taxes not yet due or that are being contested in good faith and by appropriate proceedings diligently conducted, if adequate reserves with respect thereto are maintained on the books of the applicable Person in accordance with GAAP; (c) Liens imposed by law, such as carriers', warehousemen's, mechanics', materialmen's and other similar Liens arising in the ordinary course of business and securing obligations (other than Indebtedness for borrowed money) that are not overdue by more than 30 days or are being contested in good faith and by appropriate proceedings promptly initiated and diligently conducted, and a reserve or other appropriate provision, if any, as shall be required by GAAP shall have been made therefor; (d) Liens described on Schedule 7.02(a), provided that any such Lien shall only secure the Indebtedness that it secures on the Effective Date and any Permitted Refinancing Indebtedness in respect thereof; (e) purchase money Liens on equipment acquired or held by any Loan Party or any of its Subsidiaries in the ordinary course of its business to secure Permitted Purchase Money Indebtedness so long as such Lien only (i) attaches to such property and (ii) secures the Indebtedness that was incurred to acquire such property or any Permitted Refinancing Indebtedness in respect thereof; (f) deposits and pledges of cash securing (i) obligations incurred in respect of workers' compensation, unemployment insurance or other forms of governmental insurance or benefits, (ii) the performance of bids, tenders, leases, contracts (other than for the payment of money) and statutory obligations or (iii) obligations on surety or appeal bonds, but only to the extent such deposits or pledges are made or otherwise arise in the ordinary course of business and secure obligations not past due; (g) with respect to any Facility, easements, zoning restrictions and similar encumbrances on real property and minor irregularities in the title thereto that do not (i) secure obligations for the payment of money or (ii) materially impair the value of such property or its use by any Loan Party or any of its Subsidiaries in the normal conduct of such Person's business; (h) Liens of landlords and mortgagees of landlords (i) arising by statute or under any Lease or related Contractual Obligation entered into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0"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138813885_11168006499_3 (ii) on fixtures and movable tangible property located on the real property leased or subleased from such landlord, or (iii) for amounts not yet due or that are being contested in good faith by appropriate proceedings diligently conducted and for which adequate reserves or other appropriate provisions are maintained on the books of such Person in accordance with GAAP; (i) the title and interest of a lessor or sublessor in and to personal property leased or subleased (other than through a Capitalized Lease), in each case extending only to such personal property; (j) non-exclusive licenses of Intellectual Property rights in the ordinary course of business; (k) judgment liens (other than for the payment of taxes, assessments or other governmental charges) securing judgments and other proceedings not constituting an Event of Default under Section 9.01(j); (l) rights of set-off or bankers' liens upon deposits of cash in favor of banks or other depository institutions, solely to the extent incurred in connection with the maintenance of such deposit accounts in the ordinary course of business; (m) Liens granted in the ordinary course of business on the unearned portion of insurance premiums securing the financing of insurance premiums to the extent the financing is permitted under the definition of Permitted Indebtedness; (n) [reserved]; (o) [reserved]; and (p) other Liens which do not secure Indebtedness for borrowed money or letters of credit and as to which the aggregate amount of the obligations secured thereby does not exceed $75,000. "Permitted Purchase Money Indebtedness" means, as of any date of determination, Indebtedness (other than the Obligations, but including Capitalized Lease Obligations) incurred to finance the acquisition of any fixed assets secured by a Lien permitted under clause (e) of the definition of "Permitted Liens"; provided that (a) such Indebtedness is incurred within 20 days after such acquisition, (b) such Indebtedness when incurred shall not exceed the purchase price of the asset financed and (c) the aggregate principal amount of all such Indebtedness shall not exceed $75,000 at any time outstanding. "Permitted Refinancing Indebtedness" means the extension of maturity, refinancing or modification of the terms of Indebtedness so long as: (a) after giving effect to such extension, refinancing or modification, the amount of such Indebtedness is not greater than the amount of Indebtedness outstanding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1"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138813885_11168006499_3 immediately prior to such extension, refinancing or modification (other than by the amount of premiums paid thereon and the fees and expenses incurred in connection therewith); (b) such extension, refinancing or modification does not result in a shortening of the average weighted maturity (measured as of the extension, refinancing or modification) or the maturity date of the Indebtedness so extended, refinanced or modified; (c) such extension, refinancing or modification is pursuant to terms that are not less favorable to the Loan Parties and the Lenders than the terms of the Indebtedness (including, without limitation, terms relating to the collateral (if any) and subordination (if any), and if such Indebtedness is unsecured, no new lien shall be granted as a result) being extended, refinanced or modified; and (d) the Indebtedness that is extended, refinanced or modified is not recourse to any Loan Party or any of its Subsidiaries that is liable on account of the obligations other than those Persons which were obligated with respect to the Indebtedness that was refinanced, renewed, or extended. "Permitted Restricted Payments" means any of the following Restricted Payments made by: (a) any Subsidiary to a Loan Party, and (b) the Lead Borrower to pay dividends in the form of common Equity Interests., and (c) the Lead Borrower to repurchase, at one or more times prior to March 15, 2027, its Equity Interests constituting common stock in an aggregate amount not to exceed $10,000,000; provided that, (x) at the time of any tender offer or other offer to repurchase related thereto, after giving effect to such Restricted Payment, (i) no Default or Event of Default shall have occurred and be continuing or would result from the making of such payment, (ii) Liquidity of the Loan Borrower and its Subsidiaries shall not be less than $10,000,000, and (iii) immediately after giving effect to such payment, the Lead Borrower is in compliance on a pro forma basis with the covenant set forth in Section 7.03(a), recomputed for the most recently ended Test Period and (y) on or prior to the date that is five (5) Business Days prior to the commencement of any tender offer or other offer to repurchase related thereto, the Lead Borrower shall have delivered to the Agents a certificate of an Authorized Officer of the Lead Borrower certifying that such Authorized Officer has made a good faith determination, and has a reasonable basis to believe, that during the 6 month period following the date of such repurchase, Liquidity of the Lead Borrower and its Subsidiaries shall not be less than $10,000,000. "Permitted Specified Liens" means Permitted Liens described in clauses (a), (b) and (c) of the definition of Permitted Liens, and, solely in the case of Section 7.01(b)(i), including clauses (g), (h) and (i) of the definition of Permitted Liens.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2"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138813885_11168006499_3 "Person" means an individual, corporation, limited liability company, partnership, association, joint-stock company, trust, unincorporated organization, joint venture or other enterprise or entity or Governmental Authority. “Personal Information” means any data or information that alone or together with any other data or information relates to an identified or identifiable natural person, browser, device or household and any other data or information that constitutes personal data, personal information, protected health information, or personally identifiable information under any applicable Privacy Obligations. "Post-Default Rate" means a rate of interest per annum equal to the rate of interest otherwise in effect from time to time pursuant to the terms of this Agreement plus 2.00%, or, if a rate of interest is not otherwise in effect, interest at the highest rate specified herein for any Loan then outstanding prior to an Event of Default plus 2.00%. “Privacy Obligations” means all Requirements of Law, Contractual Obligations or terms of use related to the collection, Processing, disposal, storage, protection, security, transmission, or disposal of Personal Information, and includes without limitation HIPAA, the California Consumer Privacy Act of 2019 (“CCPA”) as amended by the California Privacy Rights Act of 2020 (“CPRA”), the Federal Trade Commission Act, the Telephone Consumer Protection Act of 1990 and its implementing regulations (“TCPA”), the Controlling the Assault of Non-Solicited Pornography and Marketing (“CAN-SPAM”), the Computer Fraud and Abuse Act, state data security laws, state data privacy laws, state unfair or deceptive trade practices laws, state data breach notification laws. "Pro Rata Share" means, with respect to: (a) a Lender's obligation to make the Term Loan and the right to receive payments of interest, fees, and principal with respect thereto, the percentage obtained by dividing (i) such Lender's Term Loan Commitment, by (ii) the Total Term Loan Commitment, provided that if the Total Term Loan Commitment has been reduced to zero, the numerator shall be the aggregate unpaid principal amount of such Lender's portion of the Term Loan and the denominator shall be the aggregate unpaid principal amount of the Term Loan, and (b) all other matters (including, without limitation, the indemnification obligations arising under Section 10.05), the percentage obtained by dividing (i) the unpaid principal amount of such Lender's portion of the Term Loan, by (ii) the aggregate unpaid principal amount of the Term Loan. "Proceeding” means any action, audit, claim, charge, suit, lawsuit, litigation, arbitration, mediation, hearing, complaint, demand, examination, subpoena, civil investigative demand, prosecution, inquiry, governmental audit or investigation or other proceeding or enforcement action (whether at law or in equity, whether criminal, regulatory, administrative, civil or otherwise) by, under, or before any Governmental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3"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138813885_11168006499_3 “Process” or “Processing” means any operation or set of operations which is performed on data, including Personal Information, including the receipt, access, acquisition, processing, collection, recording, organization, compilation, structuring, storage, adaptation or alteration, retrieval, consultation, use, disclosure, import, export, protection (including security measures), transfer, transmission, dissemination or otherwise making available, alignment or combination, restriction, disposal, erasure, or destruction, or other activity performed on, to, with, or regarding data (whether electronically or in any other form or medium). "Process Agent" has the meaning specified therefor in Section 12.10(b). "Projections" means the Financial Statements (Projections), as updated from time to time pursuant to Section 7.01(a)(vii). "Qualified Cash" means, as of any date of determination, the aggregate amount of unrestricted cash on-hand of the Loan Parties maintained in deposit accounts in the name of a Loan Party in the United States as of such date, which deposit accounts are subject to Control Agreements. "Qualified Equity Interests" means, with respect to any Person, all Equity Interests of such Person that are not Disqualified Equity Interests. "Real Property Deliverables" means each of the following agreements, instruments and other documents in respect of each Facility, each in form and substance reasonably satisfactory to the Collateral Agent: (a) a Mortgage duly executed by the applicable Loan Party, (b) evidence of the recording of each Mortgage in such office or offices as may be necessary or, in the reasonable opinion of the Collateral Agent, desirable to perfect the Lien purported to be created thereby or to otherwise protect the rights of the Collateral Agent and the Lenders thereunder; (c) a Title Insurance Policy or bring-down of the existing Title Insurance Policy with respect to each Mortgage, dated as of the Effective Date; (d) a current ALTA survey and a surveyor's certificate, certified to the Collateral Agent and to the issuer of the Title Insurance Policy with respect thereto by a professional surveyor licensed in the state in which such Facility is located and reasonably satisfactory to the Collateral Agent; (e) a zoning report issued by a provider reasonably satisfactory to the Collateral Agent or a copy of each letter issued by the applicable Governmental Authority, evidencing each Facility's compliance with all applicable Requirements of Law, together with a copy of all certificates of occupancy issued with respect to each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4"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138813885_11168006499_3 (f) a Phase I Environmental Site Assessment prepared in accordance with the United States Environmental Protection Agency Standards and Practices for “All Appropriate Inquiries” under Section 101(3)(B) of the Comprehensive Environmental Response, Compensation, and Liability Act as referenced in 40 CFR Part 312 and ASTM E-1527-13 “Standard Practice for Environmental Assessments” ("Phase I ESA") (and if reasonably requested by the Collateral Agent based upon the results of such Phase I ESA, a Phase II Environmental Site Assessment), by a nationally-recognized environmental consulting firm, reasonably satisfactory to the Collateral Agent; and (g) such other agreements, instruments, appraisals and other documents (including guarantees and opinions of counsel) as the Collateral Agent may reasonably require. "Recipient" means any Agent, any Lender, as applicable. "Reference Rate" means, for any period, the greatest of (a) 4.00% per annum, (b) the Federal Funds Rate plus 0.50% per annum, (c) Adjusted Term SOFR (which rate shall be calculated based upon an Interest Period of 1 month and shall be determined on a daily basis) plus 1.00% per annum, and (d)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Reference Rate shall be effective from and including the date such change is publicly announced as being effective. "Reference Rate Loan" means each portion of a Loan that bears interest at a rate determined by reference to the Reference Rate. "Register" has the meaning specified therefor in Section 12.07(f). "Registered Intellectual Property" means Intellectual Property that is issued, registered, renewed or the subject of a pending application. "Regulation T", "Regulation U" and "Regulation X" mean, respectively, Regulations T, U and X of the Board or any successor, as the same may be amended or supplemented from time to time. "Related Fund" means, with respect to any Person, an Affiliate of such Person, or a fund or account managed by such Person or an Affiliate of such Person. "Related Parties" means, with respect to any Person, such Person's Affiliates and the direct and indirect equityholders, partners, directors, officers, employees, agents, consultants, trustees, administrators, managers, advisors and representatives of such Person and of such Person's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5"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138813885_11168006499_3 "Release" means any spilling, leaking, pumping, pouring, emitting, emptying, discharging, injecting, escaping, leaching, seeping, migrating, dumping or disposing of any Hazardous Material (including the abandonment or discarding of barrels, containers and other closed receptacles containing any Hazardous Material) into the indoor or outdoor environment, including, without limitation, the movement of Hazardous Materials through or in any environmental media, including the indoor or outdoor air, soil, surface or ground water, sediments or property. "Remedial Action" means any action (a) to correct, mitigate, or address any actual, alleged or threatened violation of or non-compliance with any Environmental Law or Environmental Permit, or (b) to clean up, remove, remediate, mitigate, abate, contain, treat, monitor, assess, evaluate, investigate, prevent, minimize or in any other way address any environmental condition or the actual, alleged or threatened presence, Release or threatened Release of any Hazardous Materials (including the performance of pre-remedial studies and investigations and post-remedial operation and maintenance activities). "Replacement Lender" has the meaning specified therefor in Section 12.02(c). "Replacement Rate" has the meaning specified therefor in Section 2.07(g). "Reportable Event" means an event described in Section 4043 of ERISA (other than an event not subject to the provision for 30-day notice to the PBGC under the regulations promulgated under such Section). "Required Lenders" means Lenders whose Pro Rata Shares (calculated in accordance with clause (c) of the definition thereof) aggregate at least 50.1%. "Required Prepayment Date" shall have the meaning assigned to such term in Section 2.05(g). "Requirements of Law" means, with respect to any Person, collectively, the common law and any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 "Restricted Payment" means (a) the declaration or payment of any dividend or other distribution, direct or indirect, on account of any Equity Interests of any Loan Party or any of its Subsidiaries, now or hereafter outstanding, together with any payment or distribution pursuant to a "plan of division" under the Delaware Limited Liability Company Act or any comparable transaction under any similar law, (b) the making of any repurchase, redemption, retirement, defeasance, sinking fund or similar payment, purchase or other acquisition for value, direct or indirect, of any Equity Interests of any Loan Party or any direct or indirect parent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6"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138813885_11168006499_3 Loan Party, now or hereafter outstanding, (c) the making of any payment to retire, or to obtain the surrender of, any outstanding warrants, options or other rights for the purchase or acquisition of shares of any class of Equity Interests of any Loan Party, now or hereafter outstanding, (d) the return of any Equity Interests to any shareholders or other equity holders of any Loan Party or any of its Subsidiaries, or make any other distribution of property, assets, shares of Equity Interests, warrants, rights, options, obligations or securities thereto as such or (e) the payment of any management, consulting, monitoring or advisory fees or any other fees or expenses (including the reimbursement thereof by any Loan Party or any of its Subsidiaries) pursuant to any management, consulting, monitoring, advisory or other services agreement to any of the shareholders or other equityholders of any Loan Party or any of its Subsidiaries or other Affiliates, or to any other Subsidiaries or Affiliates of any Loan Party. "Sale and Leaseback Transaction" means, with respect to the Lead Borrower or any of its Subsidiaries, any arrangement, directly or indirectly, with any Person whereby the Lead Borrower or any of its Subsidiaries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 "Sanctioned Country" means, at any time, a country or territory that is the subject or target of any Sanctions that broadly prohibit dealings with that country or territory (which, as of the Effective Date, include Crimea, Cuba, Iran, North Korea, Sudan and Syria). "Sanctioned Person" means, at any time, (a) any Person listed in OFAC's Specially Designated Nationals and Blocked Persons List, OFAC's Sectoral Sanctions Identification List, and any other Sanctions-related list of designated Persons maintained by OFAC, the U.S. Department of State, the United Nations Security Council, the European Union, His Majesty's Treasury of the United Kingdom, Germany, Canada, Australia, or other relevant sanctions authority, (b) a Person that resides in, is organized in or located in, or has a place of business in, a country or territory named on any list referred to in clause (a) of this definition or a country or territory that is designated as a "Non-Cooperative Jurisdiction" by the Financial Action Task Force on Money Laundering, or whose subscription funds are transferred from or through any such jurisdiction (each of the foregoing in this clause (b), a "Sanction Target"), or a Person that owns 50% or more of the Equity Interests of, or is otherwise controlled by, or is acting on behalf of, one or more Sanction Targets, (c) any Person with whom or with which a U.S. Person is prohibited from dealing under any of the Sanctions, or (d) any Person owned or controlled by any Person or Persons described in clause (a) or (b). "Sanctions" means Requirements of Law concerning or relating to economic or financial sanctions or trade embargoes imposed, administered or enforced from time to time by OFAC, the U.S. Department of State, the European Union, His Majesty's Treasury of the United Kingdom, or other relevant sanctions authority. "SEC" means the Securities and Exchange Commission or any other similar or successor agency of the Federal government administering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7"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138813885_11168006499_3 "Secured Party" means any Agent, and any Lender. "Securities Act" means the Securities Act of 1933, as amended, or any similar Federal statute, and the rules and regulations of the SEC thereunder, all as the same shall be in effect from time to time. "Securitization" has the meaning specified therefor in Section 12.07(l). "Security Agreement" means a Pledge and Security Agreement, in form and substance satisfactory to the Collateral Agent, made by a Loan Party in favor of the Collateral Agent for the benefit of the Secured Parties securing the Obligations. “Security Event” means a “Breach of Unsecured Protected Health Information” as defined under HIPAA or any other unauthorized Processing or loss of Personal Information. "SOFR"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 "SOFR Deadline" has the meaning specified therefor in Section 2.07(a) hereof. "SOFR Loan" means each portion of a Loan that bears interest at a rate determined by reference to the Adjusted Term SOFR. "SOFR Notice" has the meaning specified therefor in Section 2.07(a) hereof. "SOFR Option" has the meaning specified therefor in Section 2.07(a) hereof. "Solvent" means, with respect to any Person on a particular date, that on such date (a) the fair value of the property of such Person is not less than the total amount of the liabilities of such Person, (b) the present fair salable value of the assets of such Person is not less than the amount that will be required to pay the probable liability of such Person on its existing debts as they become absolute and matured, (c) such Person is able to realize upon its assets and pay its debts and other liabilities, contingent obligations and other commitments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 "Standard &amp; Poor's" means Standard &amp; Poor's Ratings Services, a division of The McGraw Hill Companies, Inc. and any successor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8"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138813885_11168006499_3 "Subordinated Indebtedness" means Indebtedness of any Loan Party the terms of which (including, without limitation, payment terms, interest rates, covenants, remedies, defaults and other material terms) are satisfactory to the Collateral Agent and which has been expressly subordinated in right of payment to all Indebtedness of such Loan Party under the Loan Documents (a) by the execution and delivery of a subordination agreement, in form and substance satisfactory to the Collateral Agent, or (b) otherwise on terms and conditions satisfactory to the Collateral Agent. "Subsidiary" means, with respect to any Person at any date, any corporation, limited or general partnership, limited liability company, trust, estate, association, joint venture or other business entity (a) the accounts of which would be consolidated with those of such Person in such Person's consolidated financial statements if such financial statements were prepared in accordance with GAAP or (b) of which more than 50% of (i) the outstanding Equity Interests having (in the absence of contingencies) ordinary voting power to elect a majority of the Board of Directors of such Person,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Person. References to a Subsidiary shall mean a Subsidiary of the Lead Borrower unless the context expressly provides otherwise. "Taxes" means all present or future taxes, levies, imposts, duties, deductions, withholdings (including backup withholding), assessments, fees or other charges imposed by any Governmental Authority, including any interest, additions to tax or penalties applicable thereto. "Termination Date" means the first date on which all of the Obligations are paid in full in cash and the Commitments of the Lenders are terminated. "Term Loan" means, collectively, the loans made by the Term Loan Lenders to the Borrowers on the Closing Date pursuant to Section 2.01. "Term Loan Commitment" means, with respect to each Lender, the commitment of such Lender to make the Term Loan to the Borrowers in the amount set forth in Schedule 1.01(A) hereto or in the Assignment and Acceptance pursuant to which such Lender became a Lender under this Agreement, as the same may be terminated or reduced from time to time in accordance with the terms of this Agreement. "Term Loan Lender" means a Lender with a Term Loan Commitment or a Term Loan. "Term SOFR" means (a) for any calculation with respect to a SOFR Loans, the Term SOFR Reference Rate for a tenor of three months on the day (such day, the "Periodic Term SOFR Determination Day") that is two (2) Business Days prior to the first day of such Interest Period, as such rate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9"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138813885_11168006499_3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provided that if Term SOFR as so determined shall ever be less than the Floor, then Term SOFR shall be deemed to be the Floor. (b) for any calculation with respect to an Reference Rate Loan on any day, the Term SOFR Reference Rate for a tenor of one month on the day (such day, the “ABR Term SOFR Determination Day”)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 "Term SOFR Adjustment" means 0.26161% (26.161 basis points). "Term SOFR Administrator" means CME Group Benchmark Administration Limited (CBA) (or a successor administrator of the Term SOFR Reference Rate selected by the Administrative Agent in its reasonable discretion). "Term SOFR Reference Rate" means the forward-looking term rate based on SOFR. “Test Period” means the most recently ended twelve (12) month period for which financial statements have been (or were required to have been) delivered pursuant to Section 7.01(a)(i). "Title Insurance Policy" means a mortgagee's loan policy, in form and substance satisfactory to the Collateral Agent, together with all endorsements made from time to time thereto, issued to the Collateral Agent by or on behalf of a title insurance company selected by or otherwise satisfactory to the Collateral Agent, insuring the Lien created by a Mortgage in an amount and on terms and with such endorsements satisfactory to the Collateral Agent, delivered to the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0"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138813885_11168006499_3 "Total Term Loan Commitment" means the sum of the amounts of the Lenders' Term Loan Commitments. "Uniform Commercial Code" or "UCC" has the meaning specified therefor in Section 1.04. "USA PATRIOT Act" means the Uniting and Strengthening America by Providing Appropriate Tools Required to Intercept and Obstruct Terrorism (PATRIOT) Act of 2001 (Title III of Pub. L. 107-56, Oct. 26, 2001) as amended by the USA Patriot Improvement and Reauthorization Act of 2005 (Pub. L. 109-177, March 9, 2006) and as the same may have been or may be further renewed, extended, amended, or replaced. "U.S. Person" means any Person that is a "United States Person" as defined in Section 7701(a)(30) of the Internal Revenue Code. "VCOC Management Rights Agreement" has the meaning specified therefor in Section 5.01(d). "Waivable Mandatory Prepayment" shall have the meaning assigned to such term in Section 2.05(g). "WARN" has the meaning specified therefor in Section 6.01(p). "Withholding Agent" means any Loan Party and the Administrative Agent. "Working Capital" means, at any date of determination thereof, (a) the sum, for any Person and its Subsidiaries, of (i) the unpaid face amount of all Accounts of such Person and its Subsidiaries as at such date of determination, plus (ii) the aggregate amount of prepaid expenses and other current assets of such Person and its Subsidiaries as at such date of determination (other than cash, Cash Equivalents and any Indebtedness owing to such Person or any of its Subsidiaries by Affiliates of such Person), minus (b) the sum, for such Person and its Subsidiaries, of (i) the unpaid amount of all accounts payable of such Person and its Subsidiaries as at such date of determination, plus (ii) the aggregate amount of all accrued expenses of such Person and its Subsidiaries as at such date of determination (other than the current portion of long-term debt and all accrued interest and taxes). "Yield Maintenance Amount" means, as of any date of determination, an amount equal to (i) the aggregate amount of remaining interest the Lenders would earn on the Applicable Premium Subject Amount assuming the rate of interest is the Applicable Premium Interest Rate from the date of the occurrence of the Applicable Premium Trigger Event to the date that is one year after the Closing Date, plus (ii) an amount equal to 3.0% of the aggregate principal amount of Term Loans subject to the Applicable Premium Trigger Event on such date. Section 1.02 Terms Generally. The definitions of terms herein shall apply equally to the singular and plural forms of the terms defined. Whenever the context may require, any pronoun shall include the corresponding masculine, feminine and neuter forms. The words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1"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138813885_11168006499_3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right or interest in or to assets and properties of any kind whatsoever, whether real, personal or mixed and whether tangible or intangible. Section 1.03 Certain Matters of Construction. References in this Agreement to "determination" by any Agent include good faith estimates by such Agent (in the case of quantitative determinations) and good faith beliefs by such Agent (in the case of qualitative determinations).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the Required Lenders. Any Lien referred to in this Agreement or any other Loan Document as having been created in favor of any Agent, any agreement entered into by any Agent pursuant to this Agreement or any other Loan Document, any payment made by or to or funds received by any Agent pursuant to or as contemplated by this Agreement or any other Loan Document, or any act taken or omitted to be taken by any Agent, shall, unless otherwise expressly provided, be created, entered into, made or received, or taken or omitted, for the benefit or account of the Agents and the Lenders. Wherever the phrase "to the knowledge of any Loan Party" or words of similar import relating to the knowledge or the awareness of any Loan Party are used in this Agreement or any other Loan Document, such phrase shall mean and refer to (i) the actual knowledge of a senior officer of any Loan Party or (ii) the knowledge that a senior officer would have obtained if such officer had engaged in good faith and diligent performance of such officer's duties, including the making of such reasonably specific inquiries as may be necessary of the employees or agents of such Loan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2"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138813885_11168006499_3 the same or similar subject matter is correct or is not breached will not affect the incorrectness of a breach of a representation or warranty hereunder. Section 1.04 Accounting and Other Terms. (a) Unless otherwise expressly provided herein, each accounting term used herein shall have the meaning given it under GAAP. For purposes of determining compliance with any incurrence or expenditure tests set forth in Section 7.01, Section 7.02 and Section 7.03, any amounts so incurred or expended (to the extent incurred or expended in a currency other than Dollars) shall be converted into Dollars on the basis of the exchange rates (as shown on the Bloomberg currency page for such currency or, if the same does not provide such exchange rate, by reference to such other publicly available service for displaying exchange rates as may be reasonably selected by the Agents or, in the event no such service is selected, on such other basis as is reasonably satisfactory to the Agents)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publicly available service for displaying exchange rates as may be reasonably selected by the Agents or, in the event no such service is selected, on such other basis as is reasonably satisfactory to the Agents) as in effect on the date of any new incurrence or expenditures made under any provision of any such Section that regulates the Dollar amount outstanding at any time). Notwithstanding the foregoing, (i) with respect to the accounting for leases as either operating leases or capital leases and the impact of such accounting in accordance with FASB ASC 842 on the definitions and covenants herein, GAAP as in effect on December 31, 2018 shall be applied, (ii) for purposes of determining compliance with any covenant (including the computation of any financial covenant) contained herein, Indebtedness of the Lead Borrower and its Subsidiaries shall be deemed to be carried at 100% of the outstanding principal amount thereof, and the effects of FASB ASC 825 and FASB ASC 470-20 on financial liabilities shall be disregarded and (iii) with respect to revenue recognition and the impact of such accounting in accordance with FASB ASC 606 on the definitions and covenants herein, GAAP as in effect on December 31, 2017 shall be applied. (b) All terms used in this Agreement which are defined in Article 8 or Article 9 of the Uniform Commercial Code as in effect from time to time in the State of New York (the "Uniform Commercial Code" or the "UCC") and which are not otherwise defined herein shall have the same meanings herein as set forth therein, provided that terms used herein which are defined in the Uniform Commercial Code as in effect in the State of New York on the date hereof shall continue to have the same meaning notwithstanding any replacement or amendment of such statute except as any Agent may otherwise determine. Section 1.05 Time References. Unless otherwise indicated herein, all references to time of day refer to Eastern Standard Time or Eastern daylight saving time, as in effect in New York City on such day. For purposes of the computation of a period of time from a specified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3"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138813885_11168006499_3 date to a later specified date, the word "from" means "from and including" and the words "to" and "until" each means "to but excluding"; provided, however, that with respect to a computation of fees or interest payable to any Secured Party, such period shall in any event consist of at least one full day. Section 1.06 Interest Rates. The Administrative Agent does not warrant or accept responsibility for, and shall not have any liability with respect to the continuation of, administration of, submission of, calculation of or any other matter related to the Term SOFR Reference Rate, Adjusted Term SOFR or Term SOFR, or any component definition thereof or rates referred to in the definition thereof, or any alternative, successor or replacement rate thereto, including whether the composition or characteristics of any such alternative, successor or replacement rate will be similar to, or produce the same value or economic equivalence of, or have the same volume or liquidity as, the Term SOFR Reference Rate, Adjusted Term SOFR, or Term SOFR prior to its discontinuance or unavailability. The Administrative Agent and its affiliates or other related entities may engage in transactions that affect the calculation of the Term SOFR Reference Rate, Term SOFR, Adjusted Term SOFR, any alternative, successor or replacement rate or any relevant adjustments thereto, in each case, in a manner adverse to the Borrower. The Administrative Agent may select information sources or services in its reasonable discretion to ascertain the Term SOFR Reference Rate, Term SOFR, or Adjusted Term SOFR,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ARTICLE II THE LOANS Section 2.01 Commitments. Subject to the terms and conditions and relying upon the representations and warranties herein set forth, each Term Loan Lender severally agrees to make the Term Loan to the Borrowers on the Closing Date, in an aggregate principal amount not to exceed the amount of such Lender's Term Loan Commitment. Notwithstanding the foregoing, the aggregate principal amount of the Term Loan made on the Closing Date shall not exceed the Total Term Loan Commitment. Any principal amount of the Term Loan which is repaid or prepaid may not be reborrowed. Section 2.02 Making the Loans. (a) The Lead Borrower shall give the Administrative Agent prior telephonic notice (immediately confirmed in writing, in substantially the form of Exhibit C hereto (a "Notice of Borrowing")), not later than 12:00 noon (New York City time) on the date which is three Business Days prior to the Closing Date (or such shorter period as the Administrative Agent is willing to accommodate in its sole discretion). Such Notice of Borrowing shall be irrevocable and shall specify (i) the principal amount of the proposed Loan, (ii) whether the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4"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138813885_11168006499_3 is requested to be a Reference Rate Loan or a SOFR Loan and, in the case of a SOFR Loan, the initial Interest Period with respect thereto, (iii) the proposed Closing Date and (iv) the wire instructions of the Lead Borrower. The Administrative Agent and each Lender shall be entitled to rely conclusively on any Authorized Officer's authority to request a Loan on behalf of the Borrowers until the Administrative Agent receives written notice to the contrary. The Administrative Agent and the Lenders shall have no duty to verify the authenticity of the signature appearing on any written Notice of Borrowing. (b) The Notice of Borrowing pursuant to this Section 2.02 may be conditional upon the occurrence of the Closing Date. (c) All Loans under this Agreement shall be made by the Lenders simultaneously and proportionately to their Pro Rata Shares of the Total Term Loan Commitment, it being understood that no Lender shall be responsible for any default by any other Lender in that other Lender's obligations to make a Loan requested hereunder, nor shall the Commitment of any Lender be increased or decreased as a result of the default by any other Lender in that other Lender's obligation to make a Loan requested hereunder, and each Lender shall be obligated to make the Loans required to be made by it by the terms of this Agreement regardless of the failure by any other Lender. Section 2.03 Repayment of Loans; Evidence of Debt. (a) The outstanding principal amount of the Term Loan shall be repayable in quarterly installments on the last Business Day of each fiscal quarter commencing on December 31, 2023 equal to 1.25% of the principal amount of the Term Loan issued on the Closing Date (or in the case of the first repayment date, a pro rata portion of such amount for the period commencing with the Closing Date and ending on December 31, 2023). The outstanding unpaid principal amount of the Term Loan, and all accrued and unpaid interest thereon, shall be due and payable on the earliest of (i) the Final Maturity Date and (ii) the date on which the Term Loan is declared due and payable pursuant to the terms of this Agreement. (b)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(c) The Administrative Agent shall maintain accounts in which it shall record (i) the amount of each Loan made hereunder, (ii) the amount of any principal or interest due and payable or to become due and payable from the Borrowers to each Lender hereunder and (iii) the amount of any sum received by the Administrative Agent hereunder for the account of the Lenders and each Lender's share thereof. (d) Subject to the entries in the Register, the entries made in the accounts maintained pursuant to Section 2.03(b) or Section 2.03(c) shall be prima facie evidence of the existence and amounts of the obligations recorded therein; provided that (i) the failure of any Lender or the Administrative Agent to maintain such accounts or any error therein shall not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5"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138813885_11168006499_3 any manner affect the obligation of the Borrowers to repay the Loans in accordance with the terms of this Agreement and (ii) in the event of any conflict between the entries made in the accounts maintained pursuant to Section 2.03(b) and the accounts maintained pursuant to Section 2.03(c), the accounts maintained pursuant to Section 2.03(c) shall govern and control. (e) Any Lender may request that Loans made by it be evidenced by a promissory note. In such event, the Borrowers shall execute and deliver to such Lender a promissory note payable to the Lender (or, if requested by such Lender, to such Lender and its registered assigns) in a form furnished by the Collateral Agent and reasonably acceptable to the Borrowers. Thereafter, the Loans evidenced by such promissory note and interest thereon shall at all times (including after assignment pursuant to Section 12.07) be represented by one or more promissory notes in such form payable to the payee named therein (or to such payee and its registered assigns). Section 2.04 Interest. (a) Term Loan. Subject to the terms of this Agreement, at the option of the Borrowers, the Term Loan or any portion thereof shall be either a Reference Rate Loan or a SOFR Loan. Each portion of the Term Loan that is a Reference Rate Loan shall bear interest on the principal amount thereof from time to time outstanding, from the date of the Term Loan until repaid, at a rate per annum equal to the Reference Rate plus the Applicable Margin, and each portion of the Term Loan that is a SOFR Loan shall bear interest on the principal amount thereof from time to time outstanding, from the date of the Term Loan until repaid, at a rate per annum equal to Adjusted Term SOFR for the Interest Period in effect for the Term Loan (or such portion thereof) plus the Applicable Margin. (b) Default Interest. To the extent permitted by law and notwithstanding anything to the contrary in this Section, following written notice from the Administrative Agent to the Borrowers upon the occurrence and during the continuance of an Event of Default, the principal of, and all accrued and unpaid interest on, all Loans, fees, indemnities or any other Obligations of the Loan Parties under this Agreement and the other Loan Documents, shall bear interest, from the date such Event of Default occurred until the date such Event of Default is cured or waived in writing in accordance herewith, at a rate per annum equal at all times to the Post-Default Rate. (c) Interest Payment. Interest on each Loan shall be payable (i) in the case of a Reference Rate Loan, monthly, in arrears, on the last Business Day of each month, commencing on the last Business Day of the month following the month in which such Loan is made, (ii) in the case of a SOFR Loan, on the last day of each Interest Period applicable to such Loan, and (iii) in the case of each Loan, at maturity (whether upon demand, by acceleration or otherwise). Interest at the Post-Default Rate shall be payable on demand. (d) General. All interest and fees shall be computed on the basis of a year of 360 days for the actual number of days, including the first day but excluding the last day, elapsed.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6"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138813885_11168006499_3 Section 2.05 Reduction of Commitment; Prepayment of Loans. (a) Reduction of Commitments. The Total Term Loan Commitment shall terminate on the earliest to occur of (i) on 5:00 p.m. (New York City time) ten (10) Business Days after the Effective Date, (ii) upon the funding of any Term Loan on or prior to such date and (iii) upon the occurrence of the Closing Date Merger without the funding of any Term Loans. Upon the occurrence of a commitment termination pursuant to clause (i) or (iii) above, the Applicable Premium shall be due and payable. (b) Optional Prepayment. (i) [Reserved]. (ii) Term Loan. The Borrowers may, at any time and from time to time, upon at least 5 Business Days' prior written notice to the Administrative Agent, prepay the principal of the Term Loan, in whole or in part. Each prepayment made pursuant to this Section 2.05(b)(ii) shall be accompanied by the payment of (A) accrued interest to the date of such payment on the amount prepaid and (B) the Applicable Premium, if any, payable in connection with such prepayment of the Term Loan. Each such prepayment shall be applied against the remaining installments of principal due on the Term Loan in the inverse order of maturity. (iii) Termination of Agreement. The Borrowers may, upon at least 10 days prior written notice to the Administrative Agent, terminate this Agreement by paying to the Administrative Agent, in cash, the Obligations, in full, plus the Applicable Premium, if any, payable in connection with such termination of this Agreement. If the Borrowers have sent a notice of termination pursuant to this Section 2.05(b)(iii), then the Lenders' obligations (if any) to extend credit hereunder shall terminate and the Borrowers shall be obligated to repay the Obligations in full, plus the Applicable Premium, if any, payable in connection with such termination of this Agreement on the date set forth as the date of termination of this Agreement in such notice. (c) Mandatory Prepayment. (i) Contemporaneously with the delivery to the Agents and the Lenders of audited annual financial statements pursuant to Section 7.01(a)(iii), commencing with the delivery to the Agents and the Lenders of the financial statements for the Fiscal Year ended December 31, 2024 or, if such financial statements are not delivered to the Agents and the Lenders on the date such statements are required to be delivered pursuant to Section 7.01(a)(iii), on the date such statements are required to be delivered to the Agents and the Lenders pursuant to Section 7.01(a)(iii), the Borrowers shall prepay the outstanding principal amount of the Loans in accordance with Section 2.05(d) in an amount equal to, if the Leverage Ratio of the Lead Borrower and its Subsidiaries as of the end of such Fiscal Year is (A) greater than 4.10:1.00, prepay the outstanding principal amount of the Loans in accordance with Section 2.05(d) in an amount equal to 75% of the Excess Cash Flow of the Lead Borrower and its Subsidiaries for such Fiscal Year, (B) equal to or less than 4.10:1.00 but greater than 3.60:1.00, prepay the outstanding principal amount of the Loans in accordance with Section 2.05(d) in an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7"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138813885_11168006499_3 equal to 50% of the Excess Cash Flow of the Lead Borrower and its Subsidiaries for such Fiscal Year and (C) equal to or less than 3.60:1.00, prepay the outstanding principal amount of the Loans in accordance with Section 2.05(d) in an amount equal to 25% of the Excess Cash Flow of the Lead Borrower and its Subsidiaries for such Fiscal Year. (ii) Immediately upon any Disposition pursuant to Section (i) of the definition of Permitted Disposition by any Loan Party or its Subsidiaries, the Borrowers shall prepay the outstanding principal amount of the Loans in accordance with Section 2.05(d), together with the Applicable Premium, if any, in an amount equal to 100% of the Net Cash Proceeds received by such Person in connection with such Disposition to the extent that the aggregate amount of Net Cash Proceeds received by all Loan Parties and their Subsidiaries (and not paid to the Administrative Agent as a prepayment of the Loans) shall exceed for all such Dispositions $25,000 in any Fiscal Year. Nothing contained in this Section 2.05(c)(ii) shall permit any Loan Party or any of its Subsidiaries to make a Disposition of any property other than in accordance with Section 7.02(c)(ii). (iii) Upon the issuance or incurrence by any Loan Party or any of its Subsidiaries of any Indebtedness (other than Permitted Indebtedness), the Borrowers shall prepay the outstanding amount of the Loans, together with the Applicable Premium, if any, in accordance with Section 2.05(d) in an amount equal to 100% of the Net Cash Proceeds received by such Person in connection therewith. The provisions of this Section 2.05(c)(iii) shall not be deemed to be implied consent to any such issuance, incurrence or sale otherwise prohibited by the terms and conditions of this Agreement. (iv) Upon the receipt by any Loan Party or any of its Subsidiaries of any Extraordinary Receipts, the Borrowers shall prepay the outstanding principal of the Loans, together with the Applicable Premium, if any, in accordance with Section 2.05(d) in an amount equal to 100% of the Net Cash Proceeds received by such Person in connection therewith. (v) [Reserved]. (vi) Notwithstanding the foregoing, with respect to Net Cash Proceeds received by any Loan Party or any of its Subsidiaries in connection with a Disposition or the receipt of Extraordinary Receipts consisting of insurance proceeds or condemnation awards that are required to be used to prepay the Obligations pursuant to Section 2.05(c)(ii) or Section 2.05(c)(iv), as the case may be, up to $1,000,000 in the aggregate in any Fiscal Year of the Net Cash Proceeds from all such Dispositions and Extraordinary Receipts shall not be required to be so used to prepay the Obligations to the extent that such Net Cash Proceeds are used to replace, or, in the case of insurance condemnation money, repair or restore properties or assets (in each case, other than current assets) used in such Person's business and which properties or assets shall constitute Collateral in which the Collateral Agent shall have a first priority Lien, provided that, (A) no Default or Event of Default has occurred and is continuing on the date such Person receives such Net Cash Proceeds, (B) the Lead Borrower delivers a certificate to the Administrative Agent within 5 days after such Disposition or loss, destruction or taking, as the case may be, stating that such Net Cash Proceeds shall be used to replace, repair or restore properties or assets used in such Person's business within a period specified in such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8"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138813885_11168006499_3 not to exceed 180 days after the date of receipt of such Net Cash Proceeds (which certificate shall set forth estimates of the Net Cash Proceeds to be so expended), (C) such Net Cash Proceeds are deposited in an account subject to a Control Agreement, and (D) upon the earlier of (1) the expiration of the period specified in the relevant certificate furnished to the Administrative Agent pursuant to clause (B) above or (2) the occurrence of a Default or an Event of Default, such Net Cash Proceeds, if not theretofore so used, shall be used to prepay the Obligations in accordance with Section 2.05(c)(ii) or Section 2.05(c)(iv) as applicable, together with the Applicable Premium, if any. (d) Application of Payments. Each prepayment pursuant to subsections (c)(i), (c)(ii), (c)(iii), (c)(iv) and (c)(v) above shall be applied, to the Term Loan, until paid in full. Each such prepayment of the Term Loan shall be applied against the remaining installments of principal of the Term Loan in the inverse order of maturity. Notwithstanding the foregoing, after the occurrence and during the continuance of an Event of Default, if the Administrative Agent has elected, or has been directed by the Collateral Agent or the Required Lenders, to apply payments in respect of any Obligations in accordance with Section 4.03(b), prepayments required under Section 2.05(c) shall be applied in the manner set forth in Section 4.03(b). (e) Interest and Fees. Any prepayment made pursuant to this Section 2.05 shall be accompanied by (i) accrued interest on the principal amount being prepaid to the date of prepayment, (ii) any Funding Losses payable pursuant to Section 2.08, (iii) the Applicable Premium, if any, payable in connection with such prepayment of the Loans to the extent required under Section 2.06(b) and (iv) if such prepayment would reduce the amount of the outstanding Loans to zero, such prepayment shall be accompanied by the payment of all fees accrued to such date pursuant to Section 2.06. (f) Cumulative Prepayments. Except as otherwise expressly provided in this Section 2.05, payments with respect to any subsection of this Section 2.05 are in addition to payments made or required to be made under any other subsection of this Section 2.05. (g) Waivable Mandatory Prepayments. Anything contained herein to the contrary notwithstanding, in the event that the Borrowers are required to make any mandatory prepayment (a “Waivable Mandatory Prepayment”) of the Loans pursuant to Section 2.05(c), not less than 2 Business Day prior to the date on which the Borrowers are required to make such Waivable Mandatory Prepayment (the “Required Prepayment Date”), the Borrowers shall notify the Administrative Agent in writing of the amount of such prepayment, and the Administrative Agent will promptly thereafter notify each Lender of the amount of such Lender’s Pro Rata Share of such Waivable Mandatory Prepayment and such Lender’s option to refuse such amount. Each such Lender may exercise such option by giving written notice to the Lead Borrower and the Administrative Agent of its election to do so on or before 12:00 noon (New York City time) one Business Day prior to the Required Prepayment Date (it being understood that any Lender that does not notify the Lead Borrower and the Administrative Agent of its election to exercise such option on or before 12:00 noon (New York City time) one Business Day prior to the Required Prepayment Date shall be deemed to have elected, as of such date, not to exercise such option). On the Required Prepayment Date, the Borrowers shall pay to the Administrative Agent the amount of the Waivable Mandatory Prepayment, which amount shall be applied (i) in an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9"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138813885_11168006499_3 equal to that portion of the Waivable Mandatory Prepayment payable to those Lenders that have elected not to exercise such option, to prepay the Loans of such Lenders (which prepayment shall be applied to prepay the outstanding principal amount of the Obligations in accordance with Section 2.05(d)) and (ii) to the extent of any excess, to the Borrowers for working capital and general corporate purposes. Section 2.06 Fees. (a) The Borrowers agree to pay to the Agents and Lenders the fees set forth in the Fee Letter. Such fees shall be nonrefundable once paid. (b) Applicable Premium. (i) Upon the occurrence of an Applicable Premium Trigger Event, the Borrowers shall pay to the Administrative Agent, for the account of the Lenders in accordance with their Pro Rata Shares, the Applicable Premium. (ii) Any Applicable Premium payable in accordance with this Section 2.06(b) shall be presumed to be equal to the liquidated damages sustained by the Lenders as the result of the occurrence of the Applicable Premium Trigger Event and the Loan Parties agree that it is reasonable under the circumstances currently existing. THE LOAN PARTIES EXPRESSLY WAIVE THE PROVISIONS OF ANY PRESENT OR FUTURE STATUTE OR LAW THAT PROHIBITS OR MAY PROHIBIT THE COLLECTION OF THE FOREGOING APPLICABLE PREMIUM IN CONNECTION WITH ANY ACCELERATION. (iii) The Loan Parties expressly agree that: (A) the Applicable Premium is reasonable and is the product of an arm's length transaction between sophisticated business people, ably represented by counsel; (B) the Applicable Premium shall be payable notwithstanding the then prevailing market rates at the time payment is made; (C) there has been a course of conduct between the Lenders and the Loan Parties giving specific consideration in this transaction for such agreement to pay the Applicable Premium; (D) the Loan Parties shall be estopped hereafter from claiming differently than as agreed to in this paragraph; (E) their agreement to pay the Applicable Premium is a material inducement to Lenders to provide the Commitments and make the Loans, and (F) the Applicable Premium represents a good faith, reasonable estimate and calculation of the lost profits or damages of the Agents and the Lenders and that it would be impractical and extremely difficult to ascertain the actual amount of damages to the Agents and the Lenders or profits lost by the Agents and the Lenders as a result of such Applicable Premium Trigger Event. (iv) Nothing contained in this Section 2.06(b) shall permit any prepayment of the Loans or reduction of the Commitments not otherwise permitted by the terms of this Agreement or any other Loan Document. Section 2.07 SOFR Option.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0"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138813885_11168006499_3 (a) The Lead Borrower may, at any time and from time to time, so long as no Default or Event of Default has occurred and is continuing, elect to have interest on all or a portion of the Loans be charged at a rate of interest based upon the Adjusted Term SOFR (the "SOFR Option") by notifying the Administrative Agent prior to 11:00 a.m. (New York City time) at least three (3) Business Days prior to (i) the proposed borrowing date of a Loan (as provided in Section 2.02), (ii) in the case of the conversion of a Reference Rate Loan to a SOFR Loan, the commencement of the proposed Interest Period or (iii) in the case of the continuation of a SOFR Loan as a SOFR Loan, the last day of the then current Interest Period (the "SOFR Deadline"). Notice of the Lead Borrower’s election of the SOFR Option for a permitted portion of the Loans and an Interest Period pursuant to this Section 2.07 shall be made by delivery to the Administrative Agent of (A) a Notice of Borrowing (in the case of the initial making of a Loan) in accordance with Section 2.02 or (B) a notice in writing, in substantially the form of Exhibit D hereto (a “SOFR Notice”) prior to the SOFR Deadline. Promptly upon its receipt of each such SOFR Notice, the Administrative Agent shall provide a copy thereof to each of the Lenders. Each SOFR Notice shall be irrevocable and binding on the Borrowers. (b) Interest on SOFR Loans shall be payable in accordance with Section 2.04(c). On the last day of each applicable Interest Period, unless the Lead Borrower has properly exercised the SOFR Option with respect thereto, the interest rate applicable to such SOFR Loans automatically shall convert to the rate of interest then applicable to Reference Rate Loans of the same type hereunder. At any time that a Default or an Event of Default has occurred and is continuing, the Lead Borrower no longer shall have the option to request that any portion of the Loans bear interest at the Adjusted Term SOFR and the Administrative Agent shall have the right to convert the interest rate on all outstanding SOFR Loans to the rate of interest then applicable to Reference Rate Loans of the same type hereunder on the last day of the then current Interest Period. (c) Notwithstanding anything to the contrary contained in this Agreement, the Borrowers (i) shall have not more than two SOFR Loans in effect at any given time, and (ii) only may exercise the SOFR Option for SOFR Loans of at least $500,000 and integral multiples of $100,000 in excess thereof. (d) The Borrowers may prepay SOFR Loans at any time; provided, however, that in the event that SOFR Loans are prepaid on any date that is not the last day of the Interest Period applicable thereto, including as a result of any mandatory prepayment pursuant to Section 2.05(c) or any application of payments or proceeds of Collateral in accordance with Section 4.03 or Section 4.04 or for any other reason, including early termination of the term of this Agreement or acceleration of all or any portion of the Obligations pursuant to the terms hereof, the Borrowers shall indemnify, defend, and hold the Agents and the Lenders and their participants harmless against any and all Funding Losses in accordance with Section 2.08. (e) Notwithstanding anything to the contrary herein or in any other Loan Document, upon the occurrence of a Benchmark Transition Event, the Administrative Agent and the Required Lenders may amend this Agreement to replace the then-current Benchmark with a Benchmark Replacement. The parties shall use commercially reasonable efforts to satisfy any applicable IRS guidance, including Treasury Regulation Section 1.1001-6 and any future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1"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138813885_11168006499_3 guidance, to the effect that the implementation of a Benchmark Replacement will not result in a deemed exchange for U.S. federal income tax purposes of any Loan under this Agreement for U.S. federal income tax purposes. (f)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(g) The Administrative Agent will promptly notify the Borrowers and the Lenders of (i) the implementation of any Benchmark Replacement and (ii) the effectiveness of any Benchmark Replacement Conforming Changes in connection with the use, administration, adoption or implementation of a Benchmark Replacement. Any determination, decision or election that may be made by the Administrative Agent and the Required Lenders pursuant to this Section 2.07,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(h)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(a) Upon the Lead Borrower's receipt of notice of the commencement of a Benchmark Unavailability Period, the Lead Borrower may revoke any pending request for a borrowing of, conversion to or continuation of SOFR Loans to be made, converted or continued during any Benchmark Unavailability Period and, failing that, the Borrowers will be deemed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2"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138813885_11168006499_3 have converted any such request into a request for a Borrowing of or conversion to Reference Rate Loans. Section 2.08 Funding Losses. In connection with each SOFR Loan, the Borrowers shall indemnify, defend, and hold the Agents and the Lenders harmless against any loss, cost, or expense incurred by any Agent or any Lender as a result of (a) the payment of any principal of any SOFR Loan other than on the last day of an Interest Period applicable thereto (including as a result of a Default or an Event of Default or any mandatory prepayment required pursuant to Section 2.05(c)), (b) the conversion of any SOFR Loan other than on the last day of the Interest Period applicable thereto (including as a result of a Default or an Event of Default), or (c) the failure to borrow, convert, continue or prepay any SOFR Loan on the date specified in any Notice of Borrowing or SOFR Notice delivered pursuant hereto (such losses, costs, and expenses, collectively, "Funding Losses"). Funding Losses shall, with respect to any Agent or any Lender, be deemed to equal the amount reasonably determined by such Agent or such Lender to be the excess, if any, of (i) the amount of interest that would have accrued on the principal amount of such SOFR Loan had such event not occurred, at the Adjusted Term SOFR that would have been applicable thereto, for the period from the date of such event to the last day of the then current Interest Period therefor (or, in the case of a failure to borrow, convert or continue, for the period that would have been the Interest Period therefor), minus (ii) the amount of interest that would accrue on such principal amount for such period at the interest rate which such Agent or such Lender would be offered were it to be offered, at the commencement of such period, Dollar deposits of a comparable amount and period in the London interbank market. A certificate of an Agent or a Lender delivered to the Lead Borrower setting forth any amount or amounts that such Agent or such Lender is entitled to receive pursuant to this Section 2.08 shall be conclusive absent manifest error. Section 2.09 Taxes. (a) Any and all payments by or on account of any obligation of any Loan Party hereunder or under any other Loan Document shall be made free and clear of and without deduction or withholding for any and all Taxes, except as required by applicable law. If any applicable law (as determined in the good faith discretion of any Withholding Agent) requires the deduction or withholding of any Taxes from or in respect of any such payment, (i) the applicable Withholding Agent shall make such deduction or withholding, (ii) the applicable Withholding Agent shall pay the full amount deducted to the relevant Governmental Authority in accordance with applicable law and (iii) if such Tax is an Indemnified Tax, then the sum payable by the applicable Loan Party shall be increased by the amount (an "Additional Amount") necessary such that after making all required deductions and withholdings (including deductions and withholdings applicable to additional sums payable under this Section 2.09) the applicable Recipient receives the amount equal to the sum it would have received had no such deduction or withholding been made. (b) In addition, each Loan Party shall pay to the relevant Governmental Authority in accordance with applicable law any Other Taxes, or at the option of the Administrative Agent timely reimburse it for the payment of any Other Taxes by any Secured Party. As soon as practicable after any payment of Taxes by a Loan Party to a Governmental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3"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138813885_11168006499_3 Authority pursuant to this Section,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(c)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 Loan Party by a Lender (with a copy to the Administrative Agent), or by the Administrative Agent on its own behalf or on behalf of a Lender, shall be conclusive absent manifest error. (d) (1) Any Lender that is entitled to an exemption from or reduction of withholding Tax with respect to payments made under any Loan Document shall deliver to the Lead Borrower and the Administrative Agent, at the time or times reasonably requested by the Lead Borrower or the Administrative Agent, such properly completed and executed documentation reasonably requested by the Lead Borrower or the Administrative Agent as will permit such payments to be made without withholding or at a reduced rate of withholding. In addition, any Lender, if reasonably requested by the Lead Borrower or the Administrative Agent, shall deliver such other documentation prescribed by applicable law or reasonably requested by the Lead Borrower or the Administrative Agent as will enable the Lead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2.09(d)(i)(A), (d)(i)B) and (d)(i)D) below) shall not be required if in the Lender's reasonable judgment such completion, execution or submission would subject such Lender to any material unreimbursed cost or expense or would materially prejudice the legal or commercial position of such Lender. (i) Without limiting the generality of the foregoing, (A) any Lender that is a U.S. Person shall deliver to the Lead Borrower and the Administrative Agent on about the date on which such Lender becomes a Lender under this Agreement (and from time to time thereafter upon the reasonable request of the Lead Borrower or the Administrative Agent), executed copies of IRS Form W-9 certifying that such Lender is exempt from U.S. federal backup withholding tax; (B) any Lender that is not a U.S. Person (a "Foreign Lender") shall, to the extent it is legally entitled to do so, deliver to the Lead Borrower and the Administrative Agent (in such number of copies as shall be reasonably requested by the recipient) on or about the date on which such Foreign Lender becomes a Lender under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4"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138813885_11168006499_3 Agreement (and from time to time thereafter upon the reasonable request of the Lead Borrower or the Administrative Agent), whichever of the following is applicable: (1) 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 (2) executed copies of IRS Form W-8ECI; (3) in the case of a Foreign Lender claiming the benefits of the exemption for portfolio interest under Section 881(c) of the Internal Revenue Code, (x) a certificate substantially in the form of Exhibit 2.09(d)-1 hereto to the effect that such Foreign Lender is not a "bank" within the meaning of Section 881(c)(3)(A) of the Internal Revenue Code, a "10 percent shareholder" of the Lead Borrower within the meaning of Section 881(c)(3)(B) of the Internal Revenue Code, or a "controlled foreign corporation" described in Section 881(c)(3)(C) of the Internal Revenue Code (a "U.S. Tax Compliance Certificate") and (y) executed copies of IRS Form W-8BEN or W-8BEN-E; or (4) to the extent a Foreign Lender is not the beneficial owner, executed copies of IRS Form W-8IMY, accompanied by IRS Form W-8ECI, IRS Form W-8BEN or W-8BEN-E, a U.S. Tax Compliance Certificate substantially in the form of Exhibit 2.09(d)-2 or Exhibit 2.09(d)-3,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2.09(d)-4 on behalf of each such direct and indirect partner; (C) any Foreign Lender shall, to the extent it is legally entitled to do so, deliver to the Lead Borrower and the Administrative Agent (in such number of copies as shall be reasonably requested by the recipient) on or about the date on which such Foreign Lender becomes a Lender under this Agreement (and from time to time thereafter upon the reasonable request of the Lead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Lead Borrower or the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5"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138813885_11168006499_3 Lender shall deliver to the Lead Borrower and the Administrative Agent at the time or times prescribed by law and at such time or times reasonably requested by the Lead Borrower or the Administrative Agent such documentation prescribed by applicable law (including as prescribed by Section 1471(b)(3)(C)(i) of the Internal Revenue Code) and such additional documentation reasonably requested by the Lead Borrower or the Administrative Agent as may be necessary for the Lead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Each Lender agrees that if any form or certification it previously delivered expires or becomes obsolete or inaccurate in any respect, it shall update such form or certification or promptly notify the Administrative Agent in writing of its legal inability to do so. (e)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12.07(i)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 (f) If any party determines, in its sole discretion exercised in good faith, that it has received a refund of any Taxes as to which it has been indemnified pursuant to this Section 2.09 (including by the payment of additional amounts pursuant to this Section 2.09), it shall pay to the indemnifying party an amount equal to such refund (but only to the extent of indemnity payments made under this Section 2.09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(f) (plus any penalties, interest or other charges imposed by the relevant Governmental Authority) in the event that such indemnified party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6"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138813885_11168006499_3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(g) The obligations of the Loan Parties under this Section 2.09 shall survive the termination of this Agreement and the payment of the Loans and all other amounts payable hereunder. Section 2.10 Increased Costs and Reduced Return. (a) If any Secured Party shall have determined that any Change in Law shall (i)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(ii) impose, modify or deem applicable any reserve, special deposit or similar requirement against any Loan or against assets of or held by, or deposits with or for the account of, or credit extended by, such Secured Party or any Person controlling such Secured Party or (iii) impose on such Secured Party or any Person controlling such Secured Party any other condition regarding this Agreement or any Loan, and the result of any event referred to in clauses (i), (ii) or (iii) above shall be to increase the cost to such Secured Party of making any Loan, or agreeing to make any Loan, or to reduce any amount received or receivable by such Secured Party hereunder, then, upon demand by such Secured Party, the Borrowers shall pay to such Secured Party such additional amounts as will compensate such Secured Party for such increased costs or reductions in amount. (b) If any Secured Party shall have determined that any Change in Law either (i) affects or would affect the amount of capital required or expected to be maintained by such Secured Party or any Person controlling such Secured Party, and such Secured Party determines that the amount of such capital is increased as a direct or indirect consequence of any Loans made or maintained, such Secured Party's or such other controlling Person's other obligations hereunder, or (ii) has or would have the effect of reducing the rate of return on such Secured Party's or such other controlling Person's capital to a level below that which such Secured Party or such controlling Person could have achieved but for such circumstances as a consequence of any Loans made or maintained, or any agreement to make Loans or such Secured Party's or such other controlling Person's other obligations hereunder (in each case, taking into consideration, such Secured Party's or such other controlling Person's policies with respect to capital adequacy), then, upon demand by such Secured Party, the Borrowers shall pay to such Secured Party from time to time such additional amounts as will compensate such Secured Party for such cost of maintaining such increased capital or such reduction in the rate of return on such Secured Party's or such other controlling Person's capital. (c) All amounts payable under this Section 2.10 shall bear interest from the date that is 10 days after the date of demand by any Secured Party until payment in full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7"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138813885_11168006499_3 Secured Party at the Reference Rate. A certificate of such Secured Party claiming compensation under this Section 2.10, specifying the event herein above described and the nature of such event shall be submitted by such Secured Party to the Borrower, setting forth the additional amount due and an explanation of the calculation thereof, and such Secured Party's reasons for invoking the provisions of this Section 2.10, and shall be final and conclusive absent manifest error. (d) Failure or delay on the part of any Lender to demand compensation pursuant to the foregoing provisions of this Section 2.10 shall not constitute a waiver of such Lender's right to demand such compensation; provided that the Borrowers shall not be required to compensate a Lender pursuant to the foregoing provisions of this Section 2.10 for any increased costs incurred or reductions suffered more than nine months prior to the date that such Lender notifies the Lead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 (e) The obligations of the Loan Parties under this Section 2.10 shall survive the termination of this Agreement and the payment of the Loans and all other amounts payable hereunder. Section 2.11 Changes in Law; Impracticability or Illegality. (a) The Adjusted Term SOFR may be adjusted by the Administrative Agent with respect to any Lender on a prospective basis to take into account any additional or increased costs to such Lender of maintaining or obtaining any eurodollar deposits or increased costs due to changes in applicable law occurring subsequent to the commencement of the then applicable Interest Period, including changes in tax laws (except changes of general applicability in corporate income tax laws) and changes in the reserve requirements imposed by the Board of Governors of the Federal Reserve System (or any successor), which additional or increased costs would increase the cost of funding loans bearing interest at the Adjusted Term SOFR. In any such event, the affected Lender shall give the Lead Borrower and the Administrative Agent notice of such a determination and adjustment and the Administrative Agent promptly shall transmit the notice to each other Lender and, upon its receipt of the notice from the affected Lender, the Lead Borrower may, by notice to such affected Lender (i) require such Lender to furnish to the Lead Borrower a statement setting forth the basis for adjusting such Adjusted Term SOFR and the method for determining the amount of such adjustment, or (ii) repay the SOFR Loans with respect to which such adjustment is made (together with any amounts due under Section 2.09). (b) In the event that any change in market conditions or any law, regulation, treaty, or directive, or any change therein or in the interpretation of application thereof, shall at any time after the date hereof, in the reasonable opinion of any Lender, make it unlawful or impractical for such Lender to fund or maintain SOFR Loans or to continue such funding or maintaining, or to determine or charge interest rates at the Adjusted Term SOFR, such Lender shall give notice of such changed circumstances to the Lead Borrower and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78"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138813885_11168006499_3 Agent, and the Administrative Agent promptly shall transmit the notice to each other Lender and (i) in the case of any SOFR Loans of such Lender that are outstanding, the date specified in such Lender's notice shall be deemed to be the last day of the Interest Period of such SOFR Loans, and interest upon the SOFR Loans of such Lender thereafter shall accrue interest at the rate then applicable to Reference Rate Loans of the same type hereunder, and (ii) the Lead Borrower shall not be entitled to elect the SOFR Option (including in any borrowing, conversion or continuation then being requested) until such Lender determines that it would no longer be unlawful or impractical to do so. (a) The obligations of the Loan Parties under this Section 2.11 shall survive the termination of this Agreement and the payment of the Loans and all other amounts payable hereunder. ARTICLE III [INTENTIONALLY OMITTED] ARTICLE IV APPLICATION OF PAYMENTS; DEFAULTING LENDERS Section 4.01 Payments; Computations and Statements. (a) The Borrowers will make each payment under this Agreement not later than 2:00 p.m. (New York City time) on the day when due, in lawful money of the United States of America and in immediately available funds, to the Administrative Agent's Accounts. All payments received by the Administrative Agent after 2:00 p.m. (New York City time) on any Business Day will be credited to the Loan Account on the next succeeding Business Day. All payments shall be made by the Borrowers without set-off, counterclaim, recoupment, deduction or other defense to the Agents and the Lenders. After receipt, the Administrative Agent will promptly thereafter cause to be distributed like funds relating to the payment of principal ratably to the Lenders in accordance with their Pro Rata Shares and like funds relating to the payment of any other amount payable to any Lender to such Lender, in each case to be applied in accordance with the terms of this Agreement, provided that the Administrative Agent will cause to be distributed all interest and fees received from or for the account of the Borrowers not less than once each month and in any event promptly after receipt thereof. The Lenders and the Borrowers hereby authorize the Administrative Agent to, and the Administrative Agent may, from time to time, charge the Loan Account of the Borrowers with any amount due and payable by the Borrowers under any Loan Document. Each of the Lenders and the Borrowers agree that the Administrative Agent shall have the right to make such charges whether or not any Default or Event of Default shall have occurred and be continuing or whether any of the conditions precedent in Section 5.02 have been satisfied. Any amount charged to the Loan Account of the Borrowers shall be deemed an Obligation. Whenever any payment to be made under any such Loan Document shall be stated to be due on a day other than a Business Day, such payment shall be made on the next succeeding Business Day and such extension of time shall in such case be included in the computation of interest or fees, as the case may be. All computations of fees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79"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138813885_11168006499_3 shall be made by the Administrative Agent on the basis of a year of 360 days for the actual number of days. Each determination by the Administrative Agent of an interest rate or fees hereunder shall be conclusive and binding for all purposes in the absence of manifest error. (b) The Administrative Agent shall provide the Borrowers, promptly after the end of each calendar month, a summary statement (in the form from time to time used by the Administrative Agent) of the opening and closing daily balances in the Loan Account of the Borrowers during such month, the amounts and dates of all Loans made to the Borrowers during such month, the amounts and dates of all payments on account of the Loans to the Borrowers during such month and the Loans to which such payments were applied, the amount of interest accrued on the Loans to the Borrowers during such month, and the amount and nature of any charges to the Loan Account made during such month on account of fees, commissions, expenses and other Obligations. All entries on any such statement shall be presumed to be correct and, 30 days after the same is sent, shall be final and conclusive absent manifest error. Section 4.02 Sharing of Payments. If any Lender shall obtain any payment (whether voluntary, involuntary, through the exercise of any right of set-off, or otherwise) on account of any Obligation in excess of its ratable share of payments on account of similar obligations obtained by all the Lenders, such Lender shall forthwith purchase from the other Lenders such participations in such similar obligations held by them as shall be necessary to cause such purchasing Lender to share the excess payment ratably with each of them; provided, however, that (a) if all or any portion of such excess payment is thereafter recovered from such purchasing Lender, such purchase from each Lender shall be rescinded and each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by the purchasing Lender in respect of the total amount so recovered and (b) the provisions of this Section shall not be construed to apply to (i) any payment made by the Borrowers pursuant to and in accordance with the express terms of this Agreement (including any payment of an amendment, consent or waiver fee to consenting Lenders pursuant to an effective amendment, consent or waiver with respect to this Agreement), or (ii) any payment obtained by a Lender as consideration for the assignment of or sale of a participation in any of its Loans, other than to any Loan Party or any Subsidiary thereof (as to which the provisions of this Section shall apply). The Borrowers agree that any Lender so purchasing a participation from another Lender pursuant to this Section may, to the fullest extent permitted by law, exercise all of its rights (including the Lender's right of set-off) with respect to such participation as fully as if such Lender were the direct creditor of the Borrowers in the amount of such participation. Section 4.03 Apportionment of Payments. (a) All payments of principal and interest in respect of outstanding Loans, all payments of fees (other than the fees set forth in Section 2.06 hereof) and all other payments in respect of any other Obligations, shall be allocated by the Administrative Agent among such of the Lenders as are entitled thereto, in proportion to their respective Pro Rata Shares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0"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138813885_11168006499_3 as provided herein or, in respect of payments not made on account of Loans, as designated by the Person making payment when the payment is made. (b) After the occurrence and during the continuance of an Event of Default, the Administrative Agent may, and upon the direction of the Collateral Agent or the Required Lenders shall, apply all payments in respect of any Obligations, including without limitation, all proceeds of the Collateral, subject to the provisions of this Agreement, (i) first, ratably to pay the Obligations in respect of any fees, expense reimbursements, indemnities and other amounts then due and payable to the Agents until paid in full; (ii) second, to pay interest then due and payable in respect of the Collateral Agent Advances until paid in full; (iii) third, to pay principal of the Collateral Agent Advances until paid in full; (iv) fourth, ratably to pay the Obligations in respect of any fees (other than any Applicable Premium), expense reimbursements, indemnities and other amounts then due and payable to the Term Loan Lenders until paid in full; (v) fifth, ratably to pay interest then due and payable in respect of the Term Loan until paid in full; (vi) sixth, ratably to pay the Obligations in respect of any Applicable Premium then due and payable to the Lenders until paid in full; (vii) seventh, ratably to pay principal of the Term Loan until paid in full; and (viii) eighth, to the ratable payment of all other Obligations then due and payable. (c) For purposes of Section 4.03(b),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same would be or is allowed or disallowed in whole or in part in any Insolvency Proceeding, except to the extent that default or overdue interest (but not any other interest) and loan fees, each arising from or related to a default, are disallowed in any Insolvency Proceeding; provided, however, that for the purposes of clause (viii),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 (d) In the event of a direct conflict between the priority provisions of this Section 4.03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Section 4.03 shall control and govern. Section 4.04 Lead Borrower; Joint and Several Liability of the Borrowers. (a) Each Borrower hereby irrevocably appoints the Lead Borrower as the borrowing agent and attorney-in-fact for the Borrowers which appointment shall remain in full force and effect unless and until the Agents shall have received prior written notice signed by all of the Borrowers that such appointment has been revoked and that another Borrower has been appointed “Lead” Borrower. Each Borrower hereby irrevocably appoints and authorizes the Lead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1"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138813885_11168006499_3 Borrower (i) to provide to the Agents and receive from the Agents all notices with respect to Loans obtained for the benefit of any Borrower and all other notices, certificates, and instructions under this Agreement and (ii) to take such action as the Lead Borrower deems appropriate on its behalf to obtain Loans and to exercise such other powers as are reasonably incidental thereto to carry out the purposes of this Agreement. (b) Each Borrower hereby accepts joint and several liability hereunder and under the other Loan Documents in consideration of the financial accommodations to be provided by the Agents and the Lenders under this Agreement and the other Loan Documents, for the mutual benefit, directly and indirectly, of each of the Borrowers and in consideration of the undertakings of the other Borrowers to accept joint and several liability for the Obligations. Each of the Borrowers, jointly and severally, hereby irrevocably and unconditionally accepts, not merely as a surety but also as a co-debtor, joint and several liability with the other Borrowers, with respect to the payment and performance of all of the Obligations (including, without limitation, any Obligations arising under this Section 4.04), it being the intention of the parties hereto that all of the Obligations shall be the joint and several obligations of each of the Borrowers without preferences or distinction among them. If and to the extent that any of the Borrowers shall fail to make any payment with respect to any of the Obligations as and when due or to perform any of the Obligations in accordance with the terms thereof, then in each such event, the other Borrowers will make such payment with respect to, or perform, such Obligation. Subject to the terms and conditions hereof, the Obligations of each of the Borrowers under the provisions of this Section 4.04 constitute the absolute and unconditional, full recourse Obligations of each of the Borrowers, enforceable against each such Person to the full extent of its properties and assets, irrespective of the validity, regularity or enforceability of this Agreement, the other Loan Documents or any other circumstances whatsoever. (c) The provisions of this Section 4.04 are made for the benefit of the Agents, the Lenders and their successors and assigns, and may be enforced by them from time to time against any or all of the Borrowers as often as occasion therefor may arise and without requirement on the part of the Agents, the Lenders or such successors or assigns first to marshal any of its or their claims or to exercise any of its or their rights against any of the other Borrowers or to exhaust any remedies available to it or them against any of the other Borrowers or to resort to any other source or means of obtaining payment of any of the Obligations hereunder or to elect any other remedy. (d) Lead Borrower agrees that the Co-Borrower shall be entitled to assert a right of contribution against such Borrower in respect of any payment in respect of the Obligations made by Co-Borrower under this Agreement or any other Loan Document, which right shall be subject to the other terms of this Section 4.04(d). Each of the Borrowers hereby agrees that it will not enforce any of its rights of contribution or subrogation against the other Borrowers with respect to any liability incurred by it hereunder or under any of the other Loan Documents, any payments made by it to the Agents or the Lenders with respect to any of the Obligations or any Collateral, until the occurrence of the Termination Date. Any claim which any Borrower may have against any other Borrower with respect to any payments to the Agents or the Lenders hereunder or under any other Loan Documents are hereby expressly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2"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138813885_11168006499_3 subordinate and junior in right of payment, without limitation as to any increases in the Obligations arising hereunder or thereunder, to the prior occurrence of the Termination Date. ARTICLE V CONDITIONS TO LOANS Section 5.01 Conditions Precedent to Effectiveness. This Agreement shall become effective as of the Business Day (the "Effective Date") when each of the following conditions precedent shall have been satisfied in a manner satisfactory to the Agents: (a) Payment of Fees, Etc. The Borrowers shall have paid on or before the Effective Date all fees, costs, and expenses then payable pursuant to the Fee Letter and Section 12.04, including the fees and expenses of Ropes &amp; Gray LLP; provided that if all other conditions precedent in this Section 5.01 are satisfied other than the conditions in this Section 5.01(a) as a result of the Effective Date being on a day that is not a Business Day or occurring after business hours, then the Lenders agree to allow the payment of fees and expenses due and payable pursuant to this Section 5.01(a) to be made on the Business Day immediately following the Effective Date and the Lead Borrower agrees to make such payments on the Business Day immediately following the Effective Date. (b) Representations and Warranties; No Event of Default. The following statements shall be true and correct: (i) the representations and warranties of the Loan Parties contained in Article VI and in each other Loan Document, certificate or other writing delivered to any Secured Party pursuant hereto or thereto on or prior to the Effective Date are true and correct on and as of the Effective Date as though made on and as of such date, except to the extent that any such representation or warranty expressly relates solely to an earlier date (in which case such representation or warranty shall be true and correct on and as of such earlier date) and (ii) no Default or Event of Default shall have occurred and be continuing on the Effective Date or would result from this Agreement or the other Loan Documents becoming effective in accordance with its or their respective terms. (c) Delivery of Documents. The Agents shall have received on or before the Effective Date the following, each in form and substance satisfactory to the Agents and, unless indicated otherwise, dated the Effective Date and, if applicable, duly executed by the Persons party thereto: (i) this Agreement; (ii) a Security Agreement, together with the original stock certificates representing all of the Equity Interests and all promissory notes required to be pledged thereunder, accompanied by undated stock powers executed in blank and other proper instruments of transfer; (iii) evidence satisfactory to the Collateral Agent of the filing of appropriate financing statements on Form UCC 1 in such office or offices as may be necessary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3"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138813885_11168006499_3 or, in the opinion of the Collateral Agent, desirable to perfect the security interests purported to be created by each Security Agreement; (iv) the results of searches for any effective UCC financing statements, tax Liens or judgment Liens filed against any Loan Party or its property, which results shall not show any such Liens (other than Permitted Liens acceptable to the Collateral Agent); (v) a Perfection Certificate; (vi) the Fee Letter; (vii) the Merger Agreement Collateral Assignment; (viii) the R&amp;W Merger Agreement Collateral Assignment; (ix) the management rights letter, dated as of the date hereof, among the Loan Parties and the Agents, as amended, amended and restated, supplemented or otherwise modified from time to time (the "VCOC Management Rights Agreement"); (x) a certificate of an Authorized Officer of each Loan Party (such certificate, a “Secretary’s Certificate”), (A) certifying as to copies of the Governing Documents of such Loan Party, together with all amendments thereto (including, without limitation, a true and complete copy of the charter, certificate of formation, certificate of limited partnership or other publicly filed organizational document of each Loan Party certified as of a recent date not more than 30 days prior to the Effective Date by an appropriate official of the jurisdiction of organization of such Loan Party which shall set forth the same complete name of such Loan Party as is set forth herein), (B) certifying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(C) certifying as to the names and true signatures of the representatives of such Loan Party authorized to sign each Loan Document (in the case of the Lead Borrower, including, without limitation, Notices of Borrowing, SOFR Notices and all other notices under this Agreement and the other Loan Documents) to which such Loan Party is or will be a party and the other documents to be executed and delivered by such Loan Party in connection herewith and therewith, together with evidence of the incumbency of such authorized officers and (D) attaching certificates of the appropriate official(s) of the jurisdiction of organization and, except to the extent such failure to be so qualified could not reasonably be expected to have a Material Adverse Effect, each jurisdiction of foreign qualification of each Loan Party certifying as of a recent date not more than 30 days prior to the Effective Date as to the subsistence in good standing of, and the payment of taxes by, such Loan Party in such jurisdictions;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4"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138813885_11168006499_3 (xi) a certificate of an Authorized Officer (such certificate, the “Effective Date Closing Certificate”) of the Lead Borrower certifying: (A) that the Leverage Ratio does not exceed 4.75:1.00 on a pro forma basis after giving effect to the Loans made on the Closing Date and Closing Date Merger, and attached to such Effective Date Closing Certificate are reasonably detailed calculations of the Leverage Ratio; (B) that (A) attached to such Closing Certificate are true, correct and complete copies of (1) the Merger Documents and (2) the other Material Contracts, in each case, as in effect on the Effective Date (B) such agreements remain in full force and effect and that none of the Loan Parties has breached or defaulted in any of its obligations under such agreements; and (C) as to the matters set forth in Sections 5.02(b) and (d). (xii) opinions of Blank Rome LLP and Nevada local counsel, as counsel to the Loan Parties, as to such matters as the Collateral Agent may reasonably request; (xiii) [reserved]; (xiv) [reserved]; and (xv) such other agreements, instruments, approvals, opinions and other documents, each satisfactory to the Agents in form and substance, as any Agent may reasonably request. (d) Material Adverse Effect. The Collateral Agent shall have determined, in its sole judgment, that no event or development shall have occurred since December 31, 2022 which could reasonably be expected to have a Material Adverse Effect. (e) Approvals. All consents, authorizations and approvals of, and filings and registrations with, and all other actions in respect of, any Governmental Authority or other Person required in connection with the making of the Loans, or the conduct of the Loan Parties' business, or the consummation of any of the underlying transactions, shall have been obtained and shall be in full force and effect. (f) Management Reference Checks. The Collateral Agent shall have received satisfactory reference checks for, and shall have had an opportunity to meet with, key management of each Loan Party. (g) Due Diligence. The Agents shall have completed their business, legal and collateral due diligence with respect to each Loan Party and the results thereof shall be acceptable to the Agents, in their sole and absolute discretion.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5"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138813885_11168006499_3 (h) Financial Statements. The Agents shall have received the Financial Statements. Section 5.02 Conditions Precedent to Closing Date. The obligation of each Lender to fund its Pro Rata Share of the Loans is subject to the fulfillment, in a manner satisfactory to the Administrative Agent, of each of the following conditions precedent (the date such conditions are satisfied and the Loan is made, the “Closing Date”): (a) Payment of Fees, Etc. The Borrowers shall have paid on or before the Closing Date all fees, costs, and expenses then payable pursuant to the Fee Letter and Section 12.04, including the fees and expenses of Ropes &amp; Gray LLP. (b) Material Adverse Effect. The Collateral Agent shall have determined, in its sole judgment, that no event or development shall have occurred since the Effective Date which could reasonably be expected to have a Material Adverse Effect. (c) Joinder and Assumption Agreement. The Administrative Agent shall have received a duly executed copy of (x) the Joinder and Assumption Agreement with respect to Healthy Offers and (y) a Joinder Agreement with respect to Merger Sub. (d) Closing Date Secretary’s Certificate. The Administrative Agent shall have received a Secretary’s Certificate from an Authorized Officer of the Company. (e) Closing Date Officer’s Certificate. The Administrative Agent shall have received a certificate of an Authorized Officer of the Lead Borrower certifying as to the matters set forth in Sections 5.02(b), (f), (i), and (j). (f) Consummation of Closing Date Merger. Concurrently with the making of the initial Loans, (i) the Closing Date Merger shall have been consummated pursuant to the Merger Documents (as in effect on the Effective Date) and (ii) the proceeds of the initial Loans shall have been applied in full to pay the Merger Consideration (as defined in the Merger Agreement) payable pursuant to the Merger Documents. (g) Notice of Borrowing. The Administrative Agent shall have received a timely Notice of Borrowing pursuant to Section 2.02 hereof. (h) Solvency Certificate. A certificate of the chief financial officer of the Lead Borrower, certifying as to the solvency of the Lead Borrower and its Subsidiaries (taken as a whole) after giving effect to the Loans made on the Closing Date and the consummation of the Closing Date Merger. (i) Minimum Liquidity. On a pro forma basis after giving effect to the funding of Loans on the Closing Date and consummation of the Closing Date Merger, the aggregate amount of unrestricted cash on-hand of the Loan Parties is at least $12,500,000.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6"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138813885_11168006499_3 (j) Representations and Warranties; No Event of Default. The following statements shall be true and correct, and the submission by the Lead Borrower to the Administrative Agent of a Notice of Borrowing with respect to the Loans, and the Borrowers’ acceptance of the proceeds of such Loan that: (i) the representations and warranties contained in Article VI and in each other Loan Document, certificate or other writing delivered to any Secured Party pursuant hereto or thereto on or prior to the Closing Date are true and correct on and as of the Closing Date as though made on and as of the Closing Date, except to the extent that any such representation or warranty expressly relates solely to an earlier date (in which case such representation or warranty shall be true and correct on and as of such earlier date) and (ii) at the time of and after giving effect to the making of such Loan and the application of the proceeds thereof, no Default or Event of Default has occurred and is continuing or would result from the making of the Loan to be made on the Closing Date. (k) Legality. The making of such Loan shall not contravene any law, rule or regulation applicable to any Secured Party. (l) KYC. The Administrative Agent shall have received at least two (2) Business Days prior to the Closing Date all documentation and other information in respect of the Loan Parties (including the Company) required under applicable “know your customer” and anti-money laundering rules and regulations (including the USA PATRIOT Act). (m) The Administrative Agent shall have received a duly executed copy of the Intercompany Note. (n) Legal Opinions. Opinion of Blank Rome LLP and Nevada local counsel, counsel to the Company, as to such matters as the Collateral Agent may reasonably request. ARTICLE VI REPRESENTATIONS AND WARRANTIES Section 6.01 Representations and Warranties. Each Loan Party hereby represents and warrants to the Secured Parties as follows: (a) Organization, Good Standing, Etc. Each Loan Party (i) is a corporation, limited liability company or limited partnership duly organized, validly existing and in good standing under the laws of the state or jurisdiction of its organization, (ii) has all requisite power and authority to conduct its business as now conducted and as presently contemplated and, in the case of the Borrowers, to make the borrowings hereunder, and to execute and deliver each Loan Document to which it is a party, and to consummate the transactions contemplated thereby, and (iii) is duly qualified to do business and is in good standing in each jurisdiction in which the character of the properties owned or leased by it or in which the transaction of its business makes such qualification necessary, except (solely for the purposes of this subclause (iii)) where the failure to be so qualified and in good standing could not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87"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138813885_11168006499_3 (b) Authorization, Etc. The execution, delivery and performance by each Loan Party of each Loan Document to which it is or will be a party, (i) have been duly authorized by all necessary action, (ii) do not and will not contravene (A) any of its Governing Documents, (B) any applicable Requirement of Law or (C) any Contractual Obligation binding on or otherwise affecting it or any of its properties, (iii) do not and will not result in or require the creation of any Lien (other than pursuant to any Loan Document) upon or with respect to any of its properties, and (iv) do not and will not result in any default, noncompliance, suspension, revocation, impairment, forfeiture or nonrenewal of any permit, license, authorization or approval applicable to its operations or any of its properties, except, in the case of clauses (ii)(B), (ii)(C) and (iv), to the extent where such contravention, default, noncompliance, suspension, revocation, impairment, forfeiture or nonrenewal could not reasonably be expected to have a Material Adverse Effect. (c) Governmental Approvals. No authorization or approval or other action by, and no notice to or filing with, any Governmental Authority is required in connection with the due execution, delivery and performance by any Loan Party of any Loan Document to which it is or will be a party other than filings and recordings with respect to Collateral to be made, or otherwise delivered to the Collateral Agent for filing or recordation, on the Effective Date. (d) Enforceability of Loan Documents. This Agreement is, and each other Loan Document to which any Loan Party is or will be a party, when delivered hereunder, will be, a legal, valid and binding obligation of such Person, enforceable against such Person in accordance with its terms, except as enforceability may be limited by applicable bankruptcy, insolvency, reorganization, moratorium or other similar laws affecting the enforcement of creditors' rights generally and by general principles of equity. (e) Capitalization. The authorized Equity Interests of the Lead Borrower and each of its Subsidiaries and the issued and outstanding Equity Interests of the Lead Borrower and each of its Subsidiaries are as set forth on Schedule 6.01(e). All of the issued and outstanding shares of Equity Interests of the Lead Borrower and each of its Subsidiaries have been validly issued and are fully paid and nonassessable, and the holders thereof are not entitled to any preemptive, first refusal or other similar rights. All Equity Interests of such Subsidiaries of the Lead Borrower are owned by the Lead Borrower free and clear of all Liens (other than Permitted Specified Liens). Except as described on Schedule 6.01(e), there are no outstanding debt or equity securities of the Lead Borrower or any of its Subsidiaries and no outstanding obligations of the Lead Borrower or any of its Subsidiaries convertible into or exchangeable for, or warrants, options or other rights for the purchase or acquisition from the Lead Borrower or any of its Subsidiaries, or other obligations of the Lead Borrower or any of its Subsidiaries to issue, directly or indirectly, any shares of Equity Interests of the Lead Borrower or any of its Subsidiaries. (f) Litigation. Except as set forth in Schedule 6.01(f), there is no pending or, to the best knowledge of any Loan Party, threatened action, suit or proceeding affecting any Loan Party or any of its properties before any court or other Governmental Authority or any arbitrator that (i) if adversely determined, could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8"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138813885_11168006499_3 or (ii) relates to this Agreement or any other Loan Document or any transaction contemplated hereby or thereby. (g) Financial Statements; No Material Adverse Effect. (i) The Financial Statements (OptimizeRx), copies of which have been delivered to each Agent and each Lender, fairly present the consolidated financial condition of the Lead Borrower and its Subsidiaries as at the respective dates thereof and the consolidated results of operations of the Lead Borrower and its Subsidiaries for the fiscal periods ended on such respective dates, all in accordance with GAAP. All material indebtedness and other liabilities (including, without limitation, Indebtedness, liabilities for taxes, long-term leases and other unusual forward or long-term commitments), direct or contingent, of the Lead Borrower and its Subsidiaries are set forth in the Financial Statements (OptimizeRx). Since December 31, 2022 no event or development has occurred that has had or could reasonably be expected to have a Material Adverse Effect. (ii) The Financial Statements (Healthy), copies of which have been delivered to each Agent and each Lender, fairly present the consolidated financial condition of the Company as at the respective dates thereof and the consolidated results of operations of the Company for the fiscal periods ended on such respective dates, all in accordance with GAAP. All material indebtedness and other liabilities (including, without limitation, Indebtedness, liabilities for taxes, long-term leases and other unusual forward or long-term commitments), direct or contingent, of the Company are set forth in the Financial Statements (Healthy). . (iii) The Financial Statements (Pro Forma) have been prepared in good faith, based on assumptions believed by the Lead Borrower to be reasonable as of the date of delivery thereof, and presents fairly in all material respects on a pro forma basis the estimated balance sheet of Lead Borrower and its Subsidiaries (including the Company) as of June 30, 2023. (iv) The Financial Statements (Projections) when taken as a whole, have been prepared in good faith on the basis of the assumptions stated therein, which assumptions were believed to be reasonable at the time made and at the time the forecasts are delivered, it being understood that: (a) no forecasts are to be viewed as facts, (b) all forecasts are subject to significant uncertainties and contingencies, many of which are beyond the control of the Loan Parties, (c) no assurance can be given that any particular forecasts will be realized and (d) actual results may differ and such differences may be material. (v) Since December 31, 2022 no event or development has occurred that has had or could reasonably be expected to have a Material Adverse Effect. (h) Compliance with Law, Etc. No Loan Party or any of its Subsidiaries is in violation of (i) any of its Governing Documents, (ii) any Requirement of Law, except where the failure to so comply could not reasonably be expected to have a Material Adverse Effect, or (iii) any term of any material Contractual Obligation (including, without limitation, any Material Contract) binding on or otherwise affecting it or any of its properties, except where the failure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89"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138813885_11168006499_3 so comply could not reasonably be expected to have a Material Adverse Effect, and no default or event of default has occurred and is continuing thereunder. (i) ERISA. Except as would not reasonably be expected to result in a Material Adverse Effect, (i) each Loan Party and each Employee Plan is in compliance with all Requirements of Law in all material respects, including ERISA, the Internal Revenue Code and the Patient Protection and Affordable Care Act of 2010, as amended by the Health Care and Education Reconciliation Act of 2010, (ii) no ERISA Event has occurred nor is reasonably expected to occur with respect to any Employee Plan or Multiemployer Plan, (iii) the most recent annual report (Form 5500 Series) with respect to each Pension Plan, including any required Schedule B (Actuarial Information) thereto, copies of which have been filed with the Internal Revenue Service and delivered to the Agents, is complete and correct and fairly presents the funding status of such Pension Plan, and since the date of such report, there has been no material adverse change in such funding status, (iv) copies of each agreement entered into with the PBGC, the U.S. Department of Labor or the Internal Revenue Service with respect to any Pension Plan have been delivered to the Agents, (v) each Employee Plan that is intended to be a qualified plan under Section 401(a) of the Internal Revenue Code has been determined by the Internal Revenue Service to be qualified under Section 401(a) of the Internal Revenue Code and the trust related thereto is exempt from federal income tax under Section 501(a) of the Internal Revenue Code, (vi) no Loan Party or any of its ERISA Affiliates has incurred any liability to the PBGC which remains outstanding other than the payment of premiums, and there are no premium payments which have become due which are unpaid, and (vii) except as required by Section 4980B of the Internal Revenue Code, no Loan Party maintains an employee welfare benefit plan (as defined in Section 3(1) of ERISA) that provides health benefits (through the purchase of insurance or otherwise) for any retired or former employee of any Loan Party or has any obligation to provide any such benefits for any current employee after such employee's termination of employment. (j) Taxes, Etc. (i) All Tax returns and other reports required by applicable Requirements of Law to be filed by any Loan Party have been timely filed and (ii) all Taxes imposed upon any Loan Party or any property of any Loan Party which have become due and payable on or prior to the date hereof have been paid, except (A) unpaid Taxes in an aggregate amount at any one time not in excess of $50,000, and (B) Taxes contested in good faith by proper proceedings which stay the imposition of any Lien resulting from the non-payment thereof and with respect to which adequate reserves have been set aside for the payment thereof on the Financial Statements in accordance with GAAP. (k) Regulations T, U and X. No Loan Party is or will be engaged in the business of extending credit for the purpose of purchasing or carrying margin stock (within the meaning of Regulation T, U or X), and no proceeds of any Loan will be used to purchase or carry any margin stock or to extend credit to others for the purpose of purchasing or carrying any margin stock or for any purpose that violates, or is inconsistent with, the provisions of Regulation T, U and 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0"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138813885_11168006499_3 (l) Nature of Business. No Loan Party is engaged in any business other than as set forth on Schedule 6.01(l). (m) Adverse Agreements, Etc. No Loan Party or any of its Subsidiaries is a party to any Contractual Obligation or subject to any restriction or limitation in any Governing Document or any judgment, order, regulation, ruling or other requirement of a court or other Governmental Authority, which (either individually or in the aggregate) has, or in the future could reasonably be expected (either individually or in the aggregate) to have, a Material Adverse Effect. (n) Permits, Etc. Each Loan Party has, and is in compliance with, all permits, licenses, authorizations, approvals, entitlements and accreditations, including Environmental Permits, required for such Person lawfully to own, lease, manage or operate, or to acquire, each business and Facility currently owned, leased, managed or operated, or to be acquired, by such Person, except to the extent the failure to have or be in compliance therewith could not reasonably be expected to have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including any such Environmental Permit, and there is no claim that any of the foregoing is not in full force and effect. (o) Properties. Each Loan Party has good and marketable title to, valid leasehold interests in, or valid licenses to use, all property and assets material to its business, free and clear of all Liens, except Permitted Liens. All such properties and assets are in good working order and condition, ordinary wear and tear excepted. (p) Employee and Labor Matters. Except as set forth on Schedule 6.01(p), (i) each Loan Party and its Subsidiaries is in compliance with all Requirements of Law in all material respects pertaining to employment and employment practices, terms and conditions of employment, wages and hours, and occupational safety and health, (ii) no Loan Party or any Subsidiary is party to any collective bargaining agreement, nor has any labor union been recognized as the representative of the employees of any Loan Party of Subsidiary, (iii) there is no unfair labor practice complaint pending or, to the best knowledge of any Loan Party, threatened against any Loan Party or any Subsidiary before any Governmental Authority and no grievance or arbitration proceeding pending or threatened against any Loan Party or any Subsidiary which arises out of or under any collective bargaining agreement, (iv) there has been no strike, work stoppage, slowdown, lockout, or other labor dispute pending or threatened against any Loan Party or any Subsidiary, and (v) to the best knowledge of each Loan Party, no labor organization or group of employees has made a pending demand for recognition or certification, and there are no representation or certification proceedings or petitions seeking a representation proceeding presently pending or threatened to be brought or filed, with the National Labor Relations Board or any other labor relations tribunal or authority. No Loan Party or Subsidiary has incurred any liability or obligation under the Worker Adjustment and Retraining Notification Act ("WARN") or any similar Requirement of Law, which remains unpaid or unsatisfied. All payments due from any Loan Party or Subsidiary on account of wages and employee health and welfare insurance and other benefits have been paid or accrued as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91"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138813885_11168006499_3 liability on the books of such Loan Party or Subsidiary, except where the failure to do so could not, individually or in the aggregate, reasonably be expected to have a Material Adverse Effect. (q) Environmental Matters. Except as set forth on Schedule 6.01(q) hereto, (i) no Loan Party or any of its Subsidiaries is in violation of any Environmental Law, (ii) each Loan Party and each of its Subsidiaries has, and is in compliance with, all Environmental Permits for its respective operations and businesses, except to the extent any failure to have or be in compliance therewith could not reasonably be expected to have a Material Adverse Effect; (iii) there has been no Release or threatened Release of Hazardous Materials on, in, at, under or from any properties currently or formerly owned, leased or operated by any Loan Party, its Subsidiaries or a respective predecessor in interest or at any disposal or treatment facility which received Hazardous Materials generated by any Loan Party, its Subsidiaries or any respective predecessor in interest, which in any case of the foregoing could reasonably be expected to have a Material Adverse Effect; (iv) there are no pending or threatened Environmental Claims against, or Environmental Liability of, any Loan Party, its Subsidiaries or any respective predecessor in interest that could reasonably be expected to have a Material Adverse Effect; (v) neither any Loan Party nor any of its Subsidiaries is performing or responsible for any Remedial Action that could reasonably be expected to have a Material Adverse Effect; and (vi) the Loan Parties have made available to the Collateral Agent and Lenders true and complete copies of all material environmental reports, audits and investigations in the possession or control of any Loan Party or any of its Subsidiaries with respect to the operations and business of the Loan Parties and its Subsidiaries. (r) Insurance. Each Loan Party maintains all insurance required by Section 7.01(h). Schedule 6.01(r) sets forth a list of all such insurance maintained by or for the benefit of each Loan Party. (s) Use of Proceeds. The proceeds of the Loans shall be used to (a) consummate the Closing Date Merger (b) pay fees and expenses in connection with the transactions contemplated hereby and (c) fund working capital of the Borrowers. (t) Solvency. After giving effect to the transactions contemplated by this Agreement, the Merger Documents and after giving effect to the Loan on the Closing Date, the Lead Borrower and its Subsidiaries (taken as a whole) are,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 (u) Intellectual Property. Except as set forth on Schedule 6.01(u), each Loan Party owns or licenses or otherwise has the right to use all Intellectual Property rights that are necessary for the operation of its business, and, to the knowledge of each Loan Party, without infringement upon the Intellectual Property rights of any other Person with respect thereto, except for such infringements and conflicts which, individually or in the aggregate, could not reasonably be expected to have a Material Adverse Effect. Set forth on Schedule 6.01(u) is a complete and accurate list of (i) each item of Registered Intellectual Property owned by each Loan Party; (ii) each material work of authorship owned by each Loan party and which is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92"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138813885_11168006499_3 Registered Intellectual Property, and (iii) each material Intellectual Property Contract to which each Loan Party is bound. To the knowledge of each Loan Party, no trademark, copyright, patent or other Intellectual Property now employed, or now contemplated to be employed, by any Loan Party infringes upon the Intellectual Property rights owned by any other Person, and no claim or litigation regarding any of the foregoing is pending or threatened, except for such infringements and conflicts which could not reasonably be expected to have, individually or in the aggregate, a Material Adverse Effect. To the knowledge of each Loan Party, no patent, invention, device, application, principle or any statute, law, rule, regulation, standard or code pertaining to Intellectual Property is pending or proposed, which, individually or in the aggregate, could reasonably be expected to have a Material Adverse Effect. (v) Material Contracts. Set forth on Schedule 6.01(v) is a complete and accurate list of all Material Contracts of each Loan Party, showing the parties and subject matter thereof and amendments and modifications thereto. Each such Material Contract (i) is in full force and effect and is binding upon and enforceable against each Loan Party that is a party thereto and, to the best knowledge of such Loan Party, all other parties thereto in accordance with its terms, (ii) has not been otherwise amended or modified, and (iii) is not in default due to the action of any Loan Party or, to the best knowledge of any Loan Party, any other party thereto. (w) Investment Company Act. None of the Loan Parties is (i) an "investment company" or an "affiliated person" or "promoter" of, or "principal underwriter" of or for, an "investment company", as such terms are defined in the Investment Company Act of 1940, as amended, or (ii) subject to regulation under any Requirement of Law that limits in any respect its ability to incur Indebtedness or which may otherwise render all or a portion of the Obligations unenforceable. (x) Customers and Suppliers. There exists no actual or threatened termination, cancellation or limitation of, or modification to or change in, the business relationship between (i) any Loan Party, on the one hand, and any customer or any group thereof, on the other hand, whose agreements with any Loan Party are individually or in the aggregate material to the business or operations of such Loan Party, or (ii) any Loan Party, on the one hand, and any supplier or any group thereof, on the other hand, whose agreements with any Loan Party are individually or in the aggregate material to the business or operations of such Loan Party; and there exists no present state of facts or circumstances that could give rise to or result in any such termination, cancellation, limitation, modification or change. (y) Consummation of Closing Date Merger. The Lead Borrower has delivered to the Agents complete and correct copies of the Merger Documents, including all schedules and exhibits thereto. The Merger Documents set forth the entire agreement and understanding of the parties thereto relating to the subject matter thereof, and there are no other agreements, arrangements or understandings, written or oral, relating to the matters covered thereby. The execution, delivery and performance of the Merger Documents has been duly authorized by all necessary action (including, without limitation, the obtaining of any consent of stockholders or other holders of Equity Interests required by law or by any applicable corporate or other organizational documents) on the part of each such Person. No authorization or approval or other action by, and no notice to filing with or license from, any Governmental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93"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138813885_11168006499_3 Authority is required to consummate the Closing Date Merger other than such as have been obtained on or prior to the Effective Date. Each Merger Document is the legal, valid and binding obligation of the parties thereto, enforceable against such parties in accordance with its terms. All conditions precedent to the Merger Agreement have been fulfilled or (with the prior written consent of the Agents) waived, no Merger Document has been amended or otherwise modified, and there has been no breach of any material term or condition of any Merger Document. (z) Sanctions; Anti-Corruption and Anti-Money Laundering Laws. None of any Loan Party, any Subsidiary thereof, any of their respective directors, officers or employees, nor, to the knowledge of any Loan Party, any of their respective agents or Affiliates, (i) is a Sanctioned Person or currently the subject or target of any Sanctions, (ii) has assets located in a Sanctioned Country, (iii) conducts any business with or for the benefit of any Sanctioned Person, (iv) directly or indirectly derives revenues from investments in, or transactions with, Sanctioned Persons, (v) is a "Foreign Shell Bank" within the meaning of the USA Patriot Act, i.e., a foreign bank that does not have a physical presence in any country and that is not affiliated with a bank that has a physical presence and an acceptable level of regulation and supervision, or (vi) is a Person that resides in or is organized under the laws of a jurisdiction designated by the United States Secretary of the Treasury under Section 311 or 312 of the USA Patriot Act as warranting special measures due to money laundering concerns. Each Loan Party and its Subsidiaries has implemented and maintains in effect policies and procedures designed to ensure compliance by each Loan Party and its Subsidiaries and their respective directors, officers, employees, agents and Affiliates with all Anti-Corruption Laws and Anti-Money Laundering Law. Each Loan Party and each Subsidiary is in compliance with all Sanctions, Anti-Money Laundering Laws and Anti-Corruption Laws. Each Loan Party and each Affiliate, officer, employee or director acting on behalf of any Loan Party is (and is taking no action that would result in any such Person not being) in compliance with (A) all applicable OFAC rules and regulations, (B) all applicable United States of America, United Kingdom, United Nations, European Union, German, Canadian, Australian and all other internationally respected national autonomous sanctions, embargos and trade restrictions and (C) all applicable provisions of the USA Patriot Act. In addition, no Loan Party or any Subsidiary is engaged in any kind of activities or business of or with any Person or in any country or territory that is subject to any sanctions administered by OFAC, the United Kingdom, the European Union, Germany, Canada, Australia or the United Nations. (aa) Anti-Bribery and Corruption. (i) Neither any Loan Party nor, to the best knowledge of any Loan Party, any director, officer, employee, or any other Person acting on behalf of any Loan Party, has offered, promised, paid, given or authorized the payment or giving of any money or other thing of value, directly or indirectly, to or for the benefit of any Person, including without limitation, any employee, official or other Person acting on behalf of any Governmental Authority, or otherwise engaged in any activity that may violate any Anti-Corruption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4"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138813885_11168006499_3 (ii) Neither any Loan Party nor, to the best knowledge of any Loan Party, any director, officer, employee, or any other Person acting on behalf of any Loan Party, has engaged in any activity that would breach any Anti-Corruption Laws. (iii) To the best of each Loan Party's knowledge and belief, there is no pending or, to the best knowledge of any Loan Party, threatened action, suit, proceeding or investigation before any court or other Governmental Authority against any Loan Party or any of its directors, officers, employees or other Person acting on its behalf that relates to a potential violation of any Anti-Corruption Laws, Anti-Money Laundering Laws or Sanctions. (iv) The Loan Parties will not directly or indirectly use, lend or contribute the proceeds of the Advances for any purpose that would breach the Anti-Bribery and Corruption Laws. (bb) Compliance with Health Care Laws and Privacy Obligations. (i) Each Loan Party is in compliance in all material respects with all applicable Health Care Laws. There are no Proceedings by or before a Governmental Authority pending or threatened in writing against any Loan Party that allege a violation of applicable Health Care Laws, and no Loan Party has received notice of any allegation of a violation of applicable Health Care Laws from any Governmental Authority or any other Person. (ii) No Loan Party nor, to the knowledge of any Loan Party, any of its respective owners, officers, directors, employees or agents (i) has solicited, received, paid, or offered any remuneration (including any kickback, bribe, rebate, payoff, influence payment or inducement) directly or indirectly, overtly or covertly, in cash or in kind, to any Person to induce such Person to refer an individual to a Person for the furnishing or arranging for the furnishing of any item or service in violation of any Health Care Law; (ii) has been a party to any individual or corporate integrity agreement, settlement, judgment, deferred prosecution agreement, non-prosecution agreement, consent decree, monitoring agreement or certification of compliance agreement, or Order imposed by any Governmental Authority relating to any non-compliance with Health Care Laws, (iii) has been or is currently debarred, suspended, or excluded from participation in any government procurement program or any Payment Program, nor is any such exclusion, debarment, or suspension threatened, (iv) has been assessed, or threatened with assessment of a civil monetary penalty under Section 1128A of the Social Security Act or any regulations promulgated thereunder or (v) has been convicted of or entered a plea of guilty or nolo contendere to any criminal or civil offense relating to the provision of healthcare items or services. (iii) No Loan Party provides products or services to any Governmental Authority, bills claims to or collects payment from any Payment Program or permits or otherwise advises any contractors to submit bills to any Payment Program. (iv) Each Loan Party has established and maintains commercially reasonable processes to support its performance of its Contractual Obligations and obligations under applicable Health Care Laws. Each Loan Party has adopted and published a privacy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95"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138813885_11168006499_3 and maintains policies that accurately describe their privacy and security practices, and has materially complied and is in material compliance with those notices and policies. Each Loan Party has implemented all confidentiality, security and other protective measures required under applicable Privacy Obligations, including obtaining individuals’ consent and/or authorization to use and disclose Personal Information if required by applicable Requirements of Law, including applicable Privacy Obligations. (v) No Loan Party is a “covered entity” under HIPAA. Each Loan Party that is a “business associate” under HIPAA is in material compliance with HIPAA and has executed business associate agreements in accordance with HIPAA and to the extent required under HIPAA. No Loan Party or any counterparty to any such business associate agreement has materially breached any such business associate agreement. Each Loan Party that is a business associate under HIPAA has completed security risk analyses in compliance with HIPAA. (vi) The Company materially complies with all applicable Privacy Obligations with respect to Processing of Personal Information. No Loan Party de-identifies or aggregates “protected health information” under HIPAA or uses “protected health information” under HIPAA for marketing or advertising purposes. (vii) No Loan Party has experienced a Security Event of any Personal Information that is collected, used, or held for use by or on behalf of the Loan Parties. Each of the Loan Parties periodically assesses risks to privacy and the confidentiality and security of Personal Information, and in the last three (3) years, no such assessment has resulted in findings of material deficiency. (viii) Each Loan Party has and has maintained valid, unexpired and enforceable rights to use all data obtained from third parties, including aggregated, de-identified and anonymized data, used or held for use in connection with its business, in each case, without conflict with any Requirement of Law, contract or rights of any Person. (cc) Full Disclosure. Each Loan Party has disclosed to the Agents all agreements, instruments and corporate or other restrictions to which it is subject, and all other matters known to it, that, individually or in the aggregate, could reasonably be expected to result in a Material Adverse Effect. None of the reports, financial statements, certificates or other information furnished by or on behalf of any Loan Party to the Agents (other than forward-looking information and projections and information of a general economic nature and general information about Borrower’s industry)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it was made, not misleading. (dd) Cash Management Accounts. The Cash Management Accounts of the Loan Parties are set forth on Schedule 6.01(dd).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6"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138813885_11168006499_3 ARTICLE VII COVENANTS OF THE LOAN PARTIES AND OTHER COLLATERAL MATTERS Section 7.01 Affirmative Covenants. So long as any principal of or interest on any Loan or any other Obligation (whether or not due) shall remain unpaid (other than Contingent Indemnity Obligations) or any Lender shall have any Commitment hereunder, each Loan Party will, unless the Required Lenders shall otherwise consent in writing: (a) Reporting Requirements. Furnish to each Agent and each Lender: (i) as soon as available, and in any event within 30 days after the end of each fiscal month of the Lead Borrower and its Subsidiaries commencing, in the case of clause (x) below, with the first fiscal month of the Lead Borrower and its Subsidiaries ending after the Effective Date and in the case of clause (y) below, with the first full fiscal month of the Lead Borrower and its Subsidiaries ending after the Effective Date, (x) internally prepared consolidated balance sheets, statements of operations, statements of changes in stockholders’ equity and statements of cash flows as at the end of such fiscal month, and for the period commencing at the end of the immediately preceding Fiscal Year and ending with the end of such fiscal month, setting forth in each case in comparative form the figures for the corresponding date or period set forth in (A) the financial statements for the immediately preceding Fiscal Year, and (B) the Projections, all in reasonable detail and certified by an Authorized Officer of the Lead Borrower as fairly presenting, in all material respects, the financial position of the Lead Borrower and its Subsidiaries as at the end of such fiscal month and the results of operations, retained earnings and cash flows of the Lead Borrower and its Subsidiaries for such fiscal month and for such year-to-date period, in accordance with GAAP applied in a manner consistent with that of the most recent audited financial statements furnished to the Agents and the Lenders, subject to the absence of footnotes and normal year-end adjustments and (y) a report of key performance indicators by category during such fiscal month for the business of the Lead Borrower and its Subsidiaries and any additional financial information as may be reasonably requested by the Administrative Agent; (ii) as soon as available and in any event within 45 days after the end of each fiscal quarter of the Lead Borrower and its Subsidiaries commencing with the first fiscal quarter of the Lead Borrower and its Subsidiaries ending after the Effective Date, consolidated balance sheets, statements of operations, statements of changes in stockholders’ equity and statements of cash flows of the Lead Borrower and its Subsidiaries as at the end of such quarter, and for the period commencing at the end of the immediately preceding Fiscal Year and ending with the end of such quarter, setting forth in each case in comparative form the figures for the corresponding date or period set forth in (A) the financial statements for the immediately preceding Fiscal Year and (B) the Projections, all in reasonable detail and certified by an Authorized Officer of the Lead Borrower as fairly presenting, in all material respects, the financial position of the Lead Borrower and its Subsidiaries as of the end of such quarter and the results of operations and cash flows of the Lead Borrower and its Subsidiaries for such quarter and for such year-to-date period, in accordance with GAAP applied in a manner consistent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7"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138813885_11168006499_3 that of the most recent audited financial statements of the Lead Borrower and its Subsidiaries furnished to the Agents and the Lenders, subject to the absence of footnotes and normal year-end adjustments; (iii) as soon as available, and in any event within 90 days after the end of each Fiscal Year of the Lead Borrower and its Subsidiaries, consolidated balance sheets, statements of operations, statements of changes in stockholders’ equity and statements of cash flows of the Lead Borrower and its Subsidiaries as at the end of such Fiscal Year, setting forth in each case in comparative form the figures for the corresponding date or period set forth in (A) the financial statements for the immediately preceding Fiscal Year, and (B) the Projections, all in reasonable detail and prepared in accordance with GAAP, and accompanied by a report and an opinion, prepared in accordance with generally accepted auditing standards, of independent certified public accountants of recognized standing selected by the Lead Borrower and satisfactory to the Agents (which report and opinion shall not include (1) any qualification, exception or explanatory paragraph expressing substantial doubt about the ability of the Lead Borrower or any of its Subsidiaries to continue as a going concern or any qualification or exception as to the scope of such audit, or (2) any qualification which relates to the treatment or classification of any item and which, as a condition to the removal of such qualification, would require an adjustment to such item, the effect of which would be to cause any noncompliance with the provisions of Section 7.03), together with a written statement of such accountants (x) to the effect that, in making the examination necessary for their certification of such financial statements, they have not obtained any knowledge of the existence of an Event of Default or a Default under Section 7.03 and (y) if such accountants shall have obtained any knowledge of the existence of an Event of Default or such Default, describing the nature thereof; provided, that such independent certified public accountant report and opinion shall not be required to cover the comparative financial reporting set forth in clause (B) above; (iv) simultaneously with the delivery of the financial statements of the Lead Borrower and its Subsidiaries required by clauses (i), (ii) and (iii) of this Section 7.01(a), a Compliance Certificate: (A) stating that such Authorized Officer has reviewed the provisions of this Agreement and the other Loan Documents and has made or caused to be made under his or her supervision a review of the condition and operations of the Lead Borrower and its Subsidiaries during the period covered by such financial statements with a view to determining whether the Lead Borrower and its Subsidiaries were in compliance with all of the provisions of this Agreement and such Loan Documents at the times such compliance is required hereby and thereby, and that such review has not disclosed, and such Authorized Officer has no knowledge of, the occurrence and continuance during such period of an Event of Default or Default or, if an Event of Default or Default had occurred and continued or is continuing, describing the nature and period of existence thereof and the action which the Lead Borrower and its Subsidiaries propose to take or have taken with respect thereto, (B) in the case of the delivery of the financial statements of the Lead Borrower and its Subsidiaries required by clause (i) of this Section 7.01(a), (1) attaching a schedule showing the calculation of the financial covenants specified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98"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138813885_11168006499_3 Section 7.03 and (2) attaching a certification that the representations and warranties in Section 6.01(bb) are true and correct in material respects as of the date of the balance sheet included in such financial statements, (C) in the case of the delivery of the financial statements of the Lead Borrower and its Subsidiaries required by clauses (ii) and (iii) of this Section 7.01(a), including a discussion and analysis of the financial condition and results of operations of the Lead Borrower and its Subsidiaries for the portion of the Fiscal Year then elapsed and discussing the reasons for any significant variations from the Projections for such period and the figures for the corresponding period in the previous Fiscal Year, and (D) in the case of the delivery of the financial statements of the Lead Borrower and its Subsidiaries required by clause (iii) of this Section 7.01(a), attaching (1) a summary of all material insurance coverage maintained as of the date thereof by any Loan Party or any of its Subsidiaries and evidence that such insurance coverage meets the requirements set forth in Section 7.01, each Security Agreement and each Mortgage, together with such other related documents and information as the Administrative Agent may reasonably require, (2) the calculation of the Excess Cash Flow in accordance with the terms of Section 2.05(c)(i) and (3) confirmation that there have been no changes to the information contained in each of the Perfection Certificates delivered on the Effective Date, the Closing Date or the date of the most recently updated Perfection Certificate delivered pursuant to this clause (iv) and/or attaching an updated Perfection Certificate identifying any such changes to the information contained therein; (v) as soon as available and in any event within 10 days after the end of each fiscal month of the Lead Borrower and its Subsidiaries commencing with the first fiscal month of the Lead Borrower and its Subsidiaries ending after the Effective Date, reports in form and detail satisfactory to the Agents and certified by an Authorized Officer of the Administrative Borrower as being accurate and complete (A) listing all Accounts of the Loan Parties as of such day, which shall include the amount and age of each such Account, showing separately those which are more than 30, 60, 90 and 120 days old and a description of all Liens, set-offs, defenses and counterclaims with respect thereto, together with a reconciliation of such schedule with the schedule delivered to the Agents pursuant to this clause (v)(A) for the immediately preceding fiscal month, the name and mailing address of each Account Debtor with respect to each such Account and such other information as any Agent may request and (B) listing all accounts payable of the Loan Parties as of each such day which shall include the amount and age of each such account payable, the name and mailing address of each account creditor and such other information as any Agent may request; (vi) [reserved]; (vii) as soon as available and in any event not later than the last day of each Fiscal Year (or in the case of the Fiscal Year ending December 31, 2023, not later than January 31, 2024), a certificate of an Authorized Officer of the Lead Borrower (A) attaching three statement Projections for the Lead Borrower and its Subsidiaries, supplementing and superseding the Projections previously required to be delivered pursuant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99"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138813885_11168006499_3 prepared on a monthly basis and otherwise in form and substance satisfactory to the Agents, for the immediately succeeding Fiscal Year for the Lead Borrower and its Subsidiaries and (B) certifying that the Projections have been prepared in good faith on the basis of the assumptions stated therein, which assumptions were believed to be reasonable at the time made and at the time the forecasts are delivered, it being understood that: (a) no forecasts are to be viewed as facts, (b) all forecasts are subject to significant uncertainties and contingencies, many of which are beyond the control of the Loan Parties, (c) no assurance can be given that any particular forecasts will be realized and (d) actual results may differ and such differences may be material. (viii) promptly after submission to any Governmental Authority, all documents and information furnished to such Governmental Authority in connection with any investigation of any Loan Party other than routine inquiries by such Governmental Authority; (ix) as soon as possible, and in any event within 3 days after the occurrence of an Event of Default or Default or the occurrence of any event or development that could reasonably be expected to have a Material Adverse Effect, the written statement of an Authorized Officer of the Lead Borrower setting forth the details of such Event of Default or Default or other event or development having a Material Adverse Effect and the action which the affected Loan Party proposes to take with respect thereto; (x) as soon as possible and in any event: (A) within 10 days after the occurrence of any ERISA Event, notice of such ERISA Event (in reasonable detail), (B) within 10 days after receipt thereof by any Loan Party or any of its ERISA Affiliates from the PBGC, copies of each notice received by any Loan Party or any of its ERISA Affiliates of the PBGC's intention to terminate any Pension Plan or to have a trustee appointed to administer any Pension Plan, (C) within 10 days after receipt thereof by any Loan Party or any of its ERISA Affiliates from a sponsor of a Multiemployer Plan or from the PBGC, a copy of each notice received by any Loan Party or any of its ERISA Affiliates concerning the imposition or amount of withdrawal liability under Section 4202 of ERISA or indicating that such Multiemployer Plan may enter reorganization status under Section 4241 of ERISA, and (D) within 10 days after any Loan Party sends notice of a plant closing or mass layoff (as defined in WARN) to employees, copies of each such notice sent by such Loan Party; (xi) promptly after the commencement thereof but in any event not later than 5 days after service of process with respect thereto on, or the obtaining of knowledge thereof by, any Loan Party, notice of each action, suit or proceeding before any court or other Governmental Authority or other regulatory body or any arbitrator which, if adversely determined, could reasonably be expected to have a Material Adverse Effect; (xii) as soon as possible and in any event within 5 days after execution, receipt or delivery thereof, copies of any material notices that any Loan Party executes or receives in connection with any Material Contract or any Merger Document; (xiii) as soon as possible and in any event within 5 days after execution, receipt or delivery thereof, copies of any material notices that any Loan Party executes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0"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138813885_11168006499_3 receives in connection with the sale or other Disposition of the Equity Interests of, or all or substantially all of the assets of, any Loan Party; (xiv) as soon as possible and in any event within 5 days after the delivery thereof to the Lead Borrower's Board of Directors, copies of all reports or other information so delivered; (xv) promptly after (A) the sending or filing thereof, copies of all statements, reports and other information any Loan Party sends to any holders of its Indebtedness or its securities or files with the SEC or any national (domestic or foreign) securities exchange and (B) the receipt thereof, a copy of any material notice received from any holder of its Indebtedness; (xvi) promptly upon receipt thereof, copies of all financial reports (including, without limitation, management letters), if any, submitted to any Loan Party by its auditors in connection with any annual or interim audit of the books thereof; (xvii) promptly upon request, any certification or other evidence requested from time to time by any Lender in its sole discretion, confirming the Borrowers’ compliance with Section 7.02(r); (xviii) [reserved]; (xix) simultaneously with the delivery of the financial statements of the Lead Borrower and its Subsidiaries required by clauses (i), (ii) and (iii) of this Section 7.01(a), if, as a result of any change in accounting principles and policies from those used in the preparation of the Financial Statements that is permitted by Section 7.02(q), the consolidated financial statements of the Lead Borrower and its Subsidiaries delivered pursuant to clauses (i), (ii) and (iii) of this Section 7.01(a) will differ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satisfactory to the Agents; (xx) as soon as available, and in any event within 5 Business Days after the end of each fiscal month of the Lead Borrower and its Subsidiaries, (i) a calculation of Qualified Cash and Liquidity of the Lead Borrower and its Subsidiaries during such month and (ii) a 13-week cash flow forecast, in each case, in form and substance reasonably acceptable to the Required Lenders. (xxi) promptly upon request, such other information concerning the condition or operations, financial or otherwise, of any Loan Party (including, without limitation, any Environmental, Social, and Corporate Governance information) as any Agent may from time to time may reasonably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01"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138813885_11168006499_3 (b) Additional Guarantors and Collateral Security. Cause: (i) each Subsidiary of any Loan Party not in existence on the Effective Date, to execute and deliver to the Collateral Agent promptly and in any event within 3 days after the formation, acquisition or change in status thereof, (A) a Joinder Agreement, pursuant to which such Subsidiary shall be made a party to this Agreement as a Guarantor, (B) a supplement to the Security Agreement, together with (1) certificates evidencing all of the Equity Interests of any Person owned by such Subsidiary required to be pledged under the terms of the Security Agreement, (2) undated stock powers for such Equity Interests executed in blank with signature guaranteed, and (3) such opinions of counsel as the Collateral Agent may reasonably request, (C) to the extent required under the terms of this Agreement, one or more Mortgages creating on the real property of such Subsidiary with a Current Value (as defined below) in excess of $1,000,000 a perfected, first priority Lien (in terms of priority, subject only to Permitted Specified Liens) on such real property and such other Real Property Deliverables as may be required by the Collateral Agent with respect to each such real property, and (D) such other agreements, instruments, approvals or other documents reasonably requested by the Collateral Agent in order to create, perfect, establish the first priority of or otherwise protect any Lien purported to be covered by any such Security Agreement or Mortgage or otherwise to effect the intent that such Subsidiary shall become bound by all of the terms, covenants and agreements contained in the Loan Documents and that all property and assets of such Subsidiary shall become Collateral for the Obligations; and (ii) each owner of the Equity Interests of any such Subsidiary to execute and deliver promptly and in any event within 3 days after the formation or acquisition of such Subsidiary a Pledge Amendment (as defined in the Security Agreement), together with (A) certificates evidencing all of the Equity Interests of such Subsidiary required to be pledged under the terms of the Security Agreement, (B) undated stock powers or other appropriate instruments of assignment for such Equity Interests executed in blank with signature guaranteed, (C) such opinions of counsel as the Collateral Agent may reasonably request and (D) such other agreements, instruments, approvals or other documents requested by the Collateral Agent. Notwithstanding the foregoing, no Excluded Subsidiary shall be required to become a Guarantor hereunder (and, as such, shall not be required to deliver the documents required by clause (i) above); provided, however, that (I) if the Equity Interests of a Foreign Subsidiary that is an Excluded Subsidiary are owned by a Loan Party, such Loan Party shall deliver all such documents, instruments, agreements (including, without limitation, at the reasonable request of the Collateral Agent, a pledge agreement governed by the laws of the jurisdiction of the organization of such Excluded Subsidiary) and certificates described in clause (ii) above to the Collateral Agent, and take all commercially reasonable actions reasonably requested by the Collateral Agent or otherwise necessary to grant and to perfect a first-priority Lien (subject to Permitted Specified Liens) in favor of the Collateral Agent, for the benefit of the Agents and the Lenders, in 100% of the Equity Interests of such Foreign Subsidiary to be pledged to the Collateral Agent. (c) Compliance with Laws; Payment of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2"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138813885_11168006499_3 (i) Comply, and cause each of its Subsidiaries to comply with all Requirements of Law, judgments and awards (including any settlement of any claim that, if breached, could give rise to any of the foregoing), except to the extent the failure to so comply could not reasonably be expected to have a Material Adverse Effect. (ii) Pay, and cause each of its Subsidiaries to pay, in full before delinquency or before the expiration of any extension period, all Taxes imposed upon any Loan Party or any of its Subsidiaries or any property of any Loan Party or any of its Subsidiaries, except (i) unpaid Taxes in an aggregate amount at any one time not in excess of $50,000, and (ii) Taxes contested in good faith by proper proceedings which stay the imposition of any Lien resulting from the non-payment thereof and with respect to which adequate reserves have been set aside for the payment thereof in accordance with GAAP. (d) Preservation of Existence, Etc.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except to the extent that the failure to be so qualified could not reasonably be expected to have a Material Adverse Effect. (e) Keeping of Records and Books of Account. Keep, and cause each of its Subsidiaries to keep, adequate records and books of account, with complete entries made to permit the preparation of financial statements in accordance with GAAP. (f) Inspection Rights. Permit, and cause each of its Subsidiaries to permit, the agents and representatives of any Agent at any time and from time to time during normal business hours, at the expense of the Borrower, to examine and make copies of and abstracts from its records and books of account, to visit and inspect its properties, to verify materials, leases, notes, accounts receivable, deposit accounts and its other assets, to conduct audits, physical counts, valuations, appraisals or examinations and to discuss its affairs, finances and accounts with any of its directors, officers, managerial employees, independent accountants or any of its other representatives; provided, however, such examinations, visits and inspections shall not occur more than one (1) time per fiscal year in the absence of an Event of Default. In furtherance of the foregoing, each Loan Party hereby authorizes its independent accountants, and the independent accountants of each of its Subsidiaries, to discuss the affairs, finances and accounts of such Person (independently or together with representatives of such Person) with the agents and representatives of any Agent in accordance with this Section 7.01(f). (g) Maintenance of Properties, Etc. Maintain and preserve, and cause each of its Subsidiaries to maintain and preserve, all of its properties which are necessary or useful in the proper conduct of its business in good working order and condition, ordinary wear and tear and casualty excepted, and comply, and cause each of its Subsidiaries to comply, at all times with the provisions of all leases to which it is a party as lessee or under which it occupies property, so as to prevent any loss or forfeiture thereof or thereunder, except to the extent the failure to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03"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138813885_11168006499_3 maintain and preserve or so comply could not reasonably be expected to have a Material Adverse Effect. (h) Maintenance of Insurance. (i) Maintain, and cause each of its Subsidiaries to maintain, insurance with responsible and reputable insurance companies or associations (including, without limitation, comprehensive general liability, hazard, flood, rent, worker's compensation and business interruption insurance) with respect to the Collateral and its other properties (including all real property leased or owned by it) and business, in such amounts and covering such risks as is (i) carried generally in accordance with sound business practice by companies in similar businesses similarly situated, (ii) required by any Requirement of Law, (iii) required by any Material Contract and (iv) in any event in amount, adequacy and scope reasonably satisfactory to the Collateral Agent. All policies covering the Collateral are to be made payable to the Collateral Agent for the benefit of the Agents and the Lenders, as their interests may appear, in case of loss, under a standard non contributory "lender" or "secured party" clause and are to contain such other provisions as the Collateral Agent may require to fully protect the Lenders' interest in the Collateral and to any payments to be made under such policies. All certificates of insurance are to be delivered to the Collateral Agent and the policies are to be premium prepaid, with the loss payable and additional insured endorsement in favor of the Collateral Agent for the benefit of the Agents and the Lenders, as their respective interests may appear, and such other Persons as the Collateral Agent may designate from time to time, and shall provide for not less than 30 days' (10 days' in the case of non-payment) prior written notice to the Collateral Agent of the exercise of any right of cancellation. If any Loan Party or any of its Subsidiaries fails to maintain such insurance, the Collateral Agent may arrange for such insurance, but at the Borrowers’ expense and without any responsibility on the Collateral Agent's part for obtaining the insurance, the solvency of the insurance companies, the adequacy of the coverage, or the collection of claims. Upon the occurrence and during the continuance of an Event of Default, the Collateral Agent shall have the sole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 (ii) Within 30 days of the Closing Date the Lead Borrower shall deliver to the Agent, evidence of the insurance coverage required by Section 7.01(i) and the terms of each Security Agreement and such other insurance coverage with respect to the business and operations of the Loan Parties as the Collateral Agent may reasonably request, with such endorsements as to the named insureds or loss payees thereunder as the Collateral Agent may request and providing that such policy may be terminated or canceled (by the insurer or the insured thereunder) only upon 30 days' prior written notice to the Collateral Agent and each such named insured or loss payee, together with evidence of the payment of all premiums due in respect thereof for such period as the Collateral Agent may request. (i) Obtaining of Permits, Etc. Obtain, maintain and preserve, and cause each of its Subsidiaries to obtain, maintain and preserve, and take all necessary action to timely renew,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4"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138813885_11168006499_3 all permits, licenses, authorizations, approvals, entitlements and accreditations that are necessary or useful in the proper conduct of its business, in each case, except to the extent the failure to obtain, maintain, preserve or take such action could not reasonably be expected to have a Material Adverse Effect. (j) Environmental. (i) Keep the Collateral free of any Environmental Lien; (ii) Obtain, maintain and preserve, and cause each of its Subsidiaries to obtain, maintain and preserve, and take all necessary action to timely renew, all Environmental Permits that are necessary or useful in the proper conduct of its business, and comply, and cause each of its Subsidiaries to comply, with all Environmental Laws and Environmental Permits except to the extent the failure to so obtain, maintain, preserve or comply could not reasonably be expected to have a Material Adverse Effect; (iii) Take all commercially reasonable steps to prevent any Release or threatened Release of Hazardous Materials in violation of any Environmental Law or Environmental Permit at, in, on, under or from any property owned, leased or operated by any Loan Party or its Subsidiaries that could reasonably be expected to result in a Material Adverse Effect; (iv) Provide the Collateral Agent with written notice within ten (10) days of any of the following: (A) discovery of any Release of a Hazardous Material or environmental condition at, in, on, under or from any property currently or formerly owned, leased or operated by any Loan Party, Subsidiary or predecessor in interest or any violation of Environmental Law or Environmental Permit that in any case could reasonably be expected to result in a Material Adverse Effect; (B) notice that an Environmental Lien has been filed against any Collateral; or (C) a Environmental Claim or Environmental Liabilities that could reasonably be expected to result in a Material Adverse Effect; and provide such reports, documents and information as the Collateral Agent may reasonably request from time to time with respect to any of the foregoing. (k) Fiscal Year. Cause the Fiscal Year of the Lead Borrower and its Subsidiaries to end on December 31 of each calendar year unless the Agents consent to a change in such Fiscal Year (and appropriate related changes to this Agreement). (l) Landlord Waivers; Collateral Access Agreements. At any time any Collateral with a book value in excess of $2,500,000 (when aggregated with all other Collateral at the same location) is located on any real property of a Loan Party (whether such real property is now existing or acquired after the Effective Date) which is not owned by a Loan Party, or is stored on the premises of a bailee, warehouseman, or similar party, obtain written subordinations or waivers or collateral access agreements, as the case may be, in form and substance satisfactory to the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05"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138813885_11168006499_3 (m) After Acquired Real Property. Upon the acquisition by it or any of its Subsidiaries after the date hereof of any interest in any real property (wherever located) (each such interest being a "New Facility") with a Current Value (as defined below) in excess of $1,000,000, immediately so notify the Collateral Agent, setting forth with specificity a description of the interest acquired, the location of the real property, any structures or improvements thereon and either an appraisal or such Loan Party's good-faith estimate of the current value of such real property (for purposes of this Section, the "Current Value"). The Collateral Agent shall notify such Loan Party whether it intends to require a Mortgage (and any other Real Property Deliverables) with respect to such New Facility. Upon receipt of such notice requesting a Mortgage (and any other Real Property Deliverables), the Person that has acquired such New Facility shall promptly furnish the same to the Collateral Agent. The Borrowers shall pay all fees and expenses, including, without limitation, reasonable attorneys' fees and expenses, and all title insurance charges and premiums, in connection with each Loan Party's obligations under this Section 7.01(m). (n) Anti-Corruption Laws; Anti-Money Laundering Laws; Sanctions. (i) Maintain, and cause each of its Subsidiaries to maintain, policies and procedures designed to promote compliance by each Loan Party, its Subsidiaries and their respective directors, officers, employees and agents with all Anti-Corruption Laws and Anti-Money Laundering Laws. (ii) Comply, and cause each of its Subsidiaries to comply, with all applicable Anti-Corruption Laws, Anti-Money Laundering Laws and Sanctions. (iii) Neither Loan Party nor, to the best knowledge of any Loan Party, any director, officer, employee or any Person acting on behalf of any Loan Party will engage in any activity that would breach any Anti-Corruption Law. (iv) Promptly notify the Administrative Agent of any action, suit or investigations by any court or Governmental Authority in relation to an alleged breach of the Anti-Corruption Law. (v) Not directly or indirectly use, lend or contribute the proceeds of any Loan for any purpose that would breach any Anti-Corruption Law. (vi) Each Loan Party and Affiliate, officer, employee or director, acting on behalf of the Loan Party is (and will take no action which would result in any such Person not being) in compliance with (A) all applicable OFAC rules and regulations, (B) all applicable United States of America, United Kingdom, United Nations, European Union, German, Canadian, Australian and all other reasonable internationally respected national autonomous sanctions, embargos and trade restrictions and (C) all applicable provisions of the USA Patriot Act. In addition, none of the activities or business of any Loan Party includes any kind of activities or business of or with any Person or in any country or territory that is subject to any Sanctions.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6"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138813885_11168006499_3 (vii) In order to comply with the "know your customer/borrower" requirements of the Anti-Money Laundering Laws, promptly provide to the Administrative Agent upon its reasonable request from time to time (A) information relating to individuals and entities affiliated with any Loan Party that maintain a business relationship with the Administrative Agent, and (B) such identifying information and documentation as may be available for such Loan Party in order to enable the Administrative Agent or any Lender to comply with Anti-Money Laundering Laws. (o) Lender Meetings. Upon the request of any Agent or the Required Lenders (which request, so long as no Event of Default shall have occurred and be continuing, shall not be made more than once during each fiscal quarter), participate in a meeting with the Agents and the Lenders at the Lead Borrower’s corporate offices (or at such other location as may be agreed to by the Lead Borrower and such Agent or the Required Lenders) or by video conference at such time as may be agreed to by the Lead Borrower and such Agent or the Required Lenders. (p) Board Observation Rights. The Administrative Agent shall be entitled to designate one observer (the "Board Observer") to attend any regular meeting (a "BOD Meeting") of the Board of Directors of the Lead Borrower or any of its Subsidiaries (or, in each case, any relevant committees thereof), except that the Board Observer shall not be entitled to vote on matters presented to or discussed by the Board of Directors (or any relevant committee thereof) of the Lead Borrower or any of its Subsidiaries at any such meetings. The Board Observer shall be timely notified of the time and place of any BOD Meetings (which shall be held no less than once per quarter) and will be given written notice of all proposed actions to be taken by the Board of Directors (or any relevant committee thereof) of the Lead Borrower and any of its Subsidiaries at such meeting as if the Board Observer were a member thereof. Such notice shall describe in reasonable detail the nature and substance of the matters to be discussed and/or voted upon at such meeting (or the proposed actions to be taken by written consent without a meeting). The Board Observer shall have the right to receive all information provided to the members of the Board of Directors or any similar group performing an executive oversight or similar function (or any relevant committee thereof) of the Lead Borrower and any of its Subsidiaries in anticipation of or at such meeting (regular or special and whether telephonic or otherwise). The Board Observer shall keep such materials and information confidential in accordance with Section 12.19 of this Agreement. The Borrowers shall reimburse the Board Observer for all reasonable out-of-pocket costs and expenses incurred in connection with its participation in any such BOD Meeting. Notwithstanding the foregoing, the Board Observer shall not be entitled to receive portions of any materials relating to, or be in attendance for any portion of any BOD Meetings relating to topics which (i) are subject to attorney-client privilege, or (ii) present a conflict of interest for the Board Observer; provided, however, that the Lead Borrower shall be required to provide the Board Observer with written notice that the Lead Borrower is electing to withhold portions of materials from the Board Observer or to exclude the Board Observer from portions of BOD Meetings as permitted by this sentence. (q) Post-Closing Covenants.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07"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138813885_11168006499_3 (i) Within three Business Days of the Closing Date the Lead Borrower shall deliver the Agent an original stock certificate of Healthy Offers and a stock power reasonably acceptable to the Agent. (r) Further Assurances. Take such action and execute, acknowledge and deliver, and cause each of its Subsidiaries to take such action and execute, acknowledge and deliver, at its sole cost and expense, such agreements, instruments or other documents as any Agent may require from time to time in order (i) to carry out more effectively the purposes of this Agreement and the other Loan Documents, (ii) to subject to valid and perfected first priority Liens any of the Collateral or any other property of any Loan Party and its Subsidiaries, (iii) to establish and maintain the validity and effectiveness of any of the Loan Documents and the validity, perfection and priority of the Liens intended to be created thereby, and (iv) to better assure, convey, grant, assign, transfer and confirm unto each Secured Party the rights now or hereafter intended to be granted to it under this Agreement or any other Loan Document. In furtherance of the foregoing, to the maximum extent permitted by applicable law, each Loan Party (i) authorizes each Agent to execute any such agreements, instruments or other documents in such Loan Party's name and to file such agreements, instruments or other documents in any appropriate filing office, (ii) authorizes each Agent to file any financing statement required hereunder or under any other Loan Document, and any continuation statement or amendment with respect thereto, in any appropriate filing office without the signature of such Loan Party, and (iii) ratifies the filing of any financing statement, and any continuation statement or amendment with respect thereto, filed without the signature of such Loan Party prior to the date hereof. Section 7.02 Negative Covenants. So long as any principal of or interest on any Loan or any other Obligation (whether or not due) shall remain unpaid (other than Contingent Indemnity Obligations) or any Lender shall have any Commitment hereunder, each Loan Party shall not, unless the Required Lenders shall otherwise consent in writing: (a) Liens, Etc. Create, incur, assume or suffer to exist, or permit any of its Subsidiaries to create, incur, assume or suffer to exist, any Lien upon or with respect to any of its properties, whether now owned or hereafter acquired; file or suffer to exist under the Uniform Commercial Code or any Requirement of Law of any jurisdiction, a financing statement (or the equivalent thereof) that names it or any of its Subsidiaries as debtor; sign or suffer to exist any security agreement authorizing any secured party thereunder to file such financing statement (or the equivalent thereof) other than, as to all of the above, Permitted Liens. (b) Indebtedness. Create, incur, assume, guarantee or suffer to exist, or otherwise become or remain liable with respect to, or permit any of its Subsidiaries to create, incur, assume, guarantee or suffer to exist or otherwise become or remain liable with respect to, any Indebtedness other than Permitted Indebtedness. (c) Fundamental Changes; Dispositions. (i) Wind-up, liquidate or dissolve, or merge, consolidate or amalgamate with any Person, including by means of a "plan of division" under the Delaware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8"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138813885_11168006499_3 Limited Liability Company Act or any comparable transaction under any similar law, or permit any of its Subsidiaries to do (or agree to do) any of the foregoing; provided, however, that any wholly-owned Subsidiary of any Loan Party (other than a Borrower) may be merged into such Loan Party or another wholly-owned Subsidiary of such Loan Party, or may consolidate or amalgamate with another wholly-owned Subsidiary of such Loan Party, so long as (A) no other provision of this Agreement would be violated thereby, (B) such Loan Party gives the Agents at least 30 days' prior written notice of such merger, consolidation or amalgamation accompanied by true, correct and complete copies of all material agreements, documents and instruments relating to such merger, consolidation or amalgamation, including, without limitation, the certificate or certificates of merger or amalgamation to be filed with each appropriate Secretary of State (with a copy as filed promptly after such filing), (C) no Default or Event of Default shall have occurred and be continuing either before or after giving effect to such transaction, (D) the Lenders' rights in any Collateral, including, without limitation, the existence, perfection and priority of any Lien thereon, are not adversely affected by such merger, consolidation or amalgamation and (E) the surviving Subsidiary, if any, if not already a Loan Party, is joined as a Loan Party hereunder pursuant to a Joinder Agreement and is a party to a Security Agreement and the Equity Interests of such Subsidiary is the subject of a Security Agreement, in each case, which is in full force and effect on the date of and immediately after giving effect to such merger, consolidation or amalgamation; and (ii) Make any Disposition, whether in one transaction or a series of related transactions, of all or any part of its business, property or assets, whether now owned or hereafter acquired (or agree to do any of the foregoing), or permit any of its Subsidiaries to do any of the foregoing; provided, however, that any Loan Party and its Subsidiaries may make Permitted Dispositions. (d) Change in Nature of Business. Make, or permit any of its Subsidiaries to make, any change in the nature of its business as described in Section 6.01(l). (e) Loans, Advances, Investments, Etc. Make or commit or agree to make, or permit any of its Subsidiaries make or commit or agree to make, any Investment in any other Person except for Permitted Investments. (f) Sale and Leaseback Transactions. Enter into, or permit any of its Subsidiaries to enter into, any Sale and Leaseback Transaction. (g) [Reserved]. (h) Restricted Payments. Make or permit any of its Subsidiaries to make any Restricted Payment other than Permitted Restricted Payments. (i) Federal Reserve Regulations. Permit any Loan or the proceeds of any Loan under this Agreement to be used for any purpose that would cause such Loan to be a margin loan under the provisions of Regulation T, U or X of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09"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138813885_11168006499_3 (j) Transactions with Affiliates. Enter into, renew, extend or be a party to, or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(i) transactions consummated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 if they involve one or more payments by the Lead Borrower or any of its Subsidiaries in excess of $100,000 for any single transaction or series of related transactions, that are fully disclosed to the Agents prior to the consummation thereof, (ii) transactions with another Loan Party, (iii) transactions permitted by Section 7.02(e) and Section 7.02(h), (iv) sales of Qualified Equity Interests of the Lead Borrower to Affiliates of the Lead Borrower not otherwise prohibited by the Loan Documents and the granting of registration and other customary rights in connection therewith, and (v) reasonable and customary director and officer compensation (including bonuses and stock option programs), benefits and indemnification arrangements, in each case approved by the Board of Directors (or a committee thereof) of such Loan Party or such Subsidiary. (k) Limitations on Dividends and Other Payment Restrictions Affecting Subsidiaries. Create or otherwise cause, incur, assume, suffer or permit to exist or become effective any consensual encumbrance or restriction of any kind on the ability of any Subsidiary of any Loan Party (i) to pay dividends or to make any other distribution on any shares of Equity Interests of such Subsidiary owned by any Loan Party or any of its Subsidiaries, (ii) to pay or prepay or to subordinate any Indebtedness owed to any Loan Party or any of its Subsidiaries, (iii) to make loans or advances to any Loan Party or any of its Subsidiaries or (iv) to transfer any of its property or assets to any Loan Party or any of its Subsidiaries, or permit any of its Subsidiaries to do any of the foregoing; provided, however, that nothing in any of clauses (i) through (iv) of this Section 7.02(k) shall prohibit or restrict compliance with: (A) this Agreement and the other Loan Documents; (B) any agreement in effect on the date of this Agreement and described on Schedule 7.02(k), or any extension, replacement or continuation of any such agreement; provided, that, any such encumbrance or restriction contained in such extended, replaced or continued agreement is no less favorable to the Agents and the Lenders than the encumbrance or restriction under or pursuant to the agreement so extended, replaced or continued; (C) any applicable law, rule or regulation (including, without limitation, applicable currency control laws and applicable state corporate statutes restricting the payment of dividends in certain circumstances); (D) in the case of clause (iv), (1) customary restrictions on the subletting, assignment or transfer of any specified property or asset set forth in a lease, license, asset sale agreement or similar contract for the conveyance of such property or asset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10"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138813885_11168006499_3 (2) instrument or other document evidencing a Permitted Lien (or the Indebtedness secured thereby) from restricting on customary terms the transfer of any property or assets subject thereto; (E) customary restrictions on dispositions of real property interests in reciprocal easement agreements; (F) customary restrictions in agreements for the sale of assets on the transfer or encumbrance of such assets during an interim period prior to the closing of the sale of such assets; or (G) customary restrictions in contracts that prohibit the assignment of such contract. (l) Limitations on Negative Pledges. Enter into, incur or permit to exist, or permit any Subsidiary to enter into, incur or permit to exist, directly or indirectly, any agreement, instrument, deed, lease or other arrangement that prohibits, restricts or imposes any condition upon the ability of any Loan Party or any Subsidiary of any Loan Party to create, incur or permit to exist any Lien upon any of its property or revenues, whether now owned or hereafter acquired, or that requires the grant of any security for an obligation if security is granted for another obligation, except the following: (i) this Agreement and the other Loan Documents, (ii) restrictions or conditions imposed by any agreement relating to secured Indebtedness permitted by Section 7.02(b) of this Agreement if such restrictions or conditions apply only to the property or assets securing such Indebtedness, (iii) any customary restrictions and conditions contained in agreements relating to the sale or other disposition of assets or of a Subsidiary pending such sale or other disposition; provided that such restrictions and conditions apply only to the assets or Subsidiary to be sold or disposed of and such sale or disposition is permitted hereunder, and (iv) customary provisions in leases restricting the assignment or sublet thereof. (m) Organizational Documents and Certain Other Agreements; Etc. (i) amend, modify or otherwise change any of its Governing Documents (including, without limitation, by the filing or modification of any certificate of designation, or any agreement or arrangement entered into by it) with respect to any of its Equity Interests (including any shareholders' agreement), or enter into any new agreement with respect to any of its Equity Interests, except any such amendments, modifications or changes or any such new agreements or arrangements pursuant to this clause (i) that either individually or in the aggregate could not reasonably be expected to have a Material Adverse Effect, provided that no such amendment, modification or change or new agreement or arrangement shall provide for any plan of division pursuant to Section 18-217 of the Delaware Limited Liability Company Act (or any similar statute or provision under applicable law); or (ii) agree to any amendment, modification or other change to or waiver of any of its rights under any Material Contract or any Merger Document if such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11"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138813885_11168006499_3 modification, change or waiver would be adverse to any Loan Party or any of its Subsidiaries or the Agents and the Lenders. (n) Investment Company Act of 1940. Engage in any business, enter into any transaction, use any securities or take any other action or permit any of its Subsidiaries to do any of the foregoing, that would cause it or any of its Subsidiaries to become subject to the registration requirements of the Investment Company Act of 1940, as amended, by virtue of being an "investment company" or a company "controlled" by an "investment company" not entitled to an exemption within the meaning of such Act. (o) ERISA. Cause or fail to prevent, or permit any of its ERISA Affiliates to cause or fail to prevent, an ERISA Event that would reasonably be expected to result in a Material Adverse Effect. (p) Environmental. Permit the use, handling, generation, storage, treatment, Release or disposal of Hazardous Materials on, in, at, under or from any property owned, leased or operated by it or any of its Subsidiaries, except in compliance with Environmental Laws (other than any noncompliance that could not reasonably be expected to have a Material Adverse Effect). (q) Accounting Methods. Modify or change, or permit any of its Subsidiaries to modify or change, its method of accounting or accounting principles from those utilized in the preparation of the Financial Statements (other than as may be required to conform to GAAP). (r) Sanctioned Persons; Anti-Corruption Laws; Anti-Money Laundering Laws. (i) Conduct, nor permit any of its Subsidiaries to conduct, any business or engage in any transaction or deal with or for the benefit of any Sanctioned Person, including the making or receiving of any contribution of funds, goods or services to, from or for the benefit of any Sanctioned Person; or (ii) Use, nor permit any of its Subsidiaries to use, directly or indirectly, any of the proceeds of any Loan, (A) to fund any activities or business of or with any Sanctioned Person or in any other manner that would result in a violation of any Sanctions by any Person, or (B) for the purpose of an offer, payment, promise to pay, or authorization of the payment or giving of money, or anything else of value, to any Person in violation of any Anti-Corruption Law. (s) No Excess Cash. Permit any Excluded Subsidiary to maintain, an average monthly balance of cash and Cash Equivalents in all of the checking, savings and other accounts of the Excluded Subsidiaries (taken as a whole) in excess of $100,000 at any time. Section 7.03 Financial Covenants. So long as any principal of or interest on any Loan or any other Obligation (whether or not due) shall remain unpaid (other than Contingent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2"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138813885_11168006499_3 March 31, 2025 2.50:1.00 June 30, 2024 Leverage Ratio June 30, 2025 4.00:1.00 2.25:1.00 Indemnity Obligations) or any Lender shall have any Commitment hereunder, each Loan Party shall not, unless the Required Lenders shall otherwise consent in writing: (a) Leverage Ratio. Allow the Leverage Ratio of the Lead Borrower and its Subsidiaries for any Test Period below to be greater than the ratio set forth opposite such date: September 30, 2025 and thereafter 2.00:1.00 September 30, 2024 For the avoidance of doubt, the Leverage Ratio shall not be tested for the Fiscal Quarter ended December 31, 2023. (b) Liquidity. Allow Liquidity of the Loan Parties to be less than $5,000,000 at any time. ARTICLE VIII CASH MANAGEMENT ARRANGEMENTS AND OTHER COLLATERAL MATTERS Section 8.01 Cash Management Arrangements. (a) The Loan Parties shall (i) establish and maintain cash management services of a type and on terms reasonably satisfactory to the Agents and (ii) except as otherwise provided under Section 8.01(b), deposit or cause to be deposited promptly, and in any event no later than the next Business Day after the date of receipt thereof, all proceeds in respect of any Collateral, all Collections (of a nature susceptible to a deposit in a bank account) and all other amounts received by any Loan Party (including payments made by Account Debtors directly to any Loan Party) into a Cash Management Account. (b) Within 30 days after the Effective Date (or such later date as agreed to by the Administrative Agent in its sole discretion), the Loan Parties shall, with respect to each Cash Management Account deliver to the Collateral Agent a Control Agreement with respect to such 3.50:1.00 March 31, 2024 December 31, 2024 4.50:1.00 3.00:1.00 Fiscal Quarter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13"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138813885_11168006499_3 Cash Management Account. From and after the date that is 30 days following the Effective Date (or such later date as agreed to by the Administrative Agent in its sole discretion), the Loan Parties shall not maintain, and shall not permit any of their Subsidiaries to maintain, cash, Cash Equivalents or other amounts in any deposit account or securities account, unless such account is a Cash Management Account subject to a Control Agreement or such account is an Excluded Account and such cash and Cash Equivalents are permitted to be held in such Excluded Account pursuant to the definition thereof. (c) So long as no Default or Event of Default has occurred and is continuing, the Lead Borrower may amend Schedule 8.01 to add or replace a Cash Management Account; provided, however, that (i) the depository institution for such prospective Cash Management Account shall be reasonably satisfactory to the Collateral Agent and the Collateral Agent shall have consented in writing in advance to the opening of such Cash Management Account with the prospective depository institution, and (ii) prior to the time of the opening of such Cash Management Account, each Loan Party and such prospective depository institution shall have executed and delivered to the Collateral Agent a Control Agreement. Each Loan Party shall close any of its Cash Management Accounts (and establish replacement cash management accounts in accordance with the foregoing sentence) promptly and in any event within 30 days of notice from the Collateral Agent that the creditworthiness of any depository bank is no longer acceptable in the Collateral Agent's reasonable judgment, or that the operating performance, funds transfer, or availability procedures or performance of such depository bank with respect to Cash Management Accounts or the Collateral Agent's liability under any Control Agreement with such depository institution is no longer acceptable in the Collateral Agent's reasonable judgment. ARTICLE IX EVENTS OF DEFAULT Section 9.01 Events of Default. Each of the following events shall constitute an event of default (each, an "Event of Default"): (a) any Borrower shall fail to pay, when due (whether by scheduled maturity, required prepayment, acceleration, demand or otherwise), (i) any interest on any Loan, any Collateral Agent Advance or any fee, indemnity or other amount payable under this Agreement (other than any portion thereof constituting principal of the Loans) or any other Loan Document, and such failure continues for a period of two (2) Business Days or (ii) all or any portion of the principal of the Loans; (b) any representation or warranty made or deemed made by or on behalf of any Loan Party or by any officer of the foregoing under or in connection with any Loan Document or under or in connection with any certificate or other writing delivered to any Secured Party pursuant to any Loan Document shall have been incorrect in any material respect (or in any respect if such representation or warranty is qualified or modified as to materiality or "Material Adverse Effect" in the text thereof) when made or deemed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4"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138813885_11168006499_3 (c) any Loan Party shall fail to perform or comply with any covenant or agreement contained in Section 7.01(a), Section 7.01(c), Section 7.01(d), Section 7.01(f), Section 7.01(h), Section 7.01(k), Section 7.01(m), Section 7.01(o), Section 7.02 or Section 7.03 or Article VIII, or any Loan Party shall fail to perform or comply with any covenant or agreement contained in any Security Agreement to which it is a party or any Mortgage to which it is a party; (d) any Loan Party shall fail to perform or comply with any other term, covenant or agreement contained in any Loan Document to be performed or observed by it and, except as set forth in subsections (a), (b) and (c) of this Section 9.01, such failure, if capable of being remedied, shall remain unremedied for 15 days after the earlier of the date a senior officer of any Loan Party has knowledge of such failure and the date written notice of such default shall have been given by any Agent to such Loan Party; (e) any Loan Party or any of its Subsidiaries shall fail to pay when due (whether by scheduled maturity, required prepayment, acceleration, demand or otherwise) any principal, interest or other amount payable in respect of Indebtedness (excluding Indebtedness evidenced by this Agreement) having an aggregate amount outstanding in excess of $1,000,000, and such failure shall continue after the applicable grace period, if any, specified in the agreement or instrument relating to such Indebtedness, or any other default under any agreement or instrument relating to any such Indebtedness, or any other event, shall occur and shall continue after the applicable grace period, if any, specified in such agreement or instrument, if the effect of such default or event is to accelerate, or to permit the acceleration of, the maturity of such Indebtedness; or any such Indebtedness shall be declared to be due and payable, or required to be prepaid (other than by a regularly scheduled required prepayment), redeemed, purchased or defeased or an offer to prepay, redeem, purchase or defease such Indebtedness shall be required to be made, in each case, prior to the stated maturity thereof; (f) any Loan Party or any of its Subsidiaries (i) shall institute any proceeding or voluntary case seeking to adjudicate it a bankrupt or insolvent, or seeking dissolution, liquidation, winding up, reorganization, arrangement, adjustment, protection, relief or composition of it or its debts under any law relating to bankruptcy, insolvency, reorganization or relief of debtors, or seeking the entry of an order for relief or the appointment of a receiver, trustee, custodian or other similar official for any such Person or for any substantial part of its property, (ii) shall be generally not paying its debts as such debts become due or shall admit in writing its inability to pay its debts generally, (iii) shall make a general assignment for the benefit of creditors, or (iv) shall take any action to authorize or effect any of the actions set forth above in this subsection (f); (g) any proceeding shall be instituted against any Loan Party or any of its Subsidiaries seeking to adjudicate it a bankrupt or insolvent, or seeking dissolution, liquidation, winding up, reorganization, arrangement, adjustment, protection, relief of debtors, or seeking the entry of an order for relief or the appointment of a receiver, trustee, custodian or other similar official for any such Person or for any substantial part of its property, and either such proceeding shall remain undismissed or unstayed for a period of 60 days or any of the actions sought in such proceeding (including, without limitation, the entry of an order for relief against any such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15"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138813885_11168006499_3 or the appointment of a receiver, trustee, custodian or other similar official for it or for any substantial part of its property) shall occur; (h) any material provision of any Loan Document shall at any time for any reason (other than pursuant to the express terms thereof) cease to be valid and binding on or enforceable against any Loan Party intended to be a party thereto, or the validity or enforceability thereof shall be contested by any party thereto, or a proceeding shall be commenced by any Loan Party, any of its Subsidiaries any of its Subsidiaries or any Governmental Authority having jurisdiction over any of them, seeking to establish the invalidity or unenforceability thereof, or any Loan Party shall deny in writing that it has any liability or obligation purported to be created under any Loan Document; (i) any Security Agreement, any Mortgage or any other security document, after delivery thereof pursuant hereto, shall for any reason fail or cease to create a valid and perfected and, except to the extent permitted by the terms hereof or thereof, first priority Lien in favor of the Collateral Agent for the benefit of the Agents and the Lenders on any Collateral purported to be covered thereby; (j) one or more judgments, orders or awards (or any settlement of any litigation or other proceeding that, if breached, could result in a judgment, order or award) for the payment of money exceeding $1,000,000 in the aggregate (except to the extent fully covered (other than to the extent of customary deductibles) by insurance pursuant to which the insurer has been notified and has not denied coverage) shall be rendered against any Loan Party or any of its Subsidiaries and remain unsatisfied and (i) enforcement proceedings shall have been commenced by any creditor upon any such judgment, order, award or settlement or (ii) there shall be a period of 10 consecutive days after entry thereof during which (A) a stay of enforcement thereof is not be in effect or (B) the same is not vacated, discharged, stayed or bonded pending appeal; (k) any Loan Party or any of its Subsidiaries is enjoined, restrained or in any way prevented by the order of any court or any Governmental Authority from conducting, or otherwise ceases to conduct for any reason whatsoever, all or any material part of its business for more than 15 days; (l) any material damage to, or loss, theft or destruction of, any Collateral, whether or not insured, or any strike, lockout, labor dispute, embargo, condemnation, act of God or public enemy, or other casualty which causes, for more than 15 consecutive days, the cessation or substantial curtailment of revenue producing activities at any facility of any Loan Party or any of its Subsidiaries, if any such event or circumstance could reasonably be expected to have a Material Adverse Effect; (m) the loss, suspension or revocation of, or failure to renew, any license or permit now held or hereafter acquired by any Loan Party or any of its Subsidiaries, if such loss, suspension, revocation or failure to renew could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16"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138813885_11168006499_3 (n) the indictment, or the threatened indictment of any Loan Party, any of its Subsidiaries or any senior officer thereof under any criminal statute, or commencement or threatened commencement of criminal or civil proceedings against any Loan Party or any senior officer thereof, pursuant to which statute or proceedings the penalties or remedies sought or available include forfeiture to any Governmental Authority of any material portion of the property of such Person; (o) [reserved]; (p) (i) there shall occur and be continuing any "Event of Default" (or any comparable term) under, and as defined in the documents evidencing or governing any Subordinated Indebtedness, (ii) any of the Obligations for any reason shall cease to be "Senior Indebtedness" or "Designated Senior Indebtedness" (or any comparable terms) under, and as defined in the documents evidencing or governing any Subordinated Indebtedness, (iii) any Indebtedness other than the Obligations shall constitute "Designated Senior Indebtedness" (or any comparable term) under, and as defined in, the documents evidencing or governing any Subordinated Indebtedness, (iv) any holder of Subordinated Indebtedness shall fail to perform or comply with any of the subordination provisions of the documents evidencing or governing such Subordinated Indebtedness, or (v) the subordination provisions of the documents evidencing or governing any Subordinated Indebtedness shall, in whole or in part, terminate, cease to be effective or cease to be legally valid, binding and enforceable against any holder of the applicable Subordinated Indebtedness; (q) [reserved]; (r) a Change of Control shall have occurred; or (s) [reserved]; then, and in any such event, the Collateral Agent may, and shall at the request of the Required Lenders, by notice to the Borrower, (i) terminate or reduce all Commitments, whereupon all Commitments shall immediately be so terminated or reduced, (ii) declare all or any portion of the Loans then outstanding to be accelerated and due and payable, whereupon all or such portion of the aggregate principal of all Loans, all accrued and unpaid interest thereon, all fees and all other amounts payable under this Agreement and the other Loan Documents shall become due and payable immediately, together with the payment of the Applicable Premium with respect to the Commitments so terminated and the Loans so repaid, without presentment, demand, protest or further notice of any kind, all of which are hereby expressly waived by each Loan Party and (iii) exercise any and all of its other rights and remedies under applicable law, hereunder and under the other Loan Documents; provided, however, that upon the occurrence of any Event of Default described in subsection (f) or (g) of this Section 9.01 with respect to any Loan Party, without any notice to any Loan Party or any other Person or any act by any Agent or any Lender, all Commitments shall automatically terminate and all Loans then outstanding, together with all accrued and unpaid interest thereon, all fees and all other amounts due under this Agreement and the other Loan Documents, including, without limitation, the Applicable Premium,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17"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138813885_11168006499_3 accelerated and become due and payable automatically and immediately, without presentment, demand, protest or notice of any kind, all of which are expressly waived by each Loan Party. ARTICLE X AGENTS Section 10.01 Appointment. Each Lender (and each subsequent maker of any Loan by its making thereof) hereby irrevocably appoints, authorizes and empowers the Administrative Agent and the Collateral Agent to perform the duties of each such Agent as set forth in this Agreement and the other Loan Documents, together with such actions and powers as are reasonably incidental thereto, including: (i) to receive on behalf of each Lender any payment of principal of or interest on the Loans outstanding hereunder and all other amounts accrued hereunder for the account of the Lenders and paid to such Agent, and, subject to Section 2.02 of this Agreement, to distribute promptly to each Lender its Pro Rata Share of all payments so received; (ii) to distribute to each Lender copies of all material notices and agreements received by such Agent and not required to be delivered to each Lender pursuant to the terms of this Agreement, provided that the Agents shall not have any liability to the Lenders for any Agent's inadvertent failure to distribute any such notices or agreements to the Lenders; (iii) to maintain, in accordance with its customary business practices, ledgers and records reflecting the status of the Obligations, the Loans, and related matters and to maintain, in accordance with its customary business practices, ledgers and records reflecting the status of the Collateral and related matters; (iv) to execute or file any and all financing or similar statements or notices, amendments, renewals, supplements, documents, instruments, proofs of claim, notices and other written agreements with respect to this Agreement or any other Loan Document; (v) to make the Loans and Collateral Agent Advances, for such Agent or on behalf of the applicable Lenders as provided in this Agreement or any other Loan Document; (vi) to perform, exercise, and enforce any and all other rights and remedies of the Lenders with respect to the Loan Parties, the Obligations, or otherwise related to any of same to the extent reasonably incidental to the exercise by such Agent of the rights and remedies specifically authorized to be exercised by such Agent by the terms of this Agreement or any other Loan Document; (vii) to incur and pay such fees necessary or appropriate for the performance and fulfillment of its functions and powers pursuant to this Agreement or any other Loan Document; (viii) subject to Section 10.03, to take such action as such Agent deems appropriate on its behalf to administer the Loans and the Loan Documents and to exercise such other powers delegated to such Agent by the terms hereof or the other Loan Documents (including, without limitation, the power to give or to refuse to give notices, waivers, consents, approvals and instructions and the power to make or to refuse to make determinations and calculations); and (ix) to act with respect to all Collateral under the Loan Documents, including for purposes of acquiring, holding and enforcing any and all Liens on Collateral granted by any of the Loan Parties to secure any of the Obligations. As to any matters not expressly provided for by this Agreement and the other Loan Documents (including, without limitation, enforcement or collection of the Loans), the Agents shall not be required to exercise any discretion or take any action, but shall be required to act or to refrain from acting (and shall be fully protected in so acting or refraining from acting) upon the instructions of the Required Lenders (or such other number or percentage of the Lenders as shall be expressly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18"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138813885_11168006499_3 provided for herein or in the other Loan Documents), and such instructions of the Required Lenders (or such other number or percentage of the Lenders as shall be expressly provided for herein or in the other Loan Documents) shall be binding upon all Lenders and all makers of Loans; provided, however, the Agents shall not be required to take any action which, in the reasonable opinion of any Agent, exposes such Agent to liability or which is contrary to this Agreement or any other Loan Document or applicable law. Section 10.02 Nature of Duties; Delegation. ii) The Agents shall have no duties or responsibilities except those expressly set forth in this Agreement or in the other Loan Documents. The duties of the Agents shall be mechanical and administrative in nature. The Agents shall not have by reason of this Agreement or any other Loan Document a fiduciary relationship in respect of any Lender. Nothing in this Agreement or any other Loan Document, express or implied, is intended to or shall be construed to impose upon the Agents any obligations in respect of this Agreement or any other Loan Document except as expressly set forth herein or therein. Each Lender shall make its own independent investigation of the financial condition and affairs of the Loan Parties in connection with the making and the continuance of the Loans hereunder and shall make its own appraisal of the creditworthiness of the Loan Parties and the value of the Collateral without reliance upon the Administrative Agent or any other Lender or any of their Related Parties, and neither the Agents nor any of their Related Parties shall have any duty or responsibility, either initially or on a continuing basis, to provide any Lender with any credit or other information with respect thereto, whether coming into their possession before the initial Loan hereunder or at any time or times thereafter, provided that, upon the reasonable request of a Lender, each Agent shall provide to such Lender any documents or reports delivered to such Agent by the Loan Parties pursuant to the terms of this Agreement or any other Loan Document. If any Agent seeks the consent or approval of the Required Lenders (or such other number or percentage of the Lenders as shall be expressly provided for herein or in the other Loan Documents) to the taking or refraining from taking any action hereunder, such Agent shall send notice thereof to each Lender. Each Agent shall promptly notify each Lender any time that the Required Lenders (or such other number or percentage of the Lenders as shall be expressly provided for herein or in the other Loan Documents) have instructed such Agent to act or refrain from acting pursuant hereto. (a) Each Agent may, upon any term or condition it specifies, delegate or exercise any of its rights, powers and remedies under, and delegate or perform any of its duties or any other action with respect to, any Loan Document by or through any of its Related Parties or any other trustee, co-agent or other Person (including any Lender). Any such Related Party, trustee, co-agent or other Person shall benefit from this Article X to the extent provided by the applicable Agent. Section 10.03 Rights, Exculpation, Etc. The Agents and their Related Parties shall not be liable for any action taken or omitted to be taken by them under or in connection with this Agreement or the other Loan Documents, except for their own gross negligence or willful misconduct as determined by a final non-appealable judgment of a court of competent jurisdiction. Without limiting the generality of the foregoing, the Agents (i) may treat the payee of any Loan as the owner thereof until the Collateral Agent receives written notice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19"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138813885_11168006499_3 assignment or transfer thereof, pursuant to Section 12.07 hereof, signed by such payee and in form satisfactory to the Collateral Agent; (ii) may consult with legal counsel (including, without limitation, counsel to any Agent or counsel to the Loan Parties), independent public accountants, and other experts selected by any of them and shall not be liable for any action taken or omitted to be taken in good faith by any of them in accordance with the advice of such counsel or experts; (iii) make no warranty or representation to any Lender and shall not be responsible to any Lender for any statements, certificates, warranties or representations made in or in connection with this Agreement or the other Loan Documents; (iv) shall not have any duty to ascertain or to inquire as to the performance or observance of any of the terms, covenants or conditions of this Agreement or the other Loan Documents on the part of any Person, the existence or possible existence of any Default or Event of Default, or to inspect the Collateral or other property (including, without limitation, the books and records) of any Person; (v) shall not be responsible to any Lender for the due execution, legality, validity, enforceability, genuineness, sufficiency or value of this Agreement or the other Loan Documents or any other instrument or document furnished pursuant hereto or thereto; and (vi) shall not be deemed to have made any representation or warranty regarding the existence, value or collectibility of the Collateral, the existence, priority or perfection of the Collateral Agent's Lien thereon, or any certificate prepared by any Loan Party in connection therewith, nor shall the Agents be responsible or liable to the Lenders for any failure to monitor or maintain any portion of the Collateral. The Agents shall not be liable for any apportionment or distribution of payments made in good faith pursuant to Section 4.03, and if any such apportionment or distribution is subsequently determined to have been made in error, and the sole recourse of any Lender to whom payment was due but not made shall be to recover from other Lenders any payment in excess of the amount which they are determined to be entitled. The Agents may at any time request instructions from the Lenders with respect to any actions or approvals which by the terms of this Agreement or of any of the other Loan Documents the Agents are permitted or required to take or to grant, and if such instructions are promptly requested, the Agents shall be absolutely entitled to refrain from taking any action or to withhold any approval under any of the Loan Documents until they shall have received such instructions from the Required Lenders. Without limiting the foregoing, no Lender shall have any right of action whatsoever against any Agent as a result of such Agent acting or refraining from acting under this Agreement or any of the other Loan Documents in accordance with the instructions of the Required Lenders (or such other number or percentage of the Lenders as shall be expressly provided for herein or in the other Loan Documents). Section 10.04 Reliance. Each Agent shall be entitled to rely upon any written notices, statements, certificates, orders or other documents or any telephone message believed by it in good faith to be genuine and correct and to have been signed, sent or made by the proper Person, and with respect to all matters pertaining to this Agreement or any of the other Loan Documents and its duties hereunder or thereunder, upon advice of counsel selected by it. Section 10.05 Indemnification. To the extent that any Agent or any Related Party of the foregoing is not reimbursed and indemnified by any Loan Party, and whether or not such Agent has made demand on any Loan Party for the same, the Lenders will, within five days of written demand by such Agent, reimburse such Agent and such Related Parties for and indemnify such Agent and such Related Parties from and against any and all liabilities,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20"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138813885_11168006499_3 obligations, losses, damages, penalties, actions, judgments, suits, costs, expenses (including, without limitation, client charges and expenses of counsel or any other advisor to such Agent and such Related Parties), advances or disbursements of any kind or nature whatsoever which may be imposed on, incurred by, or asserted against such Agent and the Related Parties in any way relating to or arising out of this Agreement or any of the other Loan Documents or any action taken or omitted by such Agent and such Related Parties under this Agreement or any of the other Loan Documents, in proportion to each Lender's Pro Rata Share, including, without limitation, advances and disbursements made pursuant to Section 10.08; provided, however, that no Lender shall be liable for any portion of such liabilities, obligations, losses, damages, penalties, actions, judgments, suits, costs, expenses, advances or disbursements for which there has been a final non-appealable judicial determination that such liability resulted from such Agent's or such Related Party's gross negligence or willful misconduct. The obligations of the Lenders under this Section 10.05 shall survive the payment in full of the Loans and the termination of this Agreement. Section 10.06 Agents Individually. With respect to its Pro Rata Share of the Total Term Loan Commitment hereunder and the Loans made by it, each Agent shall have and may exercise the same rights and powers hereunder and is subject to the same obligations and liabilities as and to the extent set forth herein for any other Lender or maker of a Loan. The terms "Lenders" or "Required Lenders" or any similar terms shall, unless the context clearly otherwise indicates, include each Agent in its individual capacity as a Lender or one of the Required Lenders. Each Agent and its Affiliates may accept deposits from, lend money to, and generally engage in any kind of banking, trust or other business with any Borrower as if it were not acting as an Agent pursuant hereto without any duty to account to the other Lenders. Section 10.07 Successor Agent. (a) Any Agent may at any time give at least 30 days prior written notice of its resignation to the Lenders and the Borrower. Upon receipt of any such notice of resignation, the Required Lenders shall have the right to appoint a successor Agent. If no such successor Agent shall have been so appointed by the Required Lenders and shall have accepted such appointment within 30 days after the retiring Agent gives notice of its resignation (or such earlier day as shall be agreed by the Required Lenders) (the "Resignation Effective Date"), then the retiring Agent may (but shall not be obligated to), on behalf of the Lenders, appoint a successor Agent. Whether or not a successor Agent has been appointed, such resignation shall become effective in accordance with such notice on the Resignation Effective Date. (b) With effect from the Resignation Effective Date, (i) the retiring Agent shall be discharged from its duties and obligations hereunder and under the other Loan Documents and (ii) all payments, communications and determinations provided to be made by, to or through such retiring Agent shall instead be made by or to each Lender directly, until such time, if any, as a successor Agent shall have been appointed as provided for above. Upon the acceptance of a successor's Agent's appointment as Agent hereunder, such successor shall succeed to and become vested with all of the rights, powers, privileges and duties of the retiring Agent, and the retiring Agent shall be discharged from all of its duties and obligations hereunder or under the other Loan Documents. After the retiring Agent's resignation hereunder and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21"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138813885_11168006499_3 the other Loan Documents, the provisions of this Article, Section 12.04 and Section 12.15 shall continue in effect for the benefit of such retiring Agent, its sub-agents and their respective Related Parties in respect of any actions taken or omitted to be taken by it while the retiring Agent was acting as Agent. Section 10.08 Collateral Matters. (a) The Collateral Agent may from time to time make such disbursements and advances ("Collateral Agent Advances") which the Collateral Agent, in its sole discretion, deems necessary or desirable to preserve, protect, prepare for sale or lease or dispose of the Collateral or any portion thereof, to enhance the likelihood or maximize the amount of repayment by the Borrowers of the Loans and other Obligations or to pay any other amount chargeable to the Borrowers pursuant to the terms of this Agreement, including, without limitation, costs, fees and expenses as described in Section 12.04. The Collateral Agent Advances shall be repayable on demand and be secured by the Collateral and shall bear interest at a rate per annum equal to the rate then applicable to Reference Rate Loans. The Collateral Agent Advances shall constitute Obligations hereunder which may be charged to the Loan Account in accordance with Section 4.01. The Collateral Agent shall notify each Lender and the Lead Borrower in writing of each such Collateral Agent Advance, which notice shall include a description of the purpose of such Collateral Agent Advance. Without limitation to its obligations pursuant to Section 10.05, each Lender agrees that it shall make available to the Collateral Agent, upon the Collateral Agent's demand, in Dollars in immediately available funds, the amount equal to such Lender's Pro Rata Share of each such Collateral Agent Advance. If such funds are not made available to the Collateral Agent by such Lender, the Collateral Agent shall be entitled to recover such funds on demand from such Lender, together with interest thereon for each day from the date such payment was due until the date such amount is paid to the Collateral Agent, at the Federal Funds Rate for three Business Days and thereafter at the Reference Rate. (b) The Lenders hereby irrevocably authorize the Collateral Agent, at its option and in its discretion, to release any Lien granted to or held by the Collateral Agent upon any Collateral upon termination of the Total Term Loan Commitment and payment and satisfaction of all Loans and all other Obligations (other than Contingent Indemnity Obligations) in accordance with the terms hereof; or constituting property being sold or disposed of in the ordinary course of any Loan Party's business or otherwise in compliance with the terms of this Agreement and the other Loan Documents; or constituting property in which the Loan Parties owned no interest at the time the Lien was granted or at any time thereafter; or if approved, authorized or ratified in writing by the Lenders in accordance with Section 12.02. Upon request by the Collateral Agent at any time, the Lenders will confirm in writing the Collateral Agent's authority to release particular types or items of Collateral pursuant to this Section 10.08(b). (c) Without in any manner limiting the Collateral Agent's authority to act without any specific or further authorization or consent by the Lenders (as set forth in Section 10.08(b)), each Lender agrees to confirm in writing, upon request by the Collateral Agent, the authority to release Collateral conferred upon the Collateral Agent under Section 10.08(b). Upon receipt by the Collateral Agent of confirmation from the Lenders of its authority to release any particular item or types of Collateral, and upon prior written request by any Loan Party,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22"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138813885_11168006499_3 Collateral Agent shall (and is hereby irrevocably authorized by the Lenders to) execute such documents as may be necessary to evidence the release of the Liens granted to the Collateral Agent for the benefit of the Agents and the Lenders upon such Collateral; provided, however, that (i) the Collateral Agent shall not be required to execute any such document on terms which, in the Collateral Agent's opinion, would expose the Collateral Agent to liability or create any obligations or entail any consequence other than the release of such Liens without recourse or warranty, and (ii) such release shall not in any manner discharge, affect or impair the Obligations or any Lien upon (or obligations of any Loan Party in respect of) all interests in the Collateral retained by any Loan Party. (d) Anything contained in any of the Loan Documents to the contrary notwithstanding, the Loan Parties, each Agent and each Lender hereby agree that (i) no Lender shall have any right individually to realize upon any of the Collateral under any Loan Document or to enforce any Guaranty, it being understood and agreed that all powers, rights and remedies under the Loan Documents may be exercised solely by the Collateral Agent for the benefit of the Lenders in accordance with the terms thereof, (ii) in the event of a foreclosure by the Collateral Agent on any of the Collateral pursuant to a public or private sale, the Administrative Agent, the Collateral Agent or any Lender may be the purchaser of any or all of such Collateral at any such sale and (iii) the Collateral Agent, as agent for and representative of the Agents and the Lenders (but not any other Agent or any Lender or Lenders in its or their respective individual capacities unless the Required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Collateral Agent under the provisions of the Uniform Commercial Code (including pursuant to Sections 9-610 or 9-620 of the Uniform Commercial Code), (C) at any sale or foreclosure conducted by the Collateral Agent (whether by judicial action or otherwise) in accordance with applicable law or (D) any sale conducted pursuant to the provisions of any Debtor Relief Law (including Section 363 of the Bankruptcy Code), to use and apply all or any of the Obligations as a credit on account of the purchase price for any Collateral payable by the Collateral Agent at such sale. (e) The Collateral Agent shall have no obligation whatsoever to any Lender to assure that the Collateral exists or is owned by the Loan Parties or is cared for, protected or insured or has been encumbered or that the Lien granted to the Collateral Agent pursuant to this Agreement or any other Loan Document has been properly or sufficiently or lawfully created, perfected, protected or enforced or is entitled to any particular priority, or to exercise at all or in any particular manner or under any duty of care, disclosure or fidelity, or to continue exercising, any of the rights, authorities and powers granted or available to the Collateral Agent in this Section 10.08 or in any other Loan Document, it being understood and agreed that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any other Lender, except as otherwise provided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23"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138813885_11168006499_3 Section 10.09 Agency for Perfection. Each Agent and each Lender hereby appoints each other Agent and each other Lender as agent and bailee for the purpose of perfecting the security interests in and liens upon the Collateral in assets which, in accordance with Article 9 of the Uniform Commercial Code, can be perfected only by possession or control (or where the security interest of a secured party with possession or control has priority over the security interest of another secured party) and each Agent and each Lender hereby acknowledges that it holds possession of or otherwise controls any such Collateral for the benefit of the Agents and the Lenders as secured party. Should the Administrative Agent or any Lender obtain possession or control of any such Collateral, the Administrative Agent or such Lender shall notify the Collateral Agent thereof, and, promptly upon the Collateral Agent's request therefor shall deliver such Collateral to the Collateral Agent or in accordance with the Collateral Agent's instructions. In addition, the Collateral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 Section 10.10 No Reliance on any Agent's Customer Identification Program. Each Lender acknowledges and agrees that neither such Lender, nor any of its Affiliates, participants or assignees, may rely on any Agent to carry out such Lender's, Affiliate's, participant's or assignee's customer identification program, or other requirements imposed by the USA PATRIOT Act or the regulations issued thereunder, including the regulations set forth in 31 C.F.R. §§ 1010.100(yy), (iii), 1020.100, and 1020.220 (formerly 31 C.F.R. § 103.121), as hereafter amended or replaced ("CIP Regulations"), or any other Anti-Money Laundering Laws, including any programs involving any of the following items relating to or in connection with any of the Loan Parties, their Affiliates or their agents, the Loan Documents or the transactions hereunder or contemplated hereby: (1) any identity verification procedures, (2) any recordkeeping, (3) comparisons with government lists, (4) customer notices or (5) other procedures required under the CIP Regulations or other regulations issued under the USA PATRIOT Act. Each Lender, Affiliate, participant or assignee subject to Section 326 of the USA PATRIOT Act will perform the measures necessary to satisfy its own responsibilities under the CIP Regulations. Section 10.11 No Third Party Beneficiaries. The provisions of this Article are solely for the benefit of the Secured Parties, and no Loan Party shall have rights as a third-party beneficiary of any of such provisions. Section 10.12 No Fiduciary Relationship. It is understood and agreed that the use of the term "agent" herein or in any other Loan Document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24"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138813885_11168006499_3 Section 10.13 Reports; Confidentiality; Disclaimers. By becoming a party to this Agreement, each Lender: (a) is deemed to have requested that each Agent furnish such Lender, promptly after it becomes available, a copy of each field audit or examination report with respect to the Parent or any of its Subsidiaries (each, a "Report") prepared by or at the request of such Agent, and each Agent shall so furnish each Lender with each such Report, (b) expressly agrees and acknowledges that the Agents (i) do not make any representation or warranty as to the accuracy of any Reports, and (ii) shall not be liable for any information contained in any Reports, (c) expressly agrees and acknowledges that the Reports are not comprehensive audits or examinations, that any Agent or other party performing any audit or examination will inspect only specific information regarding the Parent and its Subsidiaries and will rely significantly upon the Parent's and its Subsidiaries' books and records, as well as on representations of their personnel, (d) agrees to keep all Reports and other material, non-public information regarding the Parent and its Subsidiaries and their operations, assets, and existing and contemplated business plans in a confidential manner in accordance with Section 12.19, and (e) without limiting the generality of any other indemnification provision contained in this Agreement, agrees: (i) to hold any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the Borrower, or the indemnifying Lender's participation in, or the indemnifying Lender's purchase of, a loan or loans of the Borrower, and (ii) to pay and protect, and indemnify, defend and hold any Agent and any other Lender preparing a Report harmless from and against, the claims, actions, proceedings, damages, costs, expenses, and other amounts (including, attorneys' fees and costs) incurred by any such Agent and any such other Lender preparing a Report as the direct or indirect result of any third parties who might obtain all or part of any Report through the indemnifying Lender. Section 10.14 Collateral Custodian. Upon the occurrence and during the continuance of any Default or Event of Default, the Collateral Agent or its designee may at any time and from time to time employ and maintain on the premises of any Loan Party a custodian selected by the Collateral Agent or its designee who shall have full authority to do all acts necessary to protect the Agents' and the Lenders' interests. Each Loan Party hereby agrees to, and to cause its Subsidiaries to, cooperate with any such custodian and to do whatever the Collateral Agent or its designee may reasonably request to preserve the Collateral. All costs and expenses incurred by the Collateral Agent or its designee by reason of the employment of the custodian shall be the responsibility of the Borrowers and charged to the Loan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25"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138813885_11168006499_3 Section 10.15 [Reserved]. Section 10.16 [Reserved]. Section 10.17 Collateral Agent May File Proofs of Claim. In case of the pendency of any proceeding under any Debtor Relief Law or any other judicial proceeding relative to any Loan Party, the Collateral Agent (irrespective of whether the principal of any Loan shall then be due and payable as herein expressed or by declaration or otherwise and irrespective of whether any Agent shall have made any demand on the Borrower) shall be entitled and empowered (but not obligated)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(including any claim for the compensation, expenses, disbursements and advances of the Secured Parties and their respective agents and counsel and all other amounts due the Secured Parties hereunder and under the other Loan Documents)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Secured Party to make such payments to the Collateral Agent and, in the event that the Collateral Agent shall consent to the making of such payments directly to the Secured Parties, to pay to the Collateral Agent any amount due for the reasonable compensation, expenses, disbursements and advances of the Collateral Agent and its agents and counsel, and any other amounts due the Collateral Agent hereunder and under the other Loan Documents. Section 10.18 Erroneous Distribution. If all or any part of any payment or other distribution by or on behalf of the Administrative Agent to any Borrower, Lender, or other Person is determined by the Administrative Agent in its sole discretion to have been made in error as determined by the Administrative Agent (any such distribution, an "Erroneous Distribution"), then the relevant Borrower, Lender, or other Person shall forthwith on written demand (accompanied by a reasonably detailed calculation of such Erroneous Distribution) repay to the Administrative Agent the amount of such Erroneous Distribution received by such Person. Any determination by the Administrative Agent, in its sole discretion, that all or a portion of any distribution to a Borrower, Lender, or other Person was an Erroneous Distribution shall be conclusive absent manifest error. Each Borrower, Lender, and other potential recipient of an Erroneous Distribution hereunder waives any claim of discharge for value and any other claim of entitlement to, or in respect of, any Erroneous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26"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138813885_11168006499_3 ARTICLE XI GUARANTY Section 11.01 Guaranty. Each Guarantor hereby jointly and severally and unconditionally and irrevocably guarantees the punctual payment when due, whether at stated maturity, by acceleration or otherwise, of all Obligations of the Borrowers now or hereafter existing under any Loan Document, whether for principal, interest (including, without limitation, all interest that accrues after the commencement of any Insolvency Proceeding of any Borrower, whether or not a claim for post-filing interest is allowed in such Insolvency Proceeding) fees, commissions, expense reimbursements, indemnifications or otherwise (such obligations, to the extent not paid by the Borrower, being the "Guaranteed Obligations"), and agrees to pay any and all expenses (including reasonable counsel fees and expenses) incurred by the Secured Parties in enforcing any rights under the guaranty set forth in this Article XI. Without limiting the generality of the foregoing, each Guarantor's liability shall extend to all amounts that constitute part of the Guaranteed Obligations and would be owed by the Borrowers to the Secured Parties under any Loan Document but for the fact that they are unenforceable or not allowable due to the existence of an Insolvency Proceeding involving any Borrower. Notwithstanding any of the foregoing, Guaranteed Obligations shall not include any Excluded Swap Obligations. Section 11.02 Guaranty Absolute. Each Guarantor jointly and severally guarantees that the Guaranteed Obligations will be paid strictly in accordance with the terms of the Loan Documents, regardless of any law, regulation or order now or hereafter in effect in any jurisdiction affecting any of such terms or the rights of the Secured Parties with respect thereto. Each Guarantor agrees that this Article XI constitutes a guaranty of payment when due and not of collection and waives any right to require that any resort be made by any Agent or any Lender to any Collateral. The obligations of each Guarantor under this Article XI are independent of the Guaranteed Obligations, and a separate action or actions may be brought and prosecuted against each Guarantor to enforce such obligations, irrespective of whether any action is brought against any Loan Party or whether any Loan Party is joined in any such action or actions. The liability of each Guarantor under this Article XI shall be irrevocable, absolute and unconditional irrespective of, and each Guarantor hereby irrevocably waives any defenses it may now or hereafter have in any way relating to, any or all of the following: (a) any lack of validity or enforceability of any Loan Document or any agreement or instrument relating thereto; (b) any change in the time, manner or place of payment of, or in any other term of, all or any of the Guaranteed Obligations, or any other amendment or waiver of or any consent to departure from any Loan Document, including, without limitation, any increase in the Guaranteed Obligations resulting from the extension of additional credit to any Loan Party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27"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138813885_11168006499_3 (c) any taking, exchange, release or non-perfection of any Collateral, or any taking, release or amendment or waiver of or consent to departure from any other guaranty, for all or any of the Guaranteed Obligations; (d) the existence of any claim, set-off, defense or other right that any Guarantor may have at any time against any Person, including, without limitation, any Secured Party; (e) any change, restructuring or termination of the corporate, limited liability company or partnership structure or existence of any Loan Party; or (f) any other circumstance (including, without limitation, any statute of limitations) or any existence of or reliance on any representation by the Secured Parties that might otherwise constitute a defense available to, or a discharge of, any Loan Party or any other guarantor or surety. This Article XI shall continue to be effective or be reinstated, as the case may be, if at any time any payment of any of the Guaranteed Obligations is rescinded or must otherwise be returned by Secured Parties or any other Person upon the insolvency, bankruptcy or reorganization of any Borrower or otherwise, all as though such payment had not been made. Section 11.03 Waiver. Each Guarantor hereby waives (i) promptness and diligence, (ii) notice of acceptance and any other notice with respect to any of the Guaranteed Obligations and this Article XI and any requirement that the Secured Parties exhaust any right or take any action against any Loan Party or any other Person or any Collateral, (iii) any right to compel or direct any Secured Party to seek payment or recovery of any amounts owed under this Article XI from any one particular fund or source or to exhaust any right or take any action against any other Loan Party, any other Person or any Collateral, (iv) any requirement that any Secured Party protect, secure, perfect or insure any security interest or Lien on any property subject thereto or exhaust any right to take any action against any Loan Party, any other Person or any Collateral, and (v) any other defense available to any Guarantor. Each Guarantor agrees that the Secured Parties shall have no obligation to marshal any assets in favor of any Guarantor or against, or in payment of, any or all of the Obligations. Each Guarantor acknowledges that it will receive direct and indirect benefits from the financing arrangements contemplated herein and that the waiver set forth in this Section 11.03 is knowingly made in contemplation of such benefits. Each Guarantor hereby waives any right to revoke this Article XI, and acknowledges that this Article XI is continuing in nature and applies to all Guaranteed Obligations, whether existing now or in the future. Section 11.04 Continuing Guaranty; Assignments. This Article XI is a continuing guaranty and shall (a) remain in full force and effect until the later of the cash payment in full of the Guaranteed Obligations (other than Contingent Indemnity Obligations) and all other amounts payable under this Article XI and the Final Maturity Date, (b) be binding upon each Guarantor, its successors and assigns and (c) inure to the benefit of and be enforceable by the Secured Parties and their successors, pledgees, transferees and assigns. Without limiting the generality of the foregoing clause (c), any Lender may pledge, assign or otherwise transfer all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28"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138813885_11168006499_3 any portion of its rights and obligations under this Agreement (including, without limitation, all or any portion of its Commitments, its Loans owing to it) to any other Person, and such other Person shall thereupon become vested with all the benefits in respect thereof granted such Lender herein or otherwise, in each case as provided in Section 12.07. Section 11.05 Subrogation. No Guarantor will exercise any rights that it may now or hereafter acquire against any Loan Party or any other guarantor that arise from the existence, payment, performance or enforcement of such Guarantor's obligations under this Article XI, including, without limitation, any right of subrogation, reimbursement, exoneration, contribution or indemnification and any right to participate in any claim or remedy of the Secured Parties against any Loan Party or any other guarantor or any Collateral, whether or not such claim, remedy or right arises in equity or under contract, statute or common law, including, without limitation, the right to take or receive from any Loan Party or any other guarantor, directly or indirectly, in cash or other property or by set-off or in any other manner, payment or security solely on account of such claim, remedy or right, unless and until all of the Guaranteed Obligations (other than Contingent Indemnity Obligations) and all other amounts payable under this Article XI shall have been paid in full in cash and the Final Maturity Date shall have occurred. If any amount shall be paid to any Guarantor in violation of the immediately preceding sentence at any time prior to the later of the payment in full in cash of the Guaranteed Obligations (other than Contingent Indemnity Obligations) and all other amounts payable under this Article XI and the Final Maturity Date, such amount shall be held in trust for the benefit of the Secured Parties and shall forthwith be paid to the Secured Parties to be credited and applied to the Guaranteed Obligations and all other amounts payable under this Article XI, whether matured or unmatured, in accordance with the terms of this Agreement, or to be held as Collateral for any Guaranteed Obligations or other amounts payable under this Article XI thereafter arising. If (i) any Guarantor shall make payment to the Secured Parties of all or any part of the Guaranteed Obligations, (ii) all of the Guaranteed Obligations and all other amounts payable under this Article XI shall be paid in full in cash and (iii) the Final Maturity Date shall have occurred, the Secured Parties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 Section 11.06 Contribution. All Guarantors desire to allocate among themselves, in a fair and equitable manner, their obligations 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"Fair Share" means, with respect to any Guarantor as of any date of determination, an amount equal to (a) the ratio of (i) the Fair Share Contribution Amount with respect to such Guarantor, to (ii) the aggregate of the Fair Share Contribution Amounts with respect to all Guarantors multiplied by, (b) the aggregate amount paid or distributed on or before such date by all Guarantors under this Guaranty in respect of the obligations Guaranteed. "Fair Share Contribution Amount" means, with respect to any Guarantor as of any date of determination, the maximum aggregate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29"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138813885_11168006499_3 of the obligations of such Guarantor under this Guaranty that would not render its obligations hereunder subject to avoidance as a fraudulent transfer or conveyance under Section 548 of Title 11 of the United States Code or any comparable applicable provisions of state law; provided, solely for purposes of calculating the "Fair Share Contribution Amount" with respect to any Guarantor for purposes of this Section 11.06, any assets or liabilities of such Guarantor arising by virtue of any rights to subrogation, reimbursement or indemnification or any rights to or obligations of contribution hereunder shall not be considered as assets or liabilities of such Guarantor. "Aggregate Payments" means, with respect to any Guarantor as of any date of determination, an amount equal to (A) the aggregate amount of all payments and distributions made on or before such date by such Guarantor in respect of this Guaranty (including, without limitation, in respect of this Section 11.06), minus (B) the aggregate amount of all payments received on or before such date by such Guarantor from the other Guarantors as contributions under this Section 11.06. The amounts payable as contributions hereunder shall be determined as of the date on which the related payment or distribution is made by the applicable Guarantor. The allocation among Guarantors of their obligations as set forth in this Section 11.06 shall not be construed in any way to limit the liability of any Guarantor hereunder. Each Guarantor is a third party beneficiary to the contribution agreement set forth in this Section 11.06. ARTICLE XII MISCELLANEOUS Section 12.01 Notices, Etc. (a) Notices Generally. All notices and other communications provided for hereunder shall be in writing and shall be delivered by hand, overnight courier, or electronic mail. In the case of notices or other communications to any Loan Party, Administrative Agent or the Collateral Agent, as the case may be, they shall be sent to the respective address set forth below (or, as to each party, at such other address as shall be designated by such party in a written notice to the other parties complying as to delivery with the terms of this Section 12.01): OptimizeRx Corporation 260 Charles Street, Suite 302 Waltham, Massachusetts 02453 Attention: Chief Financial Officer Telephone: (248) 651-6568 Email: finance@optimizerx.com with a copy to: OptimizeRx Corporation 260 Charles Street, Suite 302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30"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138813885_11168006499_3 Waltham, Massachusetts 02453 Attention: General Counsel Telephone: (248) 651-6568 Email: legalteam@optimizerx.con and Blank Rome LLP One Logan Square Philadelphia, Pennsylvania 19103 Attention: Gary R. Goldenberg Telephone: 215-569-5733 Email: gary.goldenberg@blankrome.com if to the Administrative Agent or the Collateral Agent, to it at the following address: Blue Torch Finance, LLC c/o Blue Torch Capital LP 150 East 58th Street, 39th Floor New York, New York 10155 Email: BlueTorchAgency@alterdomus.com with a copy to: SEI – Blue Torch Capital Loan Ops 1 Freedom Valley Drive Oaks, Pennsylvania 19456 Telecopier: (469) 709-1839 Email: bluetorch.loanops@seic.com in each case, with a mandatory copy that shall not constitute notice to: Ropes &amp; Gray LLP 1211 Avenue of the Americas New York, New York 10036 Attention: Leonard Klingbaum and Max Silverstein Email: leonard.klingbaum@ropesgray.com; maxwell.silverstein@ropesgray.com All notices or other communications sent in accordance with this Section 12.01, shall be deemed received on the earlier of the date of actual receipt; provided, that (i) notices sent by overnight courier service shall be deemed to have been given when received and (ii) notices by electronic mail shall be deemed to have been given when sent (except that, if not given during normal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31"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138813885_11168006499_3 business hours for the recipient, shall be deemed to have been given at the opening of business on the next Business Day for the recipient), provided, further that notices to any Agent pursuant to Article II shall not be effective until received by such Agent. (b) Electronic Communications. (i) Each Agent and the Borrowers may, in its discretion, agree to accept notices and other communications to it hereunder by electronic communications pursuant to procedures approved by it; provided that approval of such procedures may be limited to particular notices or communications. Notices and other communications to the Lenders hereunder may be delivered or furnished by electronic communication (including e mail and Internet or intranet websites) pursuant to procedures approved by the Agents, provided that the foregoing shall not apply to notices to any Lender pursuant to Article II if such Lender has notified the Agents that it is incapable of receiving notices under such Article by electronic communication. (ii) 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provided that, for both clauses (A) and (B) above, if such notice, email or other communication is not sent during the normal business hours of the recipient, such notice or communication shall be deemed to have been sent at the opening of business on the next business day for the recipient. Section 12.02 Amendments, Etc. iii) No amendment or waiver of any provision of this Agreement or any other Loan Document (excluding the Fee Letter), and no consent to any departure by any Loan Party therefrom, shall in any event be effective unless the same shall be in writing and signed (x) in the case of an amendment, consent or waiver to cure any ambiguity, omission, defect or inconsistency or granting a new Lien for the benefit of the Agents and the Lenders or extending an existing Lien over additional property, by the Agents and the Borrower, (y) in the case of any other waiver or consent, by the Required Lenders (or by the Collateral Agent with the consent of the Required Lenders) and (z) in the case of any other amendment, by the Required Lenders (or by the Collateral Agent with the consent of the Required Lenders) and the Borrower, and then such waiver or consent shall be effective only in the specific instance and for the specific purpose for which given; provided, however, that no amendment, waiver or consent shall: (i) increase the Commitment of any Lender, reduce the principal of, or interest on, the Loans payable to any Lender, reduce the amount of any fee payable for the account of any Lender, or postpone or extend any scheduled date fixed for any payment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32"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138813885_11168006499_3 principal of, or interest or fees on, the Loans payable to any Lender, in each case, without the written consent of such Lender; (ii) [reserved]; (iii) change the percentage of the Commitments or of the aggregate unpaid principal amount of the Loans that is required for the Lenders or any of them to take any action hereunder without the written consent of each Lender; (iv) amend the definition of "Required Lenders" or "Pro Rata Share" without the written consent of each Lender; (v) release all or a substantial portion of the Collateral (except as otherwise provided in this Agreement and the other Loan Documents), subordinate any Lien granted in favor of the Collateral Agent for the benefit of the Agents and the Lenders, or release any Borrower or any Guarantor (except in connection with a Disposition of the Equity Interests thereof permitted by Section 7.02(c)(ii)), in each case, without the written consent of each Lender; provided, that the Required Lenders may elect to release all or a substantial portion of the Collateral without the requirement to obtain the written consent of each Lender if such release is in connection with (x) an exercise of remedies by the Collateral Agent at the direction of the Required Lenders pursuant to Section 9.01 or (y) any Disposition of all or a substantial portion of the Collateral by one or more of the Loan Parties with the consent of the Required Lenders after the occurrence and during the continuance of an Event of Default so long as such Disposition is conducted in a commercially reasonable manner as if such Disposition were a disposition of collateral by a secured creditor in accordance with Article 9 of the UCC; or (vi) amend, modify or waive Section 4.02, Section 4.03 or this Section 12.02 of this Agreement without the written consent of each Lender. (b) Notwithstanding anything to the contrary in this Section 12.02: (i) no amendment, waiver or consent shall, unless in writing and signed by an Agent, affect the rights or duties of such Agent (but not in its capacity as a Lender) under this Agreement or the other Loan Documents; (ii) any amendment, waiver or consent to any provision of this Agreement (including Sections 4.01 and 4.02) that permits any Loan Party, or any of their respective Affiliates to purchase Loans on a non-pro rata basis, become an eligible assignee pursuant to Section 12.07 and/or make offers to make optional prepayments on a non-pro rata basis shall require the prior written consent of the Required Lenders rather than the prior written consent of each Lender directly affected thereby; (iii) any Control Agreement, Guaranty, Mortgage, Security Agreement, collateral access agreement, landlord waiver or other agreement or document purporting to create or perfect a security interest in any of the Collateral (a "Collateral Document") may be amended, waived or otherwise modified with the consent of the applicable Agent and the applicable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33"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138813885_11168006499_3 Party without the need to obtain the consent of any Lender or any other Person if such amendment, modification, supplement or waiver is delivered in order (A) to comply with local Requirements of Law (including foreign law or regulatory requirements) or advice of local counsel, (B) to cure any ambiguity, inconsistency, omission, mistake or defect or (C) to cause such Collateral Document to be consistent with this Agreement and the other Loan Documents, and if the Administrative Agent and the Lead Borrower shall have jointly identified an ambiguity, inconsistency, omission, mistake or defect, in each case, in any provision of any Loan Document (other than a Collateral Document), then the Administrative Agent and the Lead Borrower shall be permitted to amend such provision; any amendment, waiver or modification pursuant to this paragraph shall become effective without any further action or consent of any other party to any Loan Document if the same is not objected to in writing by the Required Lenders within five (5) Business Days following receipt of notice thereof; (iv) no consent of any Loan Party shall be required to change any order of priority set forth in Section 2.05(d) and Section 4.03; (v) the Administrative Agent and the Lead Borrower may enter into an amendment to this Agreement pursuant to Section 2.07(g) to reflect an alternate service or index rate and such other related changes to this Agreement as may be applicable, and (vi) no Defaulting Lender shall have any right to approve or disapprove any amendment, waiver or consent under the Loan Documents and any Loans held by such Person for purposes hereof shall be automatically deemed to be voted pro rata according to the Loans of all other Lenders in the aggregate (other than such Defaulting Lender). (c) If any action to be taken by the Lenders hereunder requires the consent, authorization, or agreement of all of the Lenders or any Lender affected thereby, and a Lender other than the Collateral Agent and the Administrative Agent and their respective Affiliates and Related Funds (the "Holdout Lender") fails to give its consent, authorization, or agreement, then the Collateral Agent, upon at least 5 Business Days prior irrevocable notice to the Holdout Lender, may permanently replace the Holdout Lender with one or more substitute lenders (each, a "Replacement Lender"), and the Holdout Lender shall have no right to refuse to be replaced hereunder. Such notice to replace the Holdout Lender shall specify an effective date for such replacement, which date shall not be later than 15 Business Days after the date such notice is given. Prior to the effective date of such replacement, the Holdout Lender and each Replacement Lender shall execute and deliver an Assignment and Acceptance, subject only to the Holdout Lender being repaid its share of the outstanding Obligations without any premium or penalty of any kind whatsoever. If the Holdout Lender shall refuse or fail to execute and deliver any such Assignment and Acceptance prior to the effective date of such replacement, the Holdout Lender shall be deemed to have executed and delivered such Assignment and Acceptance. The replacement of any Holdout Lender shall be made in accordance with the terms of Section 12.07. Until such time as the Replacement Lenders shall have acquired all of the Obligations, the Commitments, and the other rights and obligations of the Holdout Lender hereunder and under the other Loan Documents, the Holdout Lender shall remain obligated to make its Pro Rata Share of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34"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138813885_11168006499_3 (d) [Reserved]. (e) The relative rights of the Lenders in or to any distributions from or in respect of any Collateral or proceeds of Collateral shall continue after the institution of any Insolvency Proceeding involving the Borrowers or any other Loan Party, including without limitation, the filing of any petition by or against the Borrowers or any other Loan Party under the Bankruptcy Code, or any other Debtor Relief Law, and all converted or succeeding cases in respect thereof, on the same basis as prior to the date of such institution, subject to any court order approving the financing of, or use of cash collateral by, the Borrowers or any Loan Party as debtor-in-possession. (f) The parties hereto agree that, in any case under which a Loan Party has filed a petition for relief under the Bankruptcy Code or the filing of any petition for relief against a Loan Party under the Bankruptcy Code, the Required Lenders may direct the Collateral Agent to consent or object to any sale or other disposition (and shall be deemed to be sub-agent for such purpose to the extent necessary to confirm standing under this Agreement or the other Loan Documents) under Section 363 of the Bankruptcy Code, or any similar provision of any other Debtor Relief Law. Section 12.03 No Waiver; Remedies, Etc. No failure on the part of any Agent or any Lender to exercise, and no delay in exercising, any right hereunder or under any other Loan Document shall operate as a waiver thereof; nor shall any single or partial exercise of any right under any Loan Document preclude any other or further exercise thereof or the exercise of any other right. The rights and remedies of the Agents and the Lenders provided herein and in the other Loan Documents are cumulative and are in addition to, and not exclusive of, any rights or remedies provided by law. The rights of the Agents and the Lenders under any Loan Document against any party thereto are not conditional or contingent on any attempt by the Agents and the Lenders to exercise any of their rights under any other Loan Document against such party or against any other Person. Section 12.04 Expenses; Attorneys' Fees. The Borrowers will pay on demand, all reasonable and documented out-of-pocket costs and expenses incurred by or on behalf of each Agent (and, in the case of clauses (c) through (m) below, each Lender), regardless of whether the transactions contemplated hereby are consummated, including, without limitation, reasonable fees, costs, client charges and expenses of counsel for each Agent (and, in the case of clauses (b) through (m) below, each Lender), accounting, due diligence, periodic field audits, physical counts, valuations, investigations, searches and filings, monitoring of assets, appraisals of Collateral, the rating of the Loans, title searches and reviewing environmental assessments, miscellaneous disbursements, examination, travel, lodging and meals, arising from or relating to: (a) the negotiation, preparation, execution, delivery, performance and administration of this Agreement and the other Loan Documents (including, without limitation, the preparation of any additional Loan Documents pursuant to Section 7.01(b) or the review of any of the agreements, instruments and documents referred to in Section 7.01(f)), (b) any requested amendments, waivers or consents to this Agreement or the other Loan Documents whether or not such documents become effective or are given, (c) the preservation and protection of the Agents' or any of the Lenders' rights under this Agreement or the other Loan Documents, (d) the defense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35"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138813885_11168006499_3 any claim or action asserted or brought against any Agent or any Lender by any Person that arises from or relates to this Agreement, any other Loan Document, the Agents' or the Lenders' claims against any Loan Party, or any and all matters in connection therewith, (e) the commencement or defense of, or intervention in, any court proceeding arising from or related to this Agreement or any other Loan Document, (f) the filing of any petition, complaint, answer, motion or other pleading by any Agent or any Lender, or the taking of any action in respect of the Collateral or other security, in connection with this Agreement or any other Loan Document, (g) the protection, collection, lease, sale, taking possession of or liquidation of, any Collateral or other security in connection with this Agreement or any other Loan Document, (h) any attempt to enforce any Lien or security interest in any Collateral or other security in connection with this Agreement or any other Loan Document, (i) any attempt to collect from any Loan Party, (j) any Environmental Claim, Environmental Liability or Remedial Action arising from or in connection with the past, present or future operations of, or any property currently, formerly or in the future owned, leased or operated by, any Loan Party, any of its Subsidiaries or any predecessor in interest, (k) any Environmental Lien, (l) the rating of the Loans by one or more rating agencies in connection with any Lender's Securitization, or (m) the receipt by any Agent or any Lender of any advice from professionals with respect to any of the foregoing. Without limitation of the foregoing or any other provision of any Loan Document: (x) the Borrowers agree to pay all broker fees that may become due in connection with the transactions contemplated by this Agreement and the other Loan Documents and (y) if the Borrowers fail to perform any covenant or agreement contained herein or in any other Loan Document, any Agent may itself perform or cause performance of such covenant or agreement, and the expenses of such Agent incurred in connection therewith shall be reimbursed on demand by the Borrower. The obligations of the Borrowers under this Section 12.04 shall survive the repayment of the Obligations and discharge of any Liens granted under the Loan Documents. This Section 12.04 shall not apply with respect to Taxes other than any Taxes that represent losses, claims, damages, etc. arising from any non-Tax claim. Section 12.05 Right of Set-off. Upon the occurrence and during the continuance of any Event of Default, any Agent or any Lender may, and is hereby authorized to, at any time and from time to time, without notice to any Loan Party (any such notice being expressly waived by the Loan Parties) and to the fullest extent permitted by law, set off and apply any and all deposits (general or special, time or demand, provisional or final) at any time held and other Indebtedness at any time owing by such Agent or such Lender or any of their respective Affiliates to or for the credit or the account of any Loan Party against any and all obligations of the Loan Parties either now or hereafter existing under any Loan Document, irrespective of whether or not such Agent or such Lender shall have made any demand hereunder or thereunder and although such obligations may be contingent or unmatured; provided that in the event that any Defaulting Lender shall exercise any such right of set-off, (a) all amounts so set off shall be paid over immediately to the Administrative Agent for further application in accordance with the provisions of Section 4.04 and, pending such payment, shall be segregated by such Defaulting Lender from its other funds and deemed held in trust for the benefit of the Agents and the Lenders, and (b) the Defaulting Lender shall provide promptly to the Administrative Agent a statement describing in reasonable detail the Obligations owing to such Defaulting Lender as to which it exercised such right of set-off. Each Agent and each Lender agrees to notify such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36"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138813885_11168006499_3 Party promptly after any such set-off and application made by such Agent or such Lender or any of their respective Affiliates provided that the failure to give such notice shall not affect the validity of such set-off and application. The rights of the Agents and the Lenders under this Section 12.05 are in addition to the other rights and remedies (including other rights of set-off) which the Agents and the Lenders may have under this Agreement or any other Loan Documents of law or otherwise. Section 12.06 Severability. Any provision of this Agreement which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 Section 12.07 Assignments and Participations. (a) This Agreement and the other Loan Documents shall be binding upon and inure to the benefit of each Loan Party and each Agent and each Lender and their respective successors and assigns; provided, however, that none of the Loan Parties may assign or transfer any of its rights hereunder or under the other Loan Documents without the prior written consent of each Lender and any such assignment without the Lenders' prior written consent shall be null and void. (b) Subject to the conditions set forth in clause (c) below, each Lender may assign to one or more other lenders or other entities all or a portion of its rights and obligations under this Agreement with respect to all or a portion of its Term Loan Commitment and any Term Loan made by it with the written consent of the Collateral Agent and, so long as no Event of Default has occurred and is continuing, Borrowers (which consent shall not be unreasonably withheld, conditioned or delayed), which assignment shall be effected upon recordation in the Register; provided, however, that no written consent of the Collateral Agent, the Administrative Agent or Borrowers shall be required (A) in connection with any assignment by a Lender to a Lender, an Affiliate of such Lender or a Related Fund of such Lender or (B) if such assignment is in connection with any merger, consolidation, sale, transfer, or other disposition of all or any substantial portion of the business or loan portfolio of such Lender. (c) Assignments shall be subject to the following additional conditions: (i) Each such assignment shall be in an amount which is at least $5,000,000 or a multiple of $1,000,000 in excess thereof (or the remainder of such Lender's Commitment) (except such minimum amount shall not apply to an assignment by a Lender to (A) a Lender, an Affiliate of such Lender or a Related Fund of such Lender or (B) a group of new Lenders, each of whom is an Affiliate or Related Fund of each other to the extent the aggregate amount to be assigned to all such new Lenders is at least $5,000,000 or a multiple of $1,000,000 in excess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37"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138813885_11168006499_3 (ii) The parties to each such assignment shall execute and deliver to the Collateral Agent (and the Administrative Agent, if applicable), for its acceptance, an Assignment and Acceptance, together with any promissory note subject to such assignment and such Lender parties shall deliver to the Collateral Agent, for the benefit of the Collateral Agent, a processing and recordation fee of $5,000 (except the payment of such fee shall not be required in connection with an assignment by a Lender to a Lender, an Affiliate of such Lender or a Related Fund of such Lender) and all documentation and other information that such Lender reasonably requests in order to comply with its ongoing obligations under applicable “know your customer” and anti-money laundering or terrorist financing rules and regulations, including the USA PATRIOT Act; and (iii) No such assignment shall be made to (A) any Loan Party, any Permitted Holder (or other equity holder of the Lead Borrower) or any of their respective Affiliates or (B) any Defaulting Lender or any of its Affiliates, or any Person who, upon becoming a Lender hereunder, would constitute any of the foregoing Persons described in this clause (B). (d) Upon such execution, delivery and acceptance, from and after the effective date specified in each Assignment and Acceptance and recordation on the Register, which effective date shall be at least 3 Business Days after the delivery thereof to the Collateral Agent (or such shorter period as shall be agreed to by the Collateral Agent and the parties to such assignment), (A) the assignee thereunder shall become a "Lender" hereunder and, in addition to the rights and obligations hereunder held by it immediately prior to such effective date, have the rights and obligations hereunder that have been assigned to it pursuant to such Assignment and Acceptance and (B) the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 (e) By executing and delivering an Assignment and Acceptance, the assigning Lender and the assignee thereunder confirm to and agree with each other and the other parties hereto as follows: (i) other than as provided in such Assignment and Acceptance, the assigning Lender makes no representation or warranty and assumes no responsibility with respect to any statements, warranties or representations made in or in connection with this Agreement or any other Loan Document or the execution, legality, validity, enforceability, genuineness, sufficiency or value of this Agreement or any other Loan Document furnished pursuant hereto; (ii) the assigning Lender makes no representation or warranty and assumes no responsibility with respect to the financial condition of any Loan Party or any of its Subsidiaries or the performance or observance by any Loan Party of any of its obligations under this Agreement or any other Loan Document furnished pursuant hereto; (iii) such assignee confirms that it has received a copy of this Agreement and the other Loan Documents, together with such other documents and information it has deemed appropriate to make its own credit analysis and decision to enter into such Assignment and Acceptance; (iv) such assignee will, independently and without reliance upon the assigning Lender, any Agent or any Lender and based on such documents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38"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138813885_11168006499_3 information as it shall deem appropriate at the time, continue to make its own credit decisions in taking or not taking action under this Agreement and the other Loan Documents; (v) such assignee appoints and authorizes the Agents to take such action as agents on its behalf and to exercise such powers under this Agreement and the other Loan Documents as are delegated to the Agents by the terms hereof and thereof, together with such powers as are reasonably incidental hereto and thereto; and (vi) such assignee agrees that it will perform in accordance with their terms all of the obligations which by the terms of this Agreement and the other Loan Documents are required to be performed by it as a Lender. (f) The Administrative Agent shall, acting solely for this purpose as a non-fiduciary agent of the Borrower, maintain, or cause to be maintained at the Payment Office, a copy of each Assignment and Acceptance delivered to and accepted by it and a register (the "Register") for the recordation of the names and addresses of the Lenders and the Commitments of, and the principal amount of the Loans (and stated interest thereon) owing to each Lender from time to time. The entries in the Register shall be conclusive and binding for all purposes, absent manifest error, and the Borrower, the Agents and the Lenders shall treat each Person whose name is recorded in the Register as a Lender hereunder for all purposes of this Agreement. The Register shall be available for inspection by the Lead Borrower and any Lender at any reasonable time and from time to time upon reasonable prior written notice. The parties intend that any interest in or with respect to the Loans under this Agreement be treated as being issued and maintained in “registered form” within the meaning of Sections 163(f), 871(h)(2), and 881(c)(2) of the Code and any regulations thereunder (and any successor provisions), including without limitation under United States Treasury Regulations Section 5f.103-1(c) and Proposed Regulations Section 1.163-5 (and any successor provisions), and the provisions of this Agreement shall be construed in a manner that gives effect to such intent. (g) Upon receipt by the Administrative Agent of a completed Assignment and Acceptance, and subject to any consent required from the Administrative Agent or the Collateral Agent pursuant to Section 12.07(b) (which consent of the applicable Agent must be evidenced by such Agent's execution of an acceptance to such Assignment and Acceptance), the Administrative Agent shall accept such assignment, record the information contained therein in the Register (as adjusted to reflect any principal payments on or amounts capitalized and added to the principal balance of the Loans and/or Commitment reductions made subsequent to the effective date of the applicable assignment, as confirmed in writing by the corresponding assignor and assignee in conjunction with delivery of the assignment to the Administrative Agent) and provide to the Collateral Agent a copy of the fully executed Assignment and Acceptance. (h) A Loan (and the note, if any, evidencing the same) may be assigned or sold in whole or in part only by registration of such assignment or sale on the Register (and each note shall expressly so provide). Any assignment or sale of all or part of such Loan (and the note, if any, evidencing the same) may be effected only by registration of such assignment or sale on the Register, together with the surrender of the note, if any, evidencing the same duly endorsed by (or accompanied by a written instrument of assignment or sale duly executed by) the holder of such note, whereupon, at the request of the designated assignee(s) or transferee(s), 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39"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138813885_11168006499_3 or more new notes in the same aggregate principal amount shall be issued to the designated assignee(s) or transferee(s). (i) If any Lender sells participations in a Loan, such Lender shall, acting for this purpose as a non-fiduciary agent on behalf of the Borrower, maintain, or cause to be maintained, a register, on which it enters the name of all participants in the Loans held by it and the principal amount (and stated interest thereon) of the portion of the Loan that is the subject of the participation (the "Participant Register"). A Loan (and the note, if any, evidencing the same) may be participated in whole or in part only by registration of such participation on the Participant Register (and each note shall expressly so provide). Any participation of such Loan (and the note, if any, evidencing the same) may be effected only by the registration of such participation on the Participant Register. The Participant Register shall be available for inspection by the Lead Borrower and any Lender at any reasonable time and from time to time upon reasonable prior notice,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the Code or Treasury Regulations, including without limitation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(j) Any Lender who purchases or is assigned or participates in any portion of such Loan shall comply with Section 2.09(d), provided that any documents provided by a participant shall be provided only to the participating Lender. (k) Each Lender may sell participations to one or more banks or other entities in or to all or a portion of its rights and obligations under this Agreement and the other Loan Documents (including, without limitation, all or a portion of its Commitments and the Loans made by it); provided, that (i) such Lender's obligations under this Agreement (including without limitation, its Commitments hereunder) and the other Loan Documents shall remain unchanged; (ii) such Lender shall remain solely responsible to the other parties hereto for the performance of such obligations, and the Borrower, the Agents and the other Lenders shall continue to deal solely and directly with such Lender in connection with such Lender's rights and obligations under this Agreement and the other Loan Documents; and (iii) a participant shall not be entitled to require such Lender to take or omit to take any action hereunder except (A) action directly effecting an extension of the maturity dates or decrease in the principal amount of the Loans, (B) action directly effecting an extension of the due dates or a decrease in the rate of interest payable on the Loans or the fees payable under this Agreement, or (C) actions directly effecting a release of all or a substantial portion of the Collateral or any Loan Party (except as set forth in Section 10.08 of this Agreement or any other Loan Document). The Loan Parties agree that each participant shall be entitled to the benefits of Section 2.09 and Section 2.10 of this Agreement (subject to the requirements and limitations therein, including the requirements under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40"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138813885_11168006499_3 2.09(d) (it being understood that the documentation required under Section 2.09(d) shall be delivered to the participating Lender)) to the same extent as if it were a Lender and had acquired its interest by assignment pursuant to paragraph (b) of this Section; provided that such participant shall not be entitled to receive any greater payment under Section 2.09, with respect to any participation, than its participating Lender would have been entitled to receive, except to the extent such entitlement to receive a greater payment results from a Change in Law that occurs after the participant acquired the applicable participation. (l) Any Lender may at any time pledge or assign a security interest in all or any portion of its rights under this Agreement to secure obligations of such Lender, including any pledge or assignment to secure obligations to a Federal Reserve Bank or loans made to, or other indebtedness issued by, such Lender pursuant to a securitization transaction (including any structured warehouse credit facility, collateralized loan obligation transaction or similar facility or transaction, and including any further securitization of the indebtedness or equity issued under such a transaction) (a "Securitization"); provided that no such pledge or assignment shall release such Lender from any of its obligations hereunder or substitute any such pledgee or assignee for such Lender as a party hereto. The Loan Parties shall cooperate with such Lender and its Affiliates to effect a Securitization, including, without limitation, by providing such information as may be reasonably requested by such Lender in connection with the rating of its Loans or any Securitization. Section 12.08 Counterparts. This Agreement may be executed in any number of counterparts and by different parties hereto in separate counterparts, each of which shall be deemed to be an original, but all of which taken together shall constitute one and the same agreement. Delivery of an executed counterpart of this Agreement by telecopier or electronic mail shall be equally as effective as delivery of an original executed counterpart of this Agreement. Any party delivering an executed counterpart of this Agreement by telecopier or electronic mail also shall deliver an original executed counterpart of this Agreement but the failure to deliver an original executed counterpart shall not affect the validity, enforceability, and binding effect of this Agreement. The foregoing shall apply to each other Loan Document mutatis mutandis. Section 12.09 GOVERNING LAW. THIS AGREEMENT AND THE OTHER LOAN DOCUMENTS (UNLESS EXPRESSLY PROVIDED TO THE CONTRARY IN ANOTHER LOAN DOCUMENT IN RESPECT OF SUCH OTHER LOAN DOCUMENT) SHALL BE GOVERNED BY, AND CONSTRUED IN ACCORDANCE WITH, THE LAW OF THE STATE OF NEW YORK APPLICABLE TO CONTRACTS MADE AND TO BE PERFORMED IN THE STATE OF NEW YORK. Section 12.10 CONSENT TO JURISDICTION; SERVICE OF PROCESS AND VENUE. (a) ANY LEGAL ACTION OR PROCEEDING WITH RESPECT TO THIS AGREEMENT OR ANY OTHER LOAN DOCUMENT MAY BE BROUGHT IN THE COURTS OF THE STATE OF NEW YORK IN THE COUNTY OF NEW YORK OR OF THE UNITED STATES DISTRICT COURT FOR THE SOUTHERN DISTRICT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41"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138813885_11168006499_3 AND, BY EXECUTION AND DELIVERY OF THIS AGREEMENT, EACH LOAN PARTY HEREBY IRREVOCABLY ACCEPTS IN RESPECT OF ITS PROPERTY, GENERALLY AND UNCONDITIONALLY, THE JURISDICTION OF THE AFORESAID COURTS. EACH LOAN PARTY HEREBY IRREVOCABLY CONSENTS TO THE SERVICE OF PROCESS OUT OF ANY OF THE AFOREMENTIONED COURTS AND IN ANY SUCH ACTION OR PROCEEDING BY ANY MEANS PERMITTED BY APPLICABLE LAW, INCLUDING, WITHOUT LIMITATION, BY THE MAILING OF COPIES THEREOF BY REGISTERED OR CERTIFIED MAIL, POSTAGE PREPAID, TO THE LEAD BORROWER AT ITS ADDRESS FOR NOTICES AS SET FORTH IN SECTION 12.01, SUCH SERVICE TO BECOME EFFECTIVE 10 DAYS AFTER SUCH MAILING. THE LOAN PARTIES AGREE THAT A FINAL JUDGMENT IN ANY SUCH ACTION OR PROCEEDING SHALL BE CONCLUSIVE AND MAY BE ENFORCED IN OTHER JURISDICTIONS BY SUIT ON THE JUDGMENT OR IN ANY OTHER MANNER PROVIDED BY LAW. NOTHING HEREIN SHALL AFFECT THE RIGHT OF THE AGENTS AND THE LENDERS TO SERVICE OF PROCESS IN ANY OTHER MANNER PERMITTED BY LAW OR TO COMMENCE LEGAL PROCEEDINGS OR OTHERWISE PROCEED AGAINST ANY LOAN PARTY IN ANY OTHER JURISDICTION. EACH LOAN PARTY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LOAN PARTY HAS OR HEREAFTER MAY ACQUIRE ANY IMMUNITY FROM JURISDICTION OF ANY COURT OR FROM ANY LEGAL PROCESS (WHETHER THROUGH SERVICE OR NOTICE, ATTACHMENT PRIOR TO JUDGMENT, ATTACHMENT IN AID OF EXECUTION OR OTHERWISE) WITH RESPECT TO ITSELF OR ITS PROPERTY, EACH LOAN PARTY HEREBY IRREVOCABLY WAIVES SUCH IMMUNITY IN RESPECT OF ITS OBLIGATIONS UNDER THIS AGREEMENT AND THE OTHER LOAN DOCUMENTS. (b) Each Loan Party irrevocably and unconditionally agrees that it will not commence any action or proceeding of any kind or description, whether in law or equity, whether in contract or in tort or otherwise, against any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Section 12.11 WAIVER OF JURY TRIAL, ETC. EACH LOAN PARTY, EACH AGENT AND EACH LENDER HEREBY WAIVES ANY RIGHT TO A TRIAL BY JURY IN ANY ACTION, PROCEEDING OR COUNTERCLAIM CONCERNING ANY RIGHTS UNDER THIS AGREEMENT OR THE OTHER LOAN DOCUMENTS, OR UNDER ANY AMENDMENT, WAIVER, CONSENT, INSTRUMENT, DOCUMENT OR OTHER AGREEMENT DELIVERED OR WHICH IN THE FUTURE MAY BE DELIVERED IN CONNECTION THEREWITH, OR ARISING FROM ANY FINANCING RELATIONSHIP EXISTING IN CONNECTION WITH THIS AGREEMENT, AND AGREES THAT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42"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138813885_11168006499_3 SUCH ACTION, PROCEEDINGS OR COUNTERCLAIM SHALL BE TRIED BEFORE A COURT AND NOT BEFORE A JURY. EACH LOAN PARTY CERTIFIES THAT NO OFFICER, REPRESENTATIVE, AGENT OR ATTORNEY OF ANY AGENT OR ANY LENDER HAS REPRESENTED, EXPRESSLY OR OTHERWISE, THAT ANY AGENT OR ANY LENDER WOULD NOT, IN THE EVENT OF ANY ACTION, PROCEEDING OR COUNTERCLAIM, SEEK TO ENFORCE THE FOREGOING WAIVERS. EACH LOAN PARTY HEREBY ACKNOWLEDGES THAT THIS PROVISION IS A MATERIAL INDUCEMENT FOR THE AGENTS AND THE LENDERS ENTERING INTO THIS AGREEMENT. Section 12.12 Consent by the Agents and Lenders. Except as otherwise expressly set forth herein to the contrary or in any other Loan Document, if the consent, approval, satisfaction, determination, judgment, acceptance or similar action (an "Action") of any Agent or any Lender shall be permitted or required pursuant to any provision hereof or any provision of any other agreement to which any Loan Party is a party and to which any Agent or any Lender has succeeded thereto, such Action shall be required to be in writing and may be withheld or denied by such Agent or such Lender, in its sole discretion, with or without any reason, and without being subject to question or challenge on the grounds that such Action was not taken in good faith. Section 12.13 No Party Deemed Drafter. Each of the parties hereto agrees that no party hereto shall be deemed to be the drafter of this Agreement. Section 12.14 Reinstatement; Certain Payments. If any claim is ever made upon any Secured Party for repayment or recovery of any amount or amounts received by such Secured Party in payment or on account of any of the Obligations, such Secured Party shall give prompt notice of such claim to each other Agent and Lender and the Borrower, and if such Secured Party repays all or part of such amount by reason of (i) any judgment, decree or order of any court or administrative body having jurisdiction over such Secured Party or any of its property, or (ii) any good faith settlement or compromise of any such claim effected by such Secured Party with any such claimant, then and in such event each Loan Party agrees that (A) any such judgment, decree, order, settlement or compromise shall be binding upon it notwithstanding the cancellation of any Indebtedness hereunder or under the other Loan Documents or the termination of this Agreement or the other Loan Documents, and (B) it shall be and remain liable to such Secured Party hereunder for the amount so repaid or recovered to the same extent as if such amount had never originally been received by such Secured Party. Section 12.15 Indemnification; Limitation of Liability for Certain Damages. (a) In addition to each Loan Party's other Obligations under this Agreement, each Loan Party agrees to, jointly and severally, defend, protect, indemnify and hold harmless each Secured Party and all of their respective Related Parties (collectively called the "Indemnitees") from and against any and all losses, damages, liabilities, obligations, penalties, fees, reasonable costs and expenses (including, without limitation, reasonable attorneys' fees, costs and expenses) incurred by such Indemnitees, whether prior to or from and after the Effective Date, whether direct, indirect or consequential, as a result of or arising from or relating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43"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138813885_11168006499_3 to or in connection with any of the following: (i) the negotiation, preparation, execution or performance or enforcement of this Agreement, any other Loan Document, of any Environmental Claim or any other document executed in connection with the transactions contemplated by this Agreement, (ii) any Agent's or any Lender's furnishing of funds to the Borrowers under this Agreement or the other Loan Documents, including, without limitation, the management of any such Loans or the Borrower’s use of the proceeds thereof, (iii) the Agents and the Lenders relying on any instructions of the Borrowers or the handling of the Loan Account and Collateral of the Borrowers as herein provided, (iv) any matter relating to the financing transactions contemplated by this Agreement or the other Loan Documents or by any document executed in connection with the transactions contemplated by this Agreement or the other Loan Documents, or (v) any claim, including any Environmental litigation, investigation or proceeding relating to or arising out of any of the foregoing, whether or not any Indemnitee is a party thereto (collectively, the "Indemnified Matters"); provided, however, that the Loan Parties shall not have any obligation to any Indemnitee under this subsection (a) for any Indemnified Matter caused by the gross negligence or willful misconduct of such Indemnitee, as determined by a final non-appealable judgment of a court of competent jurisdiction. (b) The indemnification for all of the foregoing losses, damages, fees, costs and expenses of the Indemnitees set forth in this Section 12.15 are chargeable against the Loan Account. To the extent that the undertaking to indemnify, pay and hold harmless set forth in this Section 12.15 may be unenforceable because it is violative of any law or public policy, each Loan Party shall, jointly and severally, contribute the maximum portion which it is permitted to pay and satisfy under applicable law, to the payment and satisfaction of all Indemnified Matters incurred by the Indemnitees. (c) No Loan Party shall assert, and each Loan Party hereby waives, any claim against the Indemnitees,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other Loan Document or any agreement or instrument contemplated hereby or thereby or referred to herein or therein, the transactions contemplated hereby or thereby, any Loan or the use of the proceeds thereof or any act or omission or event occurring in connection therewith, and each Loan Party hereby waives, releases and agrees not to sue upon any such claim or seek any such damages, whether or not accrued and whether or not known or suspected to exist in its favor. (d) The indemnities and waivers set forth in this Section 12.15 shall survive the repayment of the Obligations and discharge of any Liens granted under the Loan Documents. (e) This Section 12.15 shall not apply with respect to Taxes other than any Taxes that represent losses, claims, damages, etc. arising from any non-Tax claim. Section 12.16 Records. The unpaid principal of and interest on the Loans, the interest rate or rates applicable to such unpaid principal and interest, the duration of such applicability, the Commitments, and the accrued and unpaid fees payable pursuant to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44"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138813885_11168006499_3 2.06 hereof, shall at all times be ascertained from the records of the Agents, which shall be conclusive and binding absent manifest error. Section 12.17 Binding Effect. This Agreement shall become effective when it shall have been executed by each Loan Party, each Agent and each Lender and when the conditions precedent set forth in Section 5.01 hereof have been satisfied or waived in writing by the Agents, and thereafter shall be binding upon and inure to the benefit of each Loan Party, each Agent and each Lender, and their respective successors and assigns, except that the Loan Parties shall not have the right to assign their rights hereunder or any interest herein without the prior written consent of each Agent and each Lender, and any assignment by any Lender shall be governed by Section 12.07 hereof. Section 12.18 Highest Lawful Rate. It is the intention of the parties hereto that each Agent and each Lender shall conform strictly to usury laws applicable to it. Accordingly, if the transactions contemplated hereby or by any other Loan Document would be usurious as to any Agent or any Lender under laws applicable to it (including the laws of the United States of America and the State of New York or any other jurisdiction whose laws may be mandatorily applicable to such Agent or such Lender notwithstanding the other provisions of this Agreement), then, in that event, notwithstanding anything to the contrary in this Agreement or any other Loan Document or any agreement entered into in connection with or as security for the Obligations, it is agreed as follows: (i) the aggregate of all consideration which constitutes interest under law applicable to any Agent or any Lender that is contracted for, taken, reserved, charged or received by such Agent or such Lender under this Agreement or any other Loan Document or agreements or otherwise in connection with the Obligations shall under no circumstances exceed the maximum amount allowed by such applicable law, any excess shall be canceled automatically and if theretofore paid shall be credited by such Agent or such Lender on the principal amount of the Obligations (or, to the extent that the principal amount of the Obligations shall have been or would thereby be paid in full, refunded by such Agent or such Lender, as applicable, to the Borrower); and (ii) in the event that the maturity of the Obligations is accelerated by reason of any Event of Default under this Agreement or otherwise, or in the event of any required or permitted prepayment, then such consideration that constitutes interest under law applicable to any Agent or any Lender may never include more than the maximum amount allowed by such applicable law, and excess interest, if any, provided for in this Agreement or otherwise shall, subject to the last sentence of this Section 12.18, be canceled automatically by such Agent or such Lender, as applicable, as of the date of such acceleration or prepayment and, if theretofore paid, shall be credited by such Agent or such Lender, as applicable, on the principal amount of the Obligations (or, to the extent that the principal amount of the Obligations shall have been or would thereby be paid in full, refunded by such Agent or such Lender to the Borrower). All sums paid or agreed to be paid to any Agent or any Lender for the use, forbearance or detention of sums due hereunder shall, to the extent permitted by law applicable to such Agent or such Lender, be amortized, prorated, allocated and spread throughout the full term of the Loans until payment in full so that the rate or amount of interest on account of any Loans hereunder does not exceed the maximum amount allowed by such applicable law. If at any time and from time to time (x) the amount of interest payable to any Agent or any Lender on any date shall be computed at the Highest Lawful Rate applicable to such Agent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45"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138813885_11168006499_3 such Lender pursuant to this Section 12.18 and (y) in respect of any subsequent interest computation period the amount of interest otherwise payable to such Agent or such Lender would be less than the amount of interest payable to such Agent or such Lender computed at the Highest Lawful Rate applicable to such Agent or such Lender, then the amount of interest payable to such Agent or such Lender in respect of such subsequent interest computation period shall continue to be computed at the Highest Lawful Rate applicable to such Agent or such Lender until the total amount of interest payable to such Agent or such Lender shall equal the total amount of interest which would have been payable to such Agent or such Lender if the total amount of interest had been computed without giving effect to this Section 12.18. For purposes of this Section 12.18, the term "applicable law" shall mean that law in effect from time to time and applicable to the loan transaction between the Borrower, on the one hand, and the Agents and the Lenders, on the other, that lawfully permits the charging and collection of the highest permissible, lawful non-usurious rate of interest on such loan transaction and this Agreement, including laws of the State of New York. The right to accelerate the maturity of the Obligations does not include the right to accelerate any interest that has not accrued as of the date of acceleration. Section 12.19 Confidentiality. Each Agent and each Lender agrees (on behalf of itself and its Related Parties) to use commercially reasonable precautions to keep confidential, in accordance with its customary procedures for handling confidential information of this nature and in accordance with safe and sound practices of comparable commercial finance companies, any non-public information supplied to it by the Loan Parties pursuant to this Agreement or the other Loan Documents which is identified in writing by the Loan Parties as being confidential at the time the same is delivered to such Person (and which at the time is not, and does not thereafter become, publicly available or available to such Person from another source not known to be subject to a confidentiality obligation to such Person not to disclose such information), provided that nothing herein shall limit the disclosure by any Agent or any Lender of any such information (i) to its Affiliates, its Related Parties or the Related Parties of any Person described in clause (ii) or (iii) below (it being understood that the Persons to whom such disclosure is made either will be informed of the confidential nature of such information and instructed to keep such information confidential in accordance with this Section 12.19 or is subject to other customary confidentiality obligations); (ii) to any other party hereto; (iii) to any assignee or participant (or prospective assignee or participant) or any party to a Securitization, so long as such assignee or participant (or prospective assignee or participant) or party to a Securitization agrees, in writing, to be bound by or is otherwise subject to customary confidentiality obligations (including, without limitation, confidentiality provisions similar in substance to this Section 12.19); (iv) to the extent required by any Requirement of Law or judicial process or as otherwise requested by any Governmental Authority; (v) to the National Association of Insurance Commissioners or any similar organization, any examiner, auditor or accountant or any nationally recognized rating agency; (vi) in connection with any litigation to which any Agent or any Lender is a party; (vii) in connection with the exercise of any remedies hereunder or under any other Loan Document or any action or proceeding relating to this Agreement or any other Loan Document or the enforcement of rights hereunder or thereunder; (viii) to any other Person if such information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46"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138813885_11168006499_3 general portfolio information that does not identity the Loan Parties, or (ix) with the consent of the Borrower. In addition, the Agents and the Lenders may disclose the existence of this Agreement and information about this Agreement to market data collectors, similar service providers to the lending industry and service providers to any Agent or any Lender in connection with the administration of this Agreement, the other Loan Documents and the Commitments. Section 12.20 Public Disclosure. Each Loan Party agrees that neither it nor any of its Affiliates will now or in the future issue any press release or other public disclosure using the name of an Agent, any Lender or any of their respective Affiliates or referring to this Agreement or any other Loan Document without the prior written consent of such Agent or such Lender, except to the extent that such Loan Party or such Affiliate is required to do so under applicable law (in which event, such Loan Party or such Affiliate will consult with such Agent or such Lender before issuing such press release or other public disclosure). Each Loan Party hereby authorizes each Agent and each Lender, after consultation with the Borrower, to advertise the closing of the transactions contemplated by this Agreement, and to make appropriate announcements of the financial arrangements entered into among the parties hereto, as such Agent or such Lender shall deem appropriate, including, without limitation, on a home page or similar place for dissemination of information on the Internet or worldwide web, or in announcements commonly known as tombstones, in such trade publications, business journals, newspapers of general circulation and to such selected parties as such Agent or such Lender shall deem appropriate, provided that any such announcement that includes the name or other identifying mark of the Borrowers shall require the consent of the Lead Borrower. Section 12.21 Integration. This Agreement, together with the other Loan Documents, reflects the entire understanding of the parties with respect to the transactions contemplated hereby and shall not be contradicted or qualified by any other agreement, oral or written, before the date hereof. Section 12.22 USA PATRIOT Act. Each Lender that is subject to the requirements of the USA PATRIOT Act hereby notifies the Borrowers that pursuant to the requirements of the USA PATRIOT Act, it is required to obtain, verify and record information that identifies the entities composing the Borrower, which information includes the name and address of each such entity and other information that will allow such Lender to identify the entities composing the Borrowers in accordance with the USA PATRIOT Act. Each Loan Party agrees to take such action and execute, acknowledge and deliver at its sole cost and expense, such instruments and documents as any Lender may reasonably require from time to time in order to enable such Lender to comply with the USA PATRIOT Act. [REMAINDER OF THIS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47"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138813885_11168006499_3 BORROWER: Title: IN WITNESS WHEREOF, the parties hereto have caused this Agreement to be executed by their respective officers thereunto duly authorized, as of the date first above written. By: OPTIMIZERX CORPORATION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48"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138813885_11168006499_3 COLLATERAL AGENT AND ADMINISTRATIVE AGENT: BLUE TORCH FINANCE, LLC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49"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138813885_11168006499_3 By: LENDERS: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50"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138813885_11168006499_3 Name: [NAME OF LENDER] Title: By: EXHIBIT 2.09(d)-1 U.S. TAX COMPLIANCE CERTIFICATE (For Foreign Lenders That Are Not Partnerships For U.S. Federal Income Tax Purposes) Reference is hereby made to the Financing Agreement dated as of October 11, 2023 (as amended, supplemented or otherwise modified from time to time, the "Financing Agreement"), by and among OptimizeRx Corporation, a Nevada corporation (the “Lead Borrower”), Healthy Offers, Inc., a Nevada corporation (the “Co-Borrower”), each subsidiary of the Parent listed as a "Guarantor" on the signature pages thereto (together with each other Person that executes a joinder agreement and becomes a "Guarantor" thereunder, each a "Guarantor" and collectively, the "Guarantors"), the lenders from time to time party thereto (each a "Lender" and collectively, the "Lenders"), Blue Torch Finance, LLC, a Delaware limited liability company ("Blue Torch"), as collateral agent for the Lenders (in such capacity, together with its successors and assigns in such capacity, the "Collateral Agent"), and Blue Torch, as administrative agent for the Lenders (in such capacity, together with its successors and assigns in such capacity, the "Administrative Agent" and together with the Collateral Agent, each an "Agent" and collectively, the "Agents"). Unless otherwise defined herein, terms defined in the Financing Agreement and used herein shall have the meanings given to them in the Financing Agreement. Pursuant to the provisions of Section 2.09(d) of the Financing Agreement, the undersigned hereby certifies that (i) it is the sole record and beneficial owner of the Loan or Loans (as well as any Note evidencing any such Loan) in respect of which it is providing this certificate, (ii) it is not a bank within the meaning of Section 881(c)(3)(A) of the Internal Revenue Code, (iii) it is not a ten percent shareholder of a Borrower within the meaning of Section 871(h)(3)(B) of the Internal Revenue Code and (iv) it is not a controlled foreign corporation related to a Borrower as described in Section 881(c)(3)(C) of the Internal Revenue Code. The undersigned has furnished the Administrative Agent and the Lead Borrower with a certificate of its non-U.S. Person status on IRS Form W-8BEN. By executing this certificate, the undersigned agrees that (1) if the information provided on this certificate changes, the undersigned shall promptly so inform the Lead Borrower and the Administrative Agent, and (2) the undersigned shall have at all times furnished the Lead Borrower and the Administrative Agent with a properly completed and currently effective certificate in either the calendar year in which each payment is to be made to the undersigned, or in either of the two calendar years preceding such payments. Date: ________ __, 20[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51"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138813885_11168006499_3 Name: [NAME OF PARTICIPANT] Title: By: EXHIBIT 2.09(d)-2 U.S. TAX COMPLIANCE CERTIFICATE (For Foreign Participants That Are Not Partnerships For U.S. Federal Income Tax Purposes) Reference is hereby made to the Financing Agreement dated as of October 11, 2023 (as amended, supplemented or otherwise modified from time to time, the "Financing Agreement"), by and among OptimizeRx Corporation, a Nevada corporation (the “Lead Borrower”), Healthy Offers, Inc., a Nevada corporation (the “Co-Borrower”), each subsidiary of the Parent listed as a "Guarantor" on the signature pages thereto (together with each other Person that executes a joinder agreement and becomes a "Guarantor" thereunder, each a "Guarantor" and collectively, the "Guarantors"), the lenders from time to time party thereto (each a "Lender" and collectively, the "Lenders"), Blue Torch Finance, LLC, a Delaware limited liability company ("Blue Torch"), as collateral agent for the Lenders (in such capacity, together with its successors and assigns in such capacity, the "Collateral Agent"), and Blue Torch, as administrative agent for the Lenders (in such capacity, together with its successors and assigns in such capacity, the "Administrative Agent" and together with the Collateral Agent, each an "Agent" and collectively, the "Agents"). Unless otherwise defined herein, terms defined in the Financing Agreement and used herein shall have the meanings given to them in the Financing Agreement. Pursuant to the provisions of Section 2.09(d) of the Financing Agreement, the undersigned hereby certifies that (i) it is the sole record and beneficial owner of the participation in respect of which it is providing this certificate, (ii) it is not a bank within the meaning of Section 881(c)(3)(A) of the Internal Revenue Code, (iii) it is not a ten percent shareholder of a Borrower within the meaning of Section 871(h)(3)(B) of the Internal Revenue Code, and (iv) it is not a controlled foreign corporation related to a Borrower as described in Section 881(c)(3)(C) of the Internal Revenue Code. 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 Date: ________ __, 20[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52"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138813885_11168006499_3 [NAME OF PARTICIPANT] By: EXHIBIT 2.09(d)-3 U.S. TAX COMPLIANCE CERTIFICATE (For Foreign Participants That Are Partnerships For U.S. Federal Income Tax Purposes) Reference is hereby made to the Financing Agreement dated as of October 11, 2023 (as amended, supplemented or otherwise modified from time to time, the "Financing Agreement"), by and among OptimizeRx Corporation, a Nevada corporation (the “Lead Borrower”), Healthy Offers, Inc., a Nevada corporation (the “Co-Borrower”), each subsidiary of the Parent listed as a "Guarantor" on the signature pages thereto (together with each other Person that executes a joinder agreement and becomes a "Guarantor" thereunder, each a "Guarantor" and collectively, the "Guarantors"), the lenders from time to time party thereto (each a "Lender" and collectively, the "Lenders"), Blue Torch Finance, LLC, a Delaware limited liability company ("Blue Torch"), as collateral agent for the Lenders (in such capacity, together with its successors and assigns in such capacity, the "Collateral Agent"), and Blue Torch, as administrative agent for the Lenders (in such capacity, together with its successors and assigns in such capacity, the "Administrative Agent" and together with the Collateral Agent, each an "Agent" and collectively, the "Agents"). Unless otherwise defined herein, terms defined in the Financing Agreement and used herein shall have the meanings given to them in the Financing Agreement. Pursuant to the provisions of Section 2.09(d) of the Financing Agreement, the undersigned hereby certifies that (i) it is the sole record owner of the participation in respect of which it is providing this certificate, (ii) its direct or indirect partners or members are the sole beneficial owners of such participation, (iii) with respect such participation, neither the undersigned nor any of its direct or indirect partners or members is a bank extending credit pursuant to a loan agreement entered into in the ordinary course of its trade or business within the meaning of Section 881(c)(3)(A) of the Internal Revenue Code, (iv) none of its direct or indirect partners or members is a ten percent shareholder of a Borrower within the meaning of Section 871(h)(3)(B) of the Internal Revenue Code and (v) none of its direct or indirect partners or members is a controlled foreign corporation related to a Borrower as described in Section 881(c)(3)(C) of the Internal Revenue Code. The undersigned has furnished its participating Lender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53"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138813885_11168006499_3 Date: ________ __, 20[ ] Title: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54"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138813885_11168006499_3 161604.01001/133269402v.4 EXHIBIT 2.09(d)-4 U.S. TAX COMPLIANCE CERTIFICATE (For Foreign Lenders That Are Partnerships For U.S. Federal Income Tax Purposes) Reference is hereby made to the Financing Agreement dated as of October 11, 2023 (as amended, supplemented or otherwise modified from time to time, the "Financing Agreement"), by and among OptimizeRx Corporation, a Nevada corporation (the “Lead Borrower”), Healthy Offers, Inc., a Nevada corporation (the “Co-Borrower”), each subsidiary of the Parent listed as a "Guarantor" on the signature pages thereto (together with each other Person that executes a joinder agreement and becomes a "Guarantor" thereunder, each a "Guarantor" and collectively, the "Guarantors"), the lenders from time to time party thereto (each a "Lender" and collectively, the "Lenders"), Blue Torch Finance, LLC, a Delaware limited liability company ("Blue Torch"), as collateral agent for the Lenders (in such capacity, together with its successors and assigns in such capacity, the "Collateral Agent"), and Blue Torch, as administrative agent for the Lenders (in such capacity, together with its successors and assigns in such capacity, the "Administrative Agent" and together with the Collateral Agent, each an "Agent" and collectively, the "Agents"). Unless otherwise defined herein, terms defined in the Financing Agreement and used herein shall have the meanings given to them in the Financing Agreement. Pursuant to the provisions of Section 2.09(d) of the Financing Agreement, the undersigned hereby certifies that (i) it is the sole record owner of the Loan or Loans (as well as any Note evidencing any such Loan) in respect of which it is providing this certificate, (ii) its direct or indirect partners or members are the sole beneficial owners of such Loan or Loans (as well as any Note evidencing such Loan), (iii) with respect to the extension of credit pursuant to this Financing Agreement or any other Loan Document, neither the undersigned nor any of its direct or indirect partners or members is a bank extending credit pursuant to a loan agreement entered into in the ordinary course of its trade or business within the meaning of Section 881(c)(3)(A) of the Internal Revenue Code, (iv) none of its direct or indirect partners or members is a ten percent shareholder of a Borrower within the meaning of Section 871(h)(3)(B) of the Internal Revenue Code and (v) none of its direct or indirect partners or members is a controlled foreign corporation related to a Borrower as described in Section 881(c)(3)(C) of the Internal Revenue Code. The undersigned has furnished the Administrative Agent and the Lead Borrower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Lead Borrower and the Administrative Agent, and (2) the undersigned shall have at all times furnished the Lead Borrower and the Administrative Agent with a properly completed and currently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55"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138813885_11168006499_3 Title: By: certificate in either the calendar year in which each payment is to be made to the undersigned, or in either of the two calendar years preceding such payments. Date: ________ __, 20[ ] Name: [NAME OF LENDER]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LIST OF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OptimizeRx, d.o.o. (formerly known as CareSpeak Communications, d.o.o.), a controlled foreign corporation located in Croatia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Cyberdiet, a controlled foreign corporation located in Israel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4"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857375" cy="438150"/>
            <wp:effectExtent l="0" t="0" r="0" b="0"/>
            <wp:docPr id="26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56" descr=""/>
                    <pic:cNvPicPr>
                      <a:picLocks noChangeAspect="1" noChangeArrowheads="1"/>
                    </pic:cNvPicPr>
                  </pic:nvPicPr>
                  <pic:blipFill>
                    <a:blip r:embed="rId186"/>
                    <a:stretch>
                      <a:fillRect/>
                    </a:stretch>
                  </pic:blipFill>
                  <pic:spPr bwMode="auto">
                    <a:xfrm>
                      <a:off x="0" y="0"/>
                      <a:ext cx="1857375" cy="438150"/>
                    </a:xfrm>
                    <a:prstGeom prst="rect">
                      <a:avLst/>
                    </a:prstGeom>
                  </pic:spPr>
                </pic:pic>
              </a:graphicData>
            </a:graphic>
          </wp:inline>
        </w:drawing>
      </w:r>
    </w:p>
    <w:p>
      <w:pPr>
        <w:pStyle w:val="TextBody"/>
        <w:bidi w:val="0"/>
        <w:spacing w:before="240" w:after="240"/>
        <w:jc w:val="center"/>
        <w:rPr/>
      </w:pPr>
      <w:r>
        <w:rPr/>
      </w:r>
    </w:p>
    <w:p>
      <w:pPr>
        <w:pStyle w:val="TextBody"/>
        <w:bidi w:val="0"/>
        <w:spacing w:before="2" w:after="2"/>
        <w:jc w:val="center"/>
        <w:rPr/>
      </w:pPr>
      <w:r>
        <w:rPr/>
      </w:r>
    </w:p>
    <w:p>
      <w:pPr>
        <w:pStyle w:val="TextBody"/>
        <w:bidi w:val="0"/>
        <w:spacing w:lineRule="auto" w:line="240" w:before="2" w:after="2"/>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following registration statements on Form S-3 (File No. 333-286224) and Forms S-8 (File Nos. 333-280300, 333-259218, 333-237630, 333-230212, 333-210653, and 333-189439) of OptimizeRx Corporation and Subsidiaries (the “Company”) of our report dated March 12, 2026, with respect to the consolidated financial statements of the Company as of December 31, 2025 and 2024 and for the years then ended, which is included in this Annual Report on Form 10-K of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/s/ UHY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Sterling Heights, Michigan</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March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Stephen Silvestro,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year ended December 31, 2025 of OptimizeRx Corp (the “registrant”);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March 12, 2026</w:t>
      </w:r>
    </w:p>
    <w:tbl>
      <w:tblPr>
        <w:tblW w:w="5201" w:type="dxa"/>
        <w:jc w:val="left"/>
        <w:tblInd w:w="0" w:type="dxa"/>
        <w:tblLayout w:type="fixed"/>
        <w:tblCellMar>
          <w:top w:w="28" w:type="dxa"/>
          <w:left w:w="28" w:type="dxa"/>
          <w:bottom w:w="28" w:type="dxa"/>
          <w:right w:w="28" w:type="dxa"/>
        </w:tblCellMar>
      </w:tblPr>
      <w:tblGrid>
        <w:gridCol w:w="1746"/>
        <w:gridCol w:w="1539"/>
        <w:gridCol w:w="1544"/>
        <w:gridCol w:w="109"/>
        <w:gridCol w:w="109"/>
        <w:gridCol w:w="154"/>
      </w:tblGrid>
      <w:tr>
        <w:trPr/>
        <w:tc>
          <w:tcPr>
            <w:tcW w:w="174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 Edward Stelmakh,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year ended December 31, 2025 of OptimizeRx Corp (the “registrant”);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9183" w:type="dxa"/>
        <w:jc w:val="left"/>
        <w:tblInd w:w="0" w:type="dxa"/>
        <w:tblLayout w:type="fixed"/>
        <w:tblCellMar>
          <w:top w:w="28" w:type="dxa"/>
          <w:left w:w="28" w:type="dxa"/>
          <w:bottom w:w="28" w:type="dxa"/>
          <w:right w:w="28" w:type="dxa"/>
        </w:tblCellMar>
      </w:tblPr>
      <w:tblGrid>
        <w:gridCol w:w="350"/>
        <w:gridCol w:w="308"/>
        <w:gridCol w:w="308"/>
        <w:gridCol w:w="2615"/>
        <w:gridCol w:w="2615"/>
        <w:gridCol w:w="2615"/>
        <w:gridCol w:w="109"/>
        <w:gridCol w:w="109"/>
        <w:gridCol w:w="154"/>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1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&amp; Strategy Officer, 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OptimizeRx Corp (the “Company”) on Form 10-K for the year ended December 31, 2025 filed with the Securities and Exchange Commission (the “Report”), I, Stephen Silvestro, Chief Executive Officer of the Company, and I, Edward Stelmakh, Chief Financial &amp; Strategy Officer of the Company, each certify, pursuant to 18 U.S.C. Section 1350, as adopted pursuant to Section 906 of the Sarbanes-Oxley Act of 2002,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consolidated financial condition of the Company as of the dates presented and the consolidated result of operations of the Company for the periods presented.</w:t>
      </w:r>
    </w:p>
    <w:tbl>
      <w:tblPr>
        <w:tblW w:w="8862" w:type="dxa"/>
        <w:jc w:val="left"/>
        <w:tblInd w:w="0" w:type="dxa"/>
        <w:tblLayout w:type="fixed"/>
        <w:tblCellMar>
          <w:top w:w="28" w:type="dxa"/>
          <w:left w:w="28" w:type="dxa"/>
          <w:bottom w:w="28" w:type="dxa"/>
          <w:right w:w="28" w:type="dxa"/>
        </w:tblCellMar>
      </w:tblPr>
      <w:tblGrid>
        <w:gridCol w:w="232"/>
        <w:gridCol w:w="205"/>
        <w:gridCol w:w="208"/>
        <w:gridCol w:w="2612"/>
        <w:gridCol w:w="2612"/>
        <w:gridCol w:w="2621"/>
        <w:gridCol w:w="109"/>
        <w:gridCol w:w="109"/>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Principal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&amp; Strategy Officer, 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has been furnished solely pursuant to Section 906 of the Sarbanes-Oxley Act of 2002.</w:t>
      </w:r>
    </w:p>
    <w:p>
      <w:pPr>
        <w:pStyle w:val="TextBody"/>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48431/000136110608000414/optimizerx_s1-ex0301.htm" TargetMode="External"/><Relationship Id="rId4" Type="http://schemas.openxmlformats.org/officeDocument/2006/relationships/hyperlink" Target="https://www.sec.gov/Archives/edgar/data/1448431/000121390019003962/f10k2018ex3-5_optimizerx.htm" TargetMode="External"/><Relationship Id="rId5" Type="http://schemas.openxmlformats.org/officeDocument/2006/relationships/hyperlink" Target="https://www.sec.gov/Archives/edgar/data/1448431/000144843125000012/fourthamendedrestatedbylaws.htm" TargetMode="External"/><Relationship Id="rId6" Type="http://schemas.openxmlformats.org/officeDocument/2006/relationships/hyperlink" Target="https://www.sec.gov/Archives/edgar/data/1448431/000121390022009736/f10k2021ex4-1_optimizerx.htm" TargetMode="External"/><Relationship Id="rId7" Type="http://schemas.openxmlformats.org/officeDocument/2006/relationships/hyperlink" Target="https://www.sec.gov/Archives/edgar/data/1448431/000121390020006161/ea119535ex10-1_optimize.htm" TargetMode="External"/><Relationship Id="rId8" Type="http://schemas.openxmlformats.org/officeDocument/2006/relationships/hyperlink" Target="https://www.sec.gov/Archives/edgar/data/1448431/000121390021044810/ea146392ex10-1_optimizerx.htm" TargetMode="External"/><Relationship Id="rId9" Type="http://schemas.openxmlformats.org/officeDocument/2006/relationships/hyperlink" Target="https://www.sec.gov/Archives/edgar/data/1448431/000121390021044810/ea146392ex10-2_optimizerx.htm" TargetMode="External"/><Relationship Id="rId10" Type="http://schemas.openxmlformats.org/officeDocument/2006/relationships/hyperlink" Target="https://www.sec.gov/Archives/edgar/data/1448431/000121390021044810/ea146392ex10-3_optimizerx.htm" TargetMode="External"/><Relationship Id="rId11" Type="http://schemas.openxmlformats.org/officeDocument/2006/relationships/hyperlink" Target="https://www.sec.gov/Archives/edgar/data/1448431/000121390021044810/ea146392ex10-4_optimizerx.htm" TargetMode="External"/><Relationship Id="rId12" Type="http://schemas.openxmlformats.org/officeDocument/2006/relationships/hyperlink" Target="https://www.sec.gov/Archives/edgar/data/1448431/000121390021044810/ea146392ex10-5_optimizerx.htm" TargetMode="External"/><Relationship Id="rId13" Type="http://schemas.openxmlformats.org/officeDocument/2006/relationships/hyperlink" Target="https://www.sec.gov/Archives/edgar/data/1448431/000121390021008493/ea135275ex10-1_optimizerx.htm" TargetMode="External"/><Relationship Id="rId14" Type="http://schemas.openxmlformats.org/officeDocument/2006/relationships/hyperlink" Target="https://www.sec.gov/Archives/edgar/data/1448431/000121390022010768/ea156483ex10-3_optimizerx.htm" TargetMode="External"/><Relationship Id="rId15" Type="http://schemas.openxmlformats.org/officeDocument/2006/relationships/hyperlink" Target="https://www.sec.gov/Archives/edgar/data/1448431/000121390021050817/ea148140ex10-1_optimizerx.htm" TargetMode="External"/><Relationship Id="rId16" Type="http://schemas.openxmlformats.org/officeDocument/2006/relationships/hyperlink" Target="https://www.sec.gov/Archives/edgar/data/1448431/000121390022010768/ea156483ex10-1_optimizerx.htm" TargetMode="External"/><Relationship Id="rId17" Type="http://schemas.openxmlformats.org/officeDocument/2006/relationships/hyperlink" Target="https://www.sec.gov/Archives/edgar/data/1448431/000101376223004127/ea186749ex10-1_optimizerx.htm" TargetMode="External"/><Relationship Id="rId18" Type="http://schemas.openxmlformats.org/officeDocument/2006/relationships/hyperlink" Target="https://www.sec.gov/Archives/edgar/data/1448431/000101376223004127/ea186749ex10-2_optimizerx.htm" TargetMode="External"/><Relationship Id="rId19" Type="http://schemas.openxmlformats.org/officeDocument/2006/relationships/hyperlink" Target="https://www.sec.gov/Archives/edgar/data/1448431/000101376223004127/ea186749ex10-3_optimizerx.htm" TargetMode="External"/><Relationship Id="rId20" Type="http://schemas.openxmlformats.org/officeDocument/2006/relationships/hyperlink" Target="https://www.sec.gov/Archives/edgar/data/1448431/000101376223004127/ea186749ex10-4_optimizerx.htm" TargetMode="External"/><Relationship Id="rId21" Type="http://schemas.openxmlformats.org/officeDocument/2006/relationships/hyperlink" Target="https://www.sec.gov/Archives/edgar/data/1448431/000101376223006625/ea187250ex10-1_optimizerx.htm" TargetMode="External"/><Relationship Id="rId22" Type="http://schemas.openxmlformats.org/officeDocument/2006/relationships/hyperlink" Target="https://www.sec.gov/Archives/edgar/data/1448431/000121390024029318/ea020314101ex10-1_optimize.htm" TargetMode="External"/><Relationship Id="rId23" Type="http://schemas.openxmlformats.org/officeDocument/2006/relationships/hyperlink" Target="https://www.sec.gov/Archives/edgar/data/1448431/000121390024033000/ea020384801ex10-27_optimize.htm" TargetMode="External"/><Relationship Id="rId24" Type="http://schemas.openxmlformats.org/officeDocument/2006/relationships/hyperlink" Target="https://www.sec.gov/Archives/edgar/data/1448431/000121390024050753/ea0207524ex10-1_optimize.htm" TargetMode="External"/><Relationship Id="rId25" Type="http://schemas.openxmlformats.org/officeDocument/2006/relationships/hyperlink" Target="https://www.sec.gov/Archives/edgar/data/1448431/000121390025025576/ea023467001ex10-21_optimize.htm" TargetMode="External"/><Relationship Id="rId26" Type="http://schemas.openxmlformats.org/officeDocument/2006/relationships/hyperlink" Target="https://www.sec.gov/Archives/edgar/data/1448431/000121390025025576/ea023467001ex10-22_optimize.htm" TargetMode="External"/><Relationship Id="rId27" Type="http://schemas.openxmlformats.org/officeDocument/2006/relationships/hyperlink" Target="https://www.sec.gov/Archives/edgar/data/1448431/000121390025021923/ea023370201ex10-1_optimize.htm" TargetMode="External"/><Relationship Id="rId28" Type="http://schemas.openxmlformats.org/officeDocument/2006/relationships/hyperlink" Target="https://www.sec.gov/Archives/edgar/data/1448431/000121390025078162/ea025374101ex10-1_optimize.htm" TargetMode="External"/><Relationship Id="rId29" Type="http://schemas.openxmlformats.org/officeDocument/2006/relationships/hyperlink" Target="https://www.sec.gov/Archives/edgar/data/1448431/000121390021034240/ea143323ex14-1_optimizrex.htm" TargetMode="External"/><Relationship Id="rId30" Type="http://schemas.openxmlformats.org/officeDocument/2006/relationships/hyperlink" Target="https://www.sec.gov/Archives/edgar/data/1448431/000121390025025576/ea023467001ex19-1_optimize.htm" TargetMode="External"/><Relationship Id="rId31" Type="http://schemas.openxmlformats.org/officeDocument/2006/relationships/hyperlink" Target="https://www.sec.gov/Archives/edgar/data/1448431/000121390024033000/ea020384801ex97-1_optimize.htm" TargetMode="External"/><Relationship Id="rId32" Type="http://schemas.openxmlformats.org/officeDocument/2006/relationships/image" Target="media/image2.jpeg"/><Relationship Id="rId33" Type="http://schemas.openxmlformats.org/officeDocument/2006/relationships/image" Target="media/image3.jpeg"/><Relationship Id="rId34" Type="http://schemas.openxmlformats.org/officeDocument/2006/relationships/image" Target="media/image4.jpeg"/><Relationship Id="rId35" Type="http://schemas.openxmlformats.org/officeDocument/2006/relationships/image" Target="media/image5.jpeg"/><Relationship Id="rId36" Type="http://schemas.openxmlformats.org/officeDocument/2006/relationships/image" Target="media/image6.jpeg"/><Relationship Id="rId37" Type="http://schemas.openxmlformats.org/officeDocument/2006/relationships/image" Target="media/image7.jpeg"/><Relationship Id="rId38" Type="http://schemas.openxmlformats.org/officeDocument/2006/relationships/image" Target="media/image8.jpeg"/><Relationship Id="rId39" Type="http://schemas.openxmlformats.org/officeDocument/2006/relationships/image" Target="media/image9.jpeg"/><Relationship Id="rId40" Type="http://schemas.openxmlformats.org/officeDocument/2006/relationships/image" Target="media/image10.jpeg"/><Relationship Id="rId41" Type="http://schemas.openxmlformats.org/officeDocument/2006/relationships/image" Target="media/image11.jpeg"/><Relationship Id="rId42" Type="http://schemas.openxmlformats.org/officeDocument/2006/relationships/image" Target="media/image12.jpeg"/><Relationship Id="rId43" Type="http://schemas.openxmlformats.org/officeDocument/2006/relationships/image" Target="media/image13.jpeg"/><Relationship Id="rId44" Type="http://schemas.openxmlformats.org/officeDocument/2006/relationships/image" Target="media/image14.jpeg"/><Relationship Id="rId45" Type="http://schemas.openxmlformats.org/officeDocument/2006/relationships/image" Target="media/image15.jpeg"/><Relationship Id="rId46" Type="http://schemas.openxmlformats.org/officeDocument/2006/relationships/image" Target="media/image16.jpeg"/><Relationship Id="rId47" Type="http://schemas.openxmlformats.org/officeDocument/2006/relationships/image" Target="media/image17.jpeg"/><Relationship Id="rId48" Type="http://schemas.openxmlformats.org/officeDocument/2006/relationships/image" Target="media/image18.jpeg"/><Relationship Id="rId49" Type="http://schemas.openxmlformats.org/officeDocument/2006/relationships/image" Target="media/image19.jpeg"/><Relationship Id="rId50" Type="http://schemas.openxmlformats.org/officeDocument/2006/relationships/image" Target="media/image20.jpeg"/><Relationship Id="rId51" Type="http://schemas.openxmlformats.org/officeDocument/2006/relationships/image" Target="media/image21.jpeg"/><Relationship Id="rId52" Type="http://schemas.openxmlformats.org/officeDocument/2006/relationships/image" Target="media/image22.jpeg"/><Relationship Id="rId53" Type="http://schemas.openxmlformats.org/officeDocument/2006/relationships/image" Target="media/image23.jpeg"/><Relationship Id="rId54" Type="http://schemas.openxmlformats.org/officeDocument/2006/relationships/image" Target="media/image24.jpeg"/><Relationship Id="rId55" Type="http://schemas.openxmlformats.org/officeDocument/2006/relationships/image" Target="media/image25.jpeg"/><Relationship Id="rId56" Type="http://schemas.openxmlformats.org/officeDocument/2006/relationships/image" Target="media/image26.jpeg"/><Relationship Id="rId57" Type="http://schemas.openxmlformats.org/officeDocument/2006/relationships/image" Target="media/image27.jpeg"/><Relationship Id="rId58" Type="http://schemas.openxmlformats.org/officeDocument/2006/relationships/image" Target="media/image28.jpeg"/><Relationship Id="rId59" Type="http://schemas.openxmlformats.org/officeDocument/2006/relationships/image" Target="media/image29.jpeg"/><Relationship Id="rId60" Type="http://schemas.openxmlformats.org/officeDocument/2006/relationships/image" Target="media/image30.jpeg"/><Relationship Id="rId61" Type="http://schemas.openxmlformats.org/officeDocument/2006/relationships/image" Target="media/image31.jpeg"/><Relationship Id="rId62" Type="http://schemas.openxmlformats.org/officeDocument/2006/relationships/image" Target="media/image32.jpeg"/><Relationship Id="rId63" Type="http://schemas.openxmlformats.org/officeDocument/2006/relationships/image" Target="media/image33.jpeg"/><Relationship Id="rId64" Type="http://schemas.openxmlformats.org/officeDocument/2006/relationships/image" Target="media/image34.jpeg"/><Relationship Id="rId65" Type="http://schemas.openxmlformats.org/officeDocument/2006/relationships/image" Target="media/image35.jpeg"/><Relationship Id="rId66" Type="http://schemas.openxmlformats.org/officeDocument/2006/relationships/image" Target="media/image36.jpeg"/><Relationship Id="rId67" Type="http://schemas.openxmlformats.org/officeDocument/2006/relationships/image" Target="media/image37.jpeg"/><Relationship Id="rId68" Type="http://schemas.openxmlformats.org/officeDocument/2006/relationships/image" Target="media/image38.jpeg"/><Relationship Id="rId69" Type="http://schemas.openxmlformats.org/officeDocument/2006/relationships/image" Target="media/image39.jpeg"/><Relationship Id="rId70" Type="http://schemas.openxmlformats.org/officeDocument/2006/relationships/image" Target="media/image40.jpeg"/><Relationship Id="rId71" Type="http://schemas.openxmlformats.org/officeDocument/2006/relationships/image" Target="media/image41.jpeg"/><Relationship Id="rId72" Type="http://schemas.openxmlformats.org/officeDocument/2006/relationships/image" Target="media/image42.jpeg"/><Relationship Id="rId73" Type="http://schemas.openxmlformats.org/officeDocument/2006/relationships/image" Target="media/image43.jpeg"/><Relationship Id="rId74" Type="http://schemas.openxmlformats.org/officeDocument/2006/relationships/image" Target="media/image44.jpeg"/><Relationship Id="rId75" Type="http://schemas.openxmlformats.org/officeDocument/2006/relationships/image" Target="media/image45.jpeg"/><Relationship Id="rId76" Type="http://schemas.openxmlformats.org/officeDocument/2006/relationships/image" Target="media/image46.jpeg"/><Relationship Id="rId77" Type="http://schemas.openxmlformats.org/officeDocument/2006/relationships/image" Target="media/image47.jpeg"/><Relationship Id="rId78" Type="http://schemas.openxmlformats.org/officeDocument/2006/relationships/image" Target="media/image48.jpeg"/><Relationship Id="rId79" Type="http://schemas.openxmlformats.org/officeDocument/2006/relationships/image" Target="media/image49.jpeg"/><Relationship Id="rId80" Type="http://schemas.openxmlformats.org/officeDocument/2006/relationships/image" Target="media/image50.jpeg"/><Relationship Id="rId81" Type="http://schemas.openxmlformats.org/officeDocument/2006/relationships/image" Target="media/image51.jpeg"/><Relationship Id="rId82" Type="http://schemas.openxmlformats.org/officeDocument/2006/relationships/image" Target="media/image52.jpeg"/><Relationship Id="rId83" Type="http://schemas.openxmlformats.org/officeDocument/2006/relationships/image" Target="media/image53.jpeg"/><Relationship Id="rId84" Type="http://schemas.openxmlformats.org/officeDocument/2006/relationships/image" Target="media/image54.jpeg"/><Relationship Id="rId85" Type="http://schemas.openxmlformats.org/officeDocument/2006/relationships/image" Target="media/image55.jpeg"/><Relationship Id="rId86" Type="http://schemas.openxmlformats.org/officeDocument/2006/relationships/image" Target="media/image56.jpeg"/><Relationship Id="rId87" Type="http://schemas.openxmlformats.org/officeDocument/2006/relationships/image" Target="media/image57.jpeg"/><Relationship Id="rId88" Type="http://schemas.openxmlformats.org/officeDocument/2006/relationships/image" Target="media/image58.jpeg"/><Relationship Id="rId89" Type="http://schemas.openxmlformats.org/officeDocument/2006/relationships/image" Target="media/image59.jpeg"/><Relationship Id="rId90" Type="http://schemas.openxmlformats.org/officeDocument/2006/relationships/image" Target="media/image60.jpeg"/><Relationship Id="rId91" Type="http://schemas.openxmlformats.org/officeDocument/2006/relationships/image" Target="media/image61.jpeg"/><Relationship Id="rId92" Type="http://schemas.openxmlformats.org/officeDocument/2006/relationships/image" Target="media/image62.jpeg"/><Relationship Id="rId93" Type="http://schemas.openxmlformats.org/officeDocument/2006/relationships/image" Target="media/image63.jpeg"/><Relationship Id="rId94" Type="http://schemas.openxmlformats.org/officeDocument/2006/relationships/image" Target="media/image64.jpeg"/><Relationship Id="rId95" Type="http://schemas.openxmlformats.org/officeDocument/2006/relationships/image" Target="media/image65.jpeg"/><Relationship Id="rId96" Type="http://schemas.openxmlformats.org/officeDocument/2006/relationships/image" Target="media/image66.jpeg"/><Relationship Id="rId97" Type="http://schemas.openxmlformats.org/officeDocument/2006/relationships/image" Target="media/image67.jpeg"/><Relationship Id="rId98" Type="http://schemas.openxmlformats.org/officeDocument/2006/relationships/image" Target="media/image68.jpeg"/><Relationship Id="rId99" Type="http://schemas.openxmlformats.org/officeDocument/2006/relationships/image" Target="media/image69.jpeg"/><Relationship Id="rId100" Type="http://schemas.openxmlformats.org/officeDocument/2006/relationships/image" Target="media/image70.jpeg"/><Relationship Id="rId101" Type="http://schemas.openxmlformats.org/officeDocument/2006/relationships/image" Target="media/image71.jpeg"/><Relationship Id="rId102" Type="http://schemas.openxmlformats.org/officeDocument/2006/relationships/image" Target="media/image72.jpeg"/><Relationship Id="rId103" Type="http://schemas.openxmlformats.org/officeDocument/2006/relationships/image" Target="media/image73.jpeg"/><Relationship Id="rId104" Type="http://schemas.openxmlformats.org/officeDocument/2006/relationships/image" Target="media/image74.jpeg"/><Relationship Id="rId105" Type="http://schemas.openxmlformats.org/officeDocument/2006/relationships/image" Target="media/image75.jpeg"/><Relationship Id="rId106" Type="http://schemas.openxmlformats.org/officeDocument/2006/relationships/image" Target="media/image76.jpeg"/><Relationship Id="rId107" Type="http://schemas.openxmlformats.org/officeDocument/2006/relationships/image" Target="media/image77.jpeg"/><Relationship Id="rId108" Type="http://schemas.openxmlformats.org/officeDocument/2006/relationships/image" Target="media/image78.jpeg"/><Relationship Id="rId109" Type="http://schemas.openxmlformats.org/officeDocument/2006/relationships/image" Target="media/image79.jpeg"/><Relationship Id="rId110" Type="http://schemas.openxmlformats.org/officeDocument/2006/relationships/image" Target="media/image80.jpeg"/><Relationship Id="rId111" Type="http://schemas.openxmlformats.org/officeDocument/2006/relationships/image" Target="media/image81.jpeg"/><Relationship Id="rId112" Type="http://schemas.openxmlformats.org/officeDocument/2006/relationships/image" Target="media/image82.jpeg"/><Relationship Id="rId113" Type="http://schemas.openxmlformats.org/officeDocument/2006/relationships/image" Target="media/image83.jpeg"/><Relationship Id="rId114" Type="http://schemas.openxmlformats.org/officeDocument/2006/relationships/image" Target="media/image84.jpeg"/><Relationship Id="rId115" Type="http://schemas.openxmlformats.org/officeDocument/2006/relationships/image" Target="media/image85.jpeg"/><Relationship Id="rId116" Type="http://schemas.openxmlformats.org/officeDocument/2006/relationships/image" Target="media/image86.jpeg"/><Relationship Id="rId117" Type="http://schemas.openxmlformats.org/officeDocument/2006/relationships/image" Target="media/image87.jpeg"/><Relationship Id="rId118" Type="http://schemas.openxmlformats.org/officeDocument/2006/relationships/image" Target="media/image88.jpeg"/><Relationship Id="rId119" Type="http://schemas.openxmlformats.org/officeDocument/2006/relationships/image" Target="media/image89.jpeg"/><Relationship Id="rId120" Type="http://schemas.openxmlformats.org/officeDocument/2006/relationships/image" Target="media/image90.jpeg"/><Relationship Id="rId121" Type="http://schemas.openxmlformats.org/officeDocument/2006/relationships/image" Target="media/image91.jpeg"/><Relationship Id="rId122" Type="http://schemas.openxmlformats.org/officeDocument/2006/relationships/image" Target="media/image92.jpeg"/><Relationship Id="rId123" Type="http://schemas.openxmlformats.org/officeDocument/2006/relationships/image" Target="media/image93.jpeg"/><Relationship Id="rId124" Type="http://schemas.openxmlformats.org/officeDocument/2006/relationships/image" Target="media/image94.jpeg"/><Relationship Id="rId125" Type="http://schemas.openxmlformats.org/officeDocument/2006/relationships/image" Target="media/image95.jpeg"/><Relationship Id="rId126" Type="http://schemas.openxmlformats.org/officeDocument/2006/relationships/image" Target="media/image96.jpeg"/><Relationship Id="rId127" Type="http://schemas.openxmlformats.org/officeDocument/2006/relationships/image" Target="media/image97.jpeg"/><Relationship Id="rId128" Type="http://schemas.openxmlformats.org/officeDocument/2006/relationships/image" Target="media/image98.jpeg"/><Relationship Id="rId129" Type="http://schemas.openxmlformats.org/officeDocument/2006/relationships/image" Target="media/image99.jpeg"/><Relationship Id="rId130" Type="http://schemas.openxmlformats.org/officeDocument/2006/relationships/image" Target="media/image100.jpeg"/><Relationship Id="rId131" Type="http://schemas.openxmlformats.org/officeDocument/2006/relationships/image" Target="media/image101.jpeg"/><Relationship Id="rId132" Type="http://schemas.openxmlformats.org/officeDocument/2006/relationships/image" Target="media/image102.jpeg"/><Relationship Id="rId133" Type="http://schemas.openxmlformats.org/officeDocument/2006/relationships/image" Target="media/image103.jpeg"/><Relationship Id="rId134" Type="http://schemas.openxmlformats.org/officeDocument/2006/relationships/image" Target="media/image104.jpeg"/><Relationship Id="rId135" Type="http://schemas.openxmlformats.org/officeDocument/2006/relationships/image" Target="media/image105.jpeg"/><Relationship Id="rId136" Type="http://schemas.openxmlformats.org/officeDocument/2006/relationships/image" Target="media/image106.jpeg"/><Relationship Id="rId137" Type="http://schemas.openxmlformats.org/officeDocument/2006/relationships/image" Target="media/image107.jpeg"/><Relationship Id="rId138" Type="http://schemas.openxmlformats.org/officeDocument/2006/relationships/image" Target="media/image108.jpeg"/><Relationship Id="rId139" Type="http://schemas.openxmlformats.org/officeDocument/2006/relationships/image" Target="media/image109.jpeg"/><Relationship Id="rId140" Type="http://schemas.openxmlformats.org/officeDocument/2006/relationships/image" Target="media/image110.jpeg"/><Relationship Id="rId141" Type="http://schemas.openxmlformats.org/officeDocument/2006/relationships/image" Target="media/image111.jpeg"/><Relationship Id="rId142" Type="http://schemas.openxmlformats.org/officeDocument/2006/relationships/image" Target="media/image112.jpeg"/><Relationship Id="rId143" Type="http://schemas.openxmlformats.org/officeDocument/2006/relationships/image" Target="media/image113.jpeg"/><Relationship Id="rId144" Type="http://schemas.openxmlformats.org/officeDocument/2006/relationships/image" Target="media/image114.jpeg"/><Relationship Id="rId145" Type="http://schemas.openxmlformats.org/officeDocument/2006/relationships/image" Target="media/image115.jpeg"/><Relationship Id="rId146" Type="http://schemas.openxmlformats.org/officeDocument/2006/relationships/image" Target="media/image116.jpeg"/><Relationship Id="rId147" Type="http://schemas.openxmlformats.org/officeDocument/2006/relationships/image" Target="media/image117.jpeg"/><Relationship Id="rId148" Type="http://schemas.openxmlformats.org/officeDocument/2006/relationships/image" Target="media/image118.jpeg"/><Relationship Id="rId149" Type="http://schemas.openxmlformats.org/officeDocument/2006/relationships/image" Target="media/image119.jpeg"/><Relationship Id="rId150" Type="http://schemas.openxmlformats.org/officeDocument/2006/relationships/image" Target="media/image120.jpeg"/><Relationship Id="rId151" Type="http://schemas.openxmlformats.org/officeDocument/2006/relationships/image" Target="media/image121.jpeg"/><Relationship Id="rId152" Type="http://schemas.openxmlformats.org/officeDocument/2006/relationships/image" Target="media/image122.jpeg"/><Relationship Id="rId153" Type="http://schemas.openxmlformats.org/officeDocument/2006/relationships/image" Target="media/image123.jpeg"/><Relationship Id="rId154" Type="http://schemas.openxmlformats.org/officeDocument/2006/relationships/image" Target="media/image124.jpeg"/><Relationship Id="rId155" Type="http://schemas.openxmlformats.org/officeDocument/2006/relationships/image" Target="media/image125.jpeg"/><Relationship Id="rId156" Type="http://schemas.openxmlformats.org/officeDocument/2006/relationships/image" Target="media/image126.jpeg"/><Relationship Id="rId157" Type="http://schemas.openxmlformats.org/officeDocument/2006/relationships/image" Target="media/image127.jpeg"/><Relationship Id="rId158" Type="http://schemas.openxmlformats.org/officeDocument/2006/relationships/image" Target="media/image128.jpeg"/><Relationship Id="rId159" Type="http://schemas.openxmlformats.org/officeDocument/2006/relationships/image" Target="media/image129.jpeg"/><Relationship Id="rId160" Type="http://schemas.openxmlformats.org/officeDocument/2006/relationships/image" Target="media/image130.jpeg"/><Relationship Id="rId161" Type="http://schemas.openxmlformats.org/officeDocument/2006/relationships/image" Target="media/image131.jpeg"/><Relationship Id="rId162" Type="http://schemas.openxmlformats.org/officeDocument/2006/relationships/image" Target="media/image132.jpeg"/><Relationship Id="rId163" Type="http://schemas.openxmlformats.org/officeDocument/2006/relationships/image" Target="media/image133.jpeg"/><Relationship Id="rId164" Type="http://schemas.openxmlformats.org/officeDocument/2006/relationships/image" Target="media/image134.jpeg"/><Relationship Id="rId165" Type="http://schemas.openxmlformats.org/officeDocument/2006/relationships/image" Target="media/image135.jpeg"/><Relationship Id="rId166" Type="http://schemas.openxmlformats.org/officeDocument/2006/relationships/image" Target="media/image136.jpeg"/><Relationship Id="rId167" Type="http://schemas.openxmlformats.org/officeDocument/2006/relationships/image" Target="media/image137.jpeg"/><Relationship Id="rId168" Type="http://schemas.openxmlformats.org/officeDocument/2006/relationships/image" Target="media/image138.jpeg"/><Relationship Id="rId169" Type="http://schemas.openxmlformats.org/officeDocument/2006/relationships/image" Target="media/image139.jpeg"/><Relationship Id="rId170" Type="http://schemas.openxmlformats.org/officeDocument/2006/relationships/image" Target="media/image140.jpeg"/><Relationship Id="rId171" Type="http://schemas.openxmlformats.org/officeDocument/2006/relationships/image" Target="media/image141.jpeg"/><Relationship Id="rId172" Type="http://schemas.openxmlformats.org/officeDocument/2006/relationships/image" Target="media/image142.jpeg"/><Relationship Id="rId173" Type="http://schemas.openxmlformats.org/officeDocument/2006/relationships/image" Target="media/image143.jpeg"/><Relationship Id="rId174" Type="http://schemas.openxmlformats.org/officeDocument/2006/relationships/image" Target="media/image144.jpeg"/><Relationship Id="rId175" Type="http://schemas.openxmlformats.org/officeDocument/2006/relationships/image" Target="media/image145.jpeg"/><Relationship Id="rId176" Type="http://schemas.openxmlformats.org/officeDocument/2006/relationships/image" Target="media/image146.jpeg"/><Relationship Id="rId177" Type="http://schemas.openxmlformats.org/officeDocument/2006/relationships/image" Target="media/image147.jpeg"/><Relationship Id="rId178" Type="http://schemas.openxmlformats.org/officeDocument/2006/relationships/image" Target="media/image148.jpeg"/><Relationship Id="rId179" Type="http://schemas.openxmlformats.org/officeDocument/2006/relationships/image" Target="media/image149.jpeg"/><Relationship Id="rId180" Type="http://schemas.openxmlformats.org/officeDocument/2006/relationships/image" Target="media/image150.jpeg"/><Relationship Id="rId181" Type="http://schemas.openxmlformats.org/officeDocument/2006/relationships/image" Target="media/image151.jpeg"/><Relationship Id="rId182" Type="http://schemas.openxmlformats.org/officeDocument/2006/relationships/image" Target="media/image152.jpeg"/><Relationship Id="rId183" Type="http://schemas.openxmlformats.org/officeDocument/2006/relationships/image" Target="media/image153.jpeg"/><Relationship Id="rId184" Type="http://schemas.openxmlformats.org/officeDocument/2006/relationships/image" Target="media/image154.jpeg"/><Relationship Id="rId185" Type="http://schemas.openxmlformats.org/officeDocument/2006/relationships/image" Target="media/image155.jpeg"/><Relationship Id="rId186" Type="http://schemas.openxmlformats.org/officeDocument/2006/relationships/image" Target="media/image156.jpeg"/><Relationship Id="rId187" Type="http://schemas.openxmlformats.org/officeDocument/2006/relationships/fontTable" Target="fontTable.xml"/><Relationship Id="rId18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127801</Words>
  <Characters>690221</Characters>
  <CharactersWithSpaces>816460</CharactersWithSpaces>
  <Paragraphs>3669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ex1024amendmentno4</dc:title>
</cp:coreProperties>
</file>