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86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80"/>
        <w:spacing w:after="0" w:line="327"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02/11/2022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General Counsel and CCO</w:t>
      </w:r>
    </w:p>
    <w:p>
      <w:pPr>
        <w:spacing w:after="0" w:line="436"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   MI</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48307</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3"/>
          </w:tcPr>
          <w:p>
            <w:pPr>
              <w:ind w:left="860"/>
              <w:spacing w:after="0"/>
              <w:rPr>
                <w:sz w:val="20"/>
                <w:szCs w:val="20"/>
                <w:color w:val="auto"/>
              </w:rPr>
            </w:pPr>
            <w:r>
              <w:rPr>
                <w:rFonts w:ascii="Arial" w:cs="Arial" w:eastAsia="Arial" w:hAnsi="Arial"/>
                <w:sz w:val="17"/>
                <w:szCs w:val="17"/>
                <w:color w:val="0000FF"/>
              </w:rPr>
              <w:t>02/11/2022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4,000</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ind w:left="32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4,000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rPr>
              <w:t>02/11/2022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4,000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16,000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2021, the reporting person was granted 20,000 restricted stock units, vesting in five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Marion Odence-Ford</w:t>
            </w:r>
          </w:p>
        </w:tc>
        <w:tc>
          <w:tcPr>
            <w:tcW w:w="760" w:type="dxa"/>
            <w:vAlign w:val="bottom"/>
          </w:tcPr>
          <w:p>
            <w:pPr>
              <w:spacing w:after="0"/>
              <w:rPr>
                <w:sz w:val="20"/>
                <w:szCs w:val="20"/>
                <w:color w:val="auto"/>
              </w:rPr>
            </w:pPr>
            <w:r>
              <w:rPr>
                <w:rFonts w:ascii="Arial" w:cs="Arial" w:eastAsia="Arial" w:hAnsi="Arial"/>
                <w:sz w:val="17"/>
                <w:szCs w:val="17"/>
                <w:color w:val="0000FF"/>
                <w:w w:val="86"/>
              </w:rPr>
              <w:t>02/15/2022</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2022-02-15T15:47:04Z</dcterms:created>
  <dcterms:modified xsi:type="dcterms:W3CDTF">2022-02-15T15:47:04Z</dcterms:modified>
</cp:coreProperties>
</file>