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March 17, 2014</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2480" w:type="dxa"/>
            <w:vAlign w:val="bottom"/>
            <w:gridSpan w:val="3"/>
          </w:tcPr>
          <w:p>
            <w:pPr>
              <w:jc w:val="center"/>
              <w:ind w:right="1850"/>
              <w:spacing w:after="0"/>
              <w:rPr>
                <w:sz w:val="20"/>
                <w:szCs w:val="20"/>
                <w:color w:val="auto"/>
              </w:rPr>
            </w:pPr>
            <w:r>
              <w:rPr>
                <w:rFonts w:ascii="Arial" w:cs="Arial" w:eastAsia="Arial" w:hAnsi="Arial"/>
                <w:sz w:val="18"/>
                <w:szCs w:val="18"/>
                <w:color w:val="auto"/>
                <w:w w:val="86"/>
              </w:rPr>
              <w:t>Nevada</w:t>
            </w:r>
          </w:p>
        </w:tc>
        <w:tc>
          <w:tcPr>
            <w:tcW w:w="3380" w:type="dxa"/>
            <w:vAlign w:val="bottom"/>
            <w:gridSpan w:val="3"/>
          </w:tcPr>
          <w:p>
            <w:pPr>
              <w:jc w:val="right"/>
              <w:ind w:right="1360"/>
              <w:spacing w:after="0"/>
              <w:rPr>
                <w:sz w:val="20"/>
                <w:szCs w:val="20"/>
                <w:color w:val="auto"/>
              </w:rPr>
            </w:pPr>
            <w:r>
              <w:rPr>
                <w:rFonts w:ascii="Arial" w:cs="Arial" w:eastAsia="Arial" w:hAnsi="Arial"/>
                <w:sz w:val="18"/>
                <w:szCs w:val="18"/>
                <w:color w:val="auto"/>
              </w:rPr>
              <w:t>000-53605</w:t>
            </w:r>
          </w:p>
        </w:tc>
        <w:tc>
          <w:tcPr>
            <w:tcW w:w="3360" w:type="dxa"/>
            <w:vAlign w:val="bottom"/>
            <w:gridSpan w:val="5"/>
          </w:tcPr>
          <w:p>
            <w:pPr>
              <w:jc w:val="right"/>
              <w:ind w:right="860"/>
              <w:spacing w:after="0"/>
              <w:rPr>
                <w:sz w:val="20"/>
                <w:szCs w:val="20"/>
                <w:color w:val="auto"/>
              </w:rPr>
            </w:pPr>
            <w:r>
              <w:rPr>
                <w:rFonts w:ascii="Arial" w:cs="Arial" w:eastAsia="Arial" w:hAnsi="Arial"/>
                <w:sz w:val="18"/>
                <w:szCs w:val="18"/>
                <w:color w:val="auto"/>
              </w:rPr>
              <w:t>26-1265381</w:t>
            </w:r>
          </w:p>
        </w:tc>
      </w:tr>
      <w:tr>
        <w:trPr>
          <w:trHeight w:val="20"/>
        </w:trPr>
        <w:tc>
          <w:tcPr>
            <w:tcW w:w="1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3780" w:type="dxa"/>
            <w:vAlign w:val="bottom"/>
            <w:gridSpan w:val="4"/>
          </w:tcPr>
          <w:p>
            <w:pPr>
              <w:jc w:val="center"/>
              <w:ind w:right="530"/>
              <w:spacing w:after="0"/>
              <w:rPr>
                <w:sz w:val="20"/>
                <w:szCs w:val="20"/>
                <w:color w:val="auto"/>
              </w:rPr>
            </w:pPr>
            <w:r>
              <w:rPr>
                <w:rFonts w:ascii="Arial" w:cs="Arial" w:eastAsia="Arial" w:hAnsi="Arial"/>
                <w:sz w:val="18"/>
                <w:szCs w:val="18"/>
                <w:color w:val="auto"/>
                <w:w w:val="92"/>
              </w:rPr>
              <w:t>(State or other jurisdiction of incorporation)</w:t>
            </w:r>
          </w:p>
        </w:tc>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3"/>
              </w:rPr>
              <w:t>(Commission File Number)</w:t>
            </w:r>
          </w:p>
        </w:tc>
        <w:tc>
          <w:tcPr>
            <w:tcW w:w="3360" w:type="dxa"/>
            <w:vAlign w:val="bottom"/>
            <w:gridSpan w:val="5"/>
          </w:tcPr>
          <w:p>
            <w:pPr>
              <w:jc w:val="center"/>
              <w:ind w:left="670"/>
              <w:spacing w:after="0"/>
              <w:rPr>
                <w:sz w:val="20"/>
                <w:szCs w:val="20"/>
                <w:color w:val="auto"/>
              </w:rPr>
            </w:pPr>
            <w:r>
              <w:rPr>
                <w:rFonts w:ascii="Arial" w:cs="Arial" w:eastAsia="Arial" w:hAnsi="Arial"/>
                <w:sz w:val="18"/>
                <w:szCs w:val="18"/>
                <w:color w:val="auto"/>
                <w:w w:val="93"/>
              </w:rPr>
              <w:t>(I.R.S. Employer Identification No.)</w:t>
            </w:r>
          </w:p>
        </w:tc>
      </w:tr>
      <w:tr>
        <w:trPr>
          <w:trHeight w:val="392"/>
        </w:trPr>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20" w:type="dxa"/>
            <w:vAlign w:val="bottom"/>
            <w:gridSpan w:val="5"/>
          </w:tcPr>
          <w:p>
            <w:pPr>
              <w:jc w:val="center"/>
              <w:ind w:right="1960"/>
              <w:spacing w:after="0"/>
              <w:rPr>
                <w:sz w:val="20"/>
                <w:szCs w:val="20"/>
                <w:color w:val="auto"/>
              </w:rPr>
            </w:pPr>
            <w:r>
              <w:rPr>
                <w:rFonts w:ascii="Arial" w:cs="Arial" w:eastAsia="Arial" w:hAnsi="Arial"/>
                <w:sz w:val="18"/>
                <w:szCs w:val="18"/>
                <w:color w:val="auto"/>
                <w:w w:val="89"/>
              </w:rPr>
              <w:t>400 Water Street, Suite 200, Rochester, MI</w:t>
            </w:r>
          </w:p>
        </w:tc>
        <w:tc>
          <w:tcPr>
            <w:tcW w:w="2500" w:type="dxa"/>
            <w:vAlign w:val="bottom"/>
            <w:gridSpan w:val="4"/>
          </w:tcPr>
          <w:p>
            <w:pPr>
              <w:jc w:val="right"/>
              <w:ind w:right="220"/>
              <w:spacing w:after="0"/>
              <w:rPr>
                <w:sz w:val="20"/>
                <w:szCs w:val="20"/>
                <w:color w:val="auto"/>
              </w:rPr>
            </w:pPr>
            <w:r>
              <w:rPr>
                <w:rFonts w:ascii="Arial" w:cs="Arial" w:eastAsia="Arial" w:hAnsi="Arial"/>
                <w:sz w:val="18"/>
                <w:szCs w:val="18"/>
                <w:color w:val="auto"/>
              </w:rPr>
              <w:t>48307</w:t>
            </w:r>
          </w:p>
        </w:tc>
        <w:tc>
          <w:tcPr>
            <w:tcW w:w="86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80" w:type="dxa"/>
            <w:vAlign w:val="bottom"/>
            <w:tcBorders>
              <w:right w:val="single" w:sz="8" w:color="auto"/>
            </w:tcBorders>
            <w:gridSpan w:val="2"/>
            <w:shd w:val="clear" w:color="auto" w:fill="000000"/>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100" w:type="dxa"/>
            <w:vAlign w:val="bottom"/>
            <w:gridSpan w:val="2"/>
          </w:tcPr>
          <w:p>
            <w:pPr>
              <w:spacing w:after="0"/>
              <w:rPr>
                <w:sz w:val="20"/>
                <w:szCs w:val="20"/>
                <w:color w:val="auto"/>
              </w:rPr>
            </w:pPr>
          </w:p>
        </w:tc>
        <w:tc>
          <w:tcPr>
            <w:tcW w:w="1620" w:type="dxa"/>
            <w:vAlign w:val="bottom"/>
          </w:tcPr>
          <w:p>
            <w:pPr>
              <w:spacing w:after="0"/>
              <w:rPr>
                <w:sz w:val="20"/>
                <w:szCs w:val="20"/>
                <w:color w:val="auto"/>
              </w:rPr>
            </w:pPr>
          </w:p>
        </w:tc>
        <w:tc>
          <w:tcPr>
            <w:tcW w:w="1740" w:type="dxa"/>
            <w:vAlign w:val="bottom"/>
            <w:gridSpan w:val="4"/>
          </w:tcPr>
          <w:p>
            <w:pPr>
              <w:jc w:val="center"/>
              <w:ind w:right="86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(17CFR 230.425)</w:t>
      </w:r>
    </w:p>
    <w:p>
      <w:pPr>
        <w:spacing w:after="0" w:line="23"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REGISTRANT’S BUSINESS AND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March 17, 2014, the Company entered into a securities purchase agreement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with the purchasers identified on the signature pages thereto (the “</w:t>
      </w:r>
      <w:r>
        <w:rPr>
          <w:rFonts w:ascii="Arial" w:cs="Arial" w:eastAsia="Arial" w:hAnsi="Arial"/>
          <w:sz w:val="17"/>
          <w:szCs w:val="17"/>
          <w:u w:val="single" w:color="auto"/>
          <w:color w:val="auto"/>
        </w:rPr>
        <w:t>Investors</w:t>
      </w:r>
      <w:r>
        <w:rPr>
          <w:rFonts w:ascii="Arial" w:cs="Arial" w:eastAsia="Arial" w:hAnsi="Arial"/>
          <w:sz w:val="17"/>
          <w:szCs w:val="17"/>
          <w:color w:val="auto"/>
        </w:rPr>
        <w:t>”), pursuant to which the Company sold to the Investors an aggregate of 8,333,333 shares (the “</w:t>
      </w:r>
      <w:r>
        <w:rPr>
          <w:rFonts w:ascii="Arial" w:cs="Arial" w:eastAsia="Arial" w:hAnsi="Arial"/>
          <w:sz w:val="17"/>
          <w:szCs w:val="17"/>
          <w:u w:val="single" w:color="auto"/>
          <w:color w:val="auto"/>
        </w:rPr>
        <w:t>Shares</w:t>
      </w:r>
      <w:r>
        <w:rPr>
          <w:rFonts w:ascii="Arial" w:cs="Arial" w:eastAsia="Arial" w:hAnsi="Arial"/>
          <w:sz w:val="17"/>
          <w:szCs w:val="17"/>
          <w:color w:val="auto"/>
        </w:rPr>
        <w:t>”) of the Company’s common stock, par value $0.001 per share (“</w:t>
      </w:r>
      <w:r>
        <w:rPr>
          <w:rFonts w:ascii="Arial" w:cs="Arial" w:eastAsia="Arial" w:hAnsi="Arial"/>
          <w:sz w:val="17"/>
          <w:szCs w:val="17"/>
          <w:u w:val="single" w:color="auto"/>
          <w:color w:val="auto"/>
        </w:rPr>
        <w:t>Common Stock</w:t>
      </w:r>
      <w:r>
        <w:rPr>
          <w:rFonts w:ascii="Arial" w:cs="Arial" w:eastAsia="Arial" w:hAnsi="Arial"/>
          <w:sz w:val="17"/>
          <w:szCs w:val="17"/>
          <w:color w:val="auto"/>
        </w:rPr>
        <w:t>”), for $1.20 per Share, or gross proceeds of $10,000,000 (the “</w:t>
      </w:r>
      <w:r>
        <w:rPr>
          <w:rFonts w:ascii="Arial" w:cs="Arial" w:eastAsia="Arial" w:hAnsi="Arial"/>
          <w:sz w:val="17"/>
          <w:szCs w:val="17"/>
          <w:u w:val="single" w:color="auto"/>
          <w:color w:val="auto"/>
        </w:rPr>
        <w:t>Offering</w:t>
      </w:r>
      <w:r>
        <w:rPr>
          <w:rFonts w:ascii="Arial" w:cs="Arial" w:eastAsia="Arial" w:hAnsi="Arial"/>
          <w:sz w:val="17"/>
          <w:szCs w:val="17"/>
          <w:color w:val="auto"/>
        </w:rPr>
        <w: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Placement Agents in the Offering received commissions equal to approximately 9.7% of gross proceeds, for an aggregate commission of approximately $970,000, including reimbursements for their reasonable out of pocket expenses. Placement Agents also received warrants to purchase up to 804,139 shares of the Company's common stock with an exercise price of $1.20 per share and a term of 5 years (the “ </w:t>
      </w:r>
      <w:r>
        <w:rPr>
          <w:rFonts w:ascii="Arial" w:cs="Arial" w:eastAsia="Arial" w:hAnsi="Arial"/>
          <w:sz w:val="18"/>
          <w:szCs w:val="18"/>
          <w:u w:val="single" w:color="auto"/>
          <w:color w:val="auto"/>
        </w:rPr>
        <w:t>Agent Warrants</w:t>
      </w:r>
      <w:r>
        <w:rPr>
          <w:rFonts w:ascii="Arial" w:cs="Arial" w:eastAsia="Arial" w:hAnsi="Arial"/>
          <w:sz w:val="18"/>
          <w:szCs w:val="18"/>
          <w:color w:val="auto"/>
        </w:rPr>
        <w:t>”). The Agent Warrants also provide for piggy-back registration rights.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used the net proceeds of the Offering to exercise the Securities Redemption Option Agreement, as amended, with Vicis Capital Master Fund (“</w:t>
      </w:r>
      <w:r>
        <w:rPr>
          <w:rFonts w:ascii="Arial" w:cs="Arial" w:eastAsia="Arial" w:hAnsi="Arial"/>
          <w:sz w:val="18"/>
          <w:szCs w:val="18"/>
          <w:u w:val="single" w:color="auto"/>
          <w:color w:val="auto"/>
        </w:rPr>
        <w:t>Vicis</w:t>
      </w:r>
      <w:r>
        <w:rPr>
          <w:rFonts w:ascii="Arial" w:cs="Arial" w:eastAsia="Arial" w:hAnsi="Arial"/>
          <w:sz w:val="18"/>
          <w:szCs w:val="18"/>
          <w:color w:val="auto"/>
        </w:rPr>
        <w:t>”) that provides the Company with an option to purchase all of the outstanding shares and derivative securities held by Vicis for total payment of six million dollars ($6,000,000). The shares and derivative securities include the Series A Convertible Preferred Stock, Series B Convertible Preferred Stock, Common Stock, and warrants to purchase shares of common stock held by Vicis in the Company. The balance of the net proceeds will be used for working capital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Purchase Agreement contains representations, covenants and other provisions customary for the agreements of this nature.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Offering, on March 17, 2014 the Company entered into a registration rights agreement with the Investors (the “</w:t>
      </w:r>
      <w:r>
        <w:rPr>
          <w:rFonts w:ascii="Arial" w:cs="Arial" w:eastAsia="Arial" w:hAnsi="Arial"/>
          <w:sz w:val="18"/>
          <w:szCs w:val="18"/>
          <w:u w:val="single" w:color="auto"/>
          <w:color w:val="auto"/>
        </w:rPr>
        <w:t>Registration Rights</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pursuant to which the Company agreed to register for resale the Shares acquired by the Investors in the Offering (the “</w:t>
      </w:r>
      <w:r>
        <w:rPr>
          <w:rFonts w:ascii="Arial" w:cs="Arial" w:eastAsia="Arial" w:hAnsi="Arial"/>
          <w:sz w:val="18"/>
          <w:szCs w:val="18"/>
          <w:u w:val="single" w:color="auto"/>
          <w:color w:val="auto"/>
        </w:rPr>
        <w:t>Registrable Securities</w:t>
      </w:r>
      <w:r>
        <w:rPr>
          <w:rFonts w:ascii="Arial" w:cs="Arial" w:eastAsia="Arial" w:hAnsi="Arial"/>
          <w:sz w:val="18"/>
          <w:szCs w:val="18"/>
          <w:color w:val="auto"/>
        </w:rPr>
        <w:t>”). Pursuant to the Registration Rights Agreement, the Company agreed to use its reasonable best efforts to file a registration statement (the “</w:t>
      </w:r>
      <w:r>
        <w:rPr>
          <w:rFonts w:ascii="Arial" w:cs="Arial" w:eastAsia="Arial" w:hAnsi="Arial"/>
          <w:sz w:val="18"/>
          <w:szCs w:val="18"/>
          <w:u w:val="single" w:color="auto"/>
          <w:color w:val="auto"/>
        </w:rPr>
        <w:t>Registration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Statement</w:t>
      </w:r>
      <w:r>
        <w:rPr>
          <w:rFonts w:ascii="Arial" w:cs="Arial" w:eastAsia="Arial" w:hAnsi="Arial"/>
          <w:sz w:val="18"/>
          <w:szCs w:val="18"/>
          <w:color w:val="auto"/>
        </w:rPr>
        <w:t>”)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for the resale of the Registrable Securities within 30 days following the close of the Offering and to use its reasonable best efforts to cause the Registration Statement to be declared effective as soon as practicable after the filing thereof, but in any event no later than 90 days following the close of the Offering (or 120 days following the close of the Offering if the SEC determines to review the Registration Statement).</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event the Registration Statement, among other things, (i) has not been filed by 30 days following the close of the Offering, (ii) has not been declared effective by 90 days following the close of the Offering (or 120 days following the close of the Offering in the event the SEC determines to review the Registration Statement), or (iii) ceases to remain continuously effective as to all Registrable Securities for more than 10 consecutive days or 15 days during any 12-month period, then the Company has agreed to make payments to each Investor as liquidated damages in an amount equal to 1.0% of the aggregate amount invested by each such Investor per 30-day period, up to a maximum aggregate liquidated damages amount equal to 6% of the aggregate amount invested by each such Investor. In addition, the Company has agreed to keep the Registration Statement continuously effective until the earliest to occur of (i) the date on which all of the Registrable Securities registered thereunder have been sold and (ii) the date on which all of the Registrable Securities covered by the Registration Statement may be sold without restriction pursuant to Rule 144 under the Securities Act.</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Offering, on March 17, 2014 the Company also entered into an investor agreement with one of the Investors (the “</w:t>
      </w:r>
      <w:r>
        <w:rPr>
          <w:rFonts w:ascii="Arial" w:cs="Arial" w:eastAsia="Arial" w:hAnsi="Arial"/>
          <w:sz w:val="18"/>
          <w:szCs w:val="18"/>
          <w:u w:val="single" w:color="auto"/>
          <w:color w:val="auto"/>
        </w:rPr>
        <w:t>Investor</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Pursuant to the Investor Agreement, the Company agreed to expand the board of directors an additional seat and allow the Investor to choose a member of the Company’s board of directors.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Shares were offered and sold solely to accredited investors on a private placement basis under Section 4(a)(2) of the Securities Act of 1933, as amended, and Rule 506 promulgated thereunder.</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descriptions of the Purchase Agreement, the Registration Rights Agreement and the Investor Agreement are qualified in their entirety by reference to the full text of the Purchase Agreement, the Registration Rights Agreement and the Investor Agreement, copies of which are filed as Exhibits 10.1, 10.2 and 10.3 hereto, respectively, and incorporated by reference herein.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SECTION 3 – SECURITIES AND TRADING MARKETS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1.01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Items 1.01 is incorporated into this Item 8.01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relating to the Offering is attached as Exhibit 99.1.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2"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88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20"/>
        </w:trPr>
        <w:tc>
          <w:tcPr>
            <w:tcW w:w="920" w:type="dxa"/>
            <w:vAlign w:val="bottom"/>
          </w:tcPr>
          <w:p>
            <w:pPr>
              <w:spacing w:after="0"/>
              <w:rPr>
                <w:sz w:val="20"/>
                <w:szCs w:val="20"/>
                <w:color w:val="auto"/>
              </w:rPr>
            </w:pPr>
            <w:r>
              <w:rPr>
                <w:rFonts w:ascii="Arial" w:cs="Arial" w:eastAsia="Arial" w:hAnsi="Arial"/>
                <w:sz w:val="18"/>
                <w:szCs w:val="18"/>
                <w:b w:val="1"/>
                <w:bCs w:val="1"/>
                <w:color w:val="auto"/>
              </w:rPr>
              <w:t>No.</w:t>
            </w:r>
          </w:p>
        </w:tc>
        <w:tc>
          <w:tcPr>
            <w:tcW w:w="1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190"/>
        </w:trPr>
        <w:tc>
          <w:tcPr>
            <w:tcW w:w="920" w:type="dxa"/>
            <w:vAlign w:val="bottom"/>
          </w:tcPr>
          <w:p>
            <w:pPr>
              <w:spacing w:after="0" w:line="190" w:lineRule="exact"/>
              <w:rPr>
                <w:sz w:val="20"/>
                <w:szCs w:val="20"/>
                <w:color w:val="auto"/>
              </w:rPr>
            </w:pPr>
            <w:r>
              <w:rPr>
                <w:rFonts w:ascii="Arial" w:cs="Arial" w:eastAsia="Arial" w:hAnsi="Arial"/>
                <w:sz w:val="18"/>
                <w:szCs w:val="18"/>
                <w:color w:val="auto"/>
              </w:rPr>
              <w:t>10.1</w:t>
            </w:r>
          </w:p>
        </w:tc>
        <w:tc>
          <w:tcPr>
            <w:tcW w:w="2880" w:type="dxa"/>
            <w:vAlign w:val="bottom"/>
            <w:tcBorders>
              <w:bottom w:val="single" w:sz="8" w:color="0000EE"/>
            </w:tcBorders>
            <w:gridSpan w:val="3"/>
          </w:tcPr>
          <w:p>
            <w:pPr>
              <w:spacing w:after="0" w:line="190" w:lineRule="exact"/>
              <w:rPr>
                <w:sz w:val="20"/>
                <w:szCs w:val="20"/>
                <w:color w:val="auto"/>
              </w:rPr>
            </w:pPr>
            <w:r>
              <w:rPr>
                <w:rFonts w:ascii="Arial" w:cs="Arial" w:eastAsia="Arial" w:hAnsi="Arial"/>
                <w:sz w:val="18"/>
                <w:szCs w:val="18"/>
                <w:color w:val="0000EE"/>
                <w:w w:val="89"/>
              </w:rPr>
              <w:t>Form of Securities Purchase Agreement</w:t>
            </w: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288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1"/>
              </w:rPr>
              <w:t>Form of Registration Rights Agreement</w:t>
            </w: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144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0"/>
              </w:rPr>
              <w:t>Investor Agreement</w:t>
            </w:r>
          </w:p>
        </w:tc>
        <w:tc>
          <w:tcPr>
            <w:tcW w:w="1440" w:type="dxa"/>
            <w:vAlign w:val="bottom"/>
            <w:gridSpan w:val="2"/>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99.1</w:t>
            </w:r>
          </w:p>
        </w:tc>
        <w:tc>
          <w:tcPr>
            <w:tcW w:w="26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7"/>
              </w:rPr>
              <w:t>Press release, dated March 18, 2014</w:t>
            </w:r>
          </w:p>
        </w:tc>
        <w:tc>
          <w:tcPr>
            <w:tcW w:w="280" w:type="dxa"/>
            <w:vAlign w:val="bottom"/>
          </w:tcPr>
          <w:p>
            <w:pPr>
              <w:spacing w:after="0"/>
              <w:rPr>
                <w:sz w:val="17"/>
                <w:szCs w:val="17"/>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18, 2014</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37"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SECURITIES PURCHASE AGREEMENT</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This Securities Purchase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March 12, 2014, between OptimizeRx Corp., a Nevada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each purchaser identified on the signature pages hereto (each, including its successors and assigns, a “</w:t>
      </w:r>
      <w:r>
        <w:rPr>
          <w:rFonts w:ascii="Arial" w:cs="Arial" w:eastAsia="Arial" w:hAnsi="Arial"/>
          <w:sz w:val="18"/>
          <w:szCs w:val="18"/>
          <w:u w:val="single" w:color="auto"/>
          <w:color w:val="auto"/>
        </w:rPr>
        <w:t>Purchaser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Purchasers</w:t>
      </w:r>
      <w:r>
        <w:rPr>
          <w:rFonts w:ascii="Arial" w:cs="Arial" w:eastAsia="Arial" w:hAnsi="Arial"/>
          <w:sz w:val="18"/>
          <w:szCs w:val="18"/>
          <w:color w:val="auto"/>
        </w:rPr>
        <w:t>”).</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WHEREAS, subject to the terms and conditions set forth in this Agreement and pursuant to Section 4(a)(2) of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and Rule 506 promulgated thereunder, the Company desires to issue and sell to each Purchaser, and each Purchaser, severally and not jointly, desires to purchase from the Company, securities of the Company as more fully described in this Agreement.</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u w:val="single" w:color="auto"/>
          <w:color w:val="auto"/>
        </w:rPr>
        <w:t>Definitions</w:t>
      </w:r>
    </w:p>
    <w:p>
      <w:pPr>
        <w:spacing w:after="0" w:line="225" w:lineRule="exact"/>
        <w:rPr>
          <w:sz w:val="20"/>
          <w:szCs w:val="20"/>
          <w:color w:val="auto"/>
        </w:rPr>
      </w:pPr>
    </w:p>
    <w:p>
      <w:pPr>
        <w:ind w:right="20" w:firstLine="8"/>
        <w:spacing w:after="0" w:line="277" w:lineRule="auto"/>
        <w:tabs>
          <w:tab w:leader="none" w:pos="10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addition to the terms defined elsewhere in this Agreement, for all purposes of this Agreement, the following terms have the meanings set forth in this Section 1.1:</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shall have the meaning ascribed to such term in Section 3.1(j).</w:t>
      </w:r>
    </w:p>
    <w:p>
      <w:pPr>
        <w:spacing w:after="0" w:line="225"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 With respect to a Purchaser, any investment fund or managed account that is managed on a discretionary basis by the same investment manager as such Purchaser will be deemed to be an Affiliate of such Purchaser.</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jc w:val="both"/>
        <w:ind w:left="6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means the closing of the purchase and sale of the Shares pursuant to Section 2.1.</w:t>
      </w:r>
    </w:p>
    <w:p>
      <w:pPr>
        <w:spacing w:after="0" w:line="225"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Trading Day when all of the Transaction Documents have been executed and delivered by the applicable parties thereto, and all conditions precedent to (i) the Purchasers’ obligations to pay the Subscription Amount and (ii) the Company’s obligations to deliver the Shares have been satisfied or waived.</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par value $0.001 per share, and any other class of securities into which such securities may hereafter be reclassified or changed into.</w:t>
      </w:r>
    </w:p>
    <w:p>
      <w:pPr>
        <w:spacing w:after="0" w:line="170" w:lineRule="exact"/>
        <w:rPr>
          <w:sz w:val="20"/>
          <w:szCs w:val="20"/>
          <w:color w:val="auto"/>
        </w:rPr>
      </w:pPr>
    </w:p>
    <w:p>
      <w:pPr>
        <w:jc w:val="both"/>
        <w:ind w:left="66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 Equivalents</w:t>
      </w:r>
      <w:r>
        <w:rPr>
          <w:rFonts w:ascii="Arial" w:cs="Arial" w:eastAsia="Arial" w:hAnsi="Arial"/>
          <w:sz w:val="17"/>
          <w:szCs w:val="17"/>
          <w:color w:val="auto"/>
        </w:rPr>
        <w:t>” means any securities of the Company or the Subsidiaries which would entitle the holder thereof to acquire at any time Common Stock, including, without limitation, any debt, preferred stock, rights, options, warrants or other instrument that is at any time convertible into or exercisable or exchangeable for, or otherwise entitles the holder thereof to receive, Common Stock.</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Counsel</w:t>
      </w:r>
      <w:r>
        <w:rPr>
          <w:rFonts w:ascii="Arial" w:cs="Arial" w:eastAsia="Arial" w:hAnsi="Arial"/>
          <w:sz w:val="18"/>
          <w:szCs w:val="18"/>
          <w:color w:val="auto"/>
        </w:rPr>
        <w:t>” means Cane Clark LLP, with offices located at 3273 E. Warm Springs Rd., Las Vegas, NV 89120.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Schedules</w:t>
      </w:r>
      <w:r>
        <w:rPr>
          <w:rFonts w:ascii="Arial" w:cs="Arial" w:eastAsia="Arial" w:hAnsi="Arial"/>
          <w:sz w:val="18"/>
          <w:szCs w:val="18"/>
          <w:color w:val="auto"/>
        </w:rPr>
        <w:t>” means the Disclosure Schedules of the Company delivered concurrently herewith.</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that the initial Registration Statement filed by the Company pursuant to the Registration Rights Agreement is first declared effective by the Commission.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Agent</w:t>
      </w:r>
      <w:r>
        <w:rPr>
          <w:rFonts w:ascii="Arial" w:cs="Arial" w:eastAsia="Arial" w:hAnsi="Arial"/>
          <w:sz w:val="18"/>
          <w:szCs w:val="18"/>
          <w:color w:val="auto"/>
        </w:rPr>
        <w:t>” shall mean First Republic Bank &amp; Trust.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Agreement</w:t>
      </w:r>
      <w:r>
        <w:rPr>
          <w:rFonts w:ascii="Arial" w:cs="Arial" w:eastAsia="Arial" w:hAnsi="Arial"/>
          <w:sz w:val="18"/>
          <w:szCs w:val="18"/>
          <w:color w:val="auto"/>
        </w:rPr>
        <w:t>” shall mean the escrow agreement entered into prior to the date hereof, by and among the Company, Merriman Capital, Inc. and the Escrow Agent pursuant to which the Purchasers shall deposit Subscription Amounts with the Escrow Agent to be applied to the transactions contemplated hereunder.</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shall have the meaning ascribed to such term in Section 3.1(o).</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 Agreement</w:t>
      </w:r>
      <w:r>
        <w:rPr>
          <w:rFonts w:ascii="Arial" w:cs="Arial" w:eastAsia="Arial" w:hAnsi="Arial"/>
          <w:sz w:val="18"/>
          <w:szCs w:val="18"/>
          <w:color w:val="auto"/>
        </w:rPr>
        <w:t>” means the Investor Agreement, dated the date hereof, between the Company and Radoff.</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Legend Removal Date</w:t>
      </w:r>
      <w:r>
        <w:rPr>
          <w:rFonts w:ascii="Arial" w:cs="Arial" w:eastAsia="Arial" w:hAnsi="Arial"/>
          <w:sz w:val="18"/>
          <w:szCs w:val="18"/>
          <w:color w:val="auto"/>
        </w:rPr>
        <w:t>” shall have the meaning ascribed to such term in Section 4.1(c).</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Liens</w:t>
      </w:r>
      <w:r>
        <w:rPr>
          <w:rFonts w:ascii="Arial" w:cs="Arial" w:eastAsia="Arial" w:hAnsi="Arial"/>
          <w:sz w:val="18"/>
          <w:szCs w:val="18"/>
          <w:color w:val="auto"/>
        </w:rPr>
        <w:t>” means a lien, charge, security interest, encumbrance, right of first refusal, preemptive right or other restriction.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shall have the meaning assigned to such term in Section 3.1(b).</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Permits</w:t>
      </w:r>
      <w:r>
        <w:rPr>
          <w:rFonts w:ascii="Arial" w:cs="Arial" w:eastAsia="Arial" w:hAnsi="Arial"/>
          <w:sz w:val="18"/>
          <w:szCs w:val="18"/>
          <w:color w:val="auto"/>
        </w:rPr>
        <w:t>” shall have the meaning ascribed to such term in Section 3.1(m).</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Purchase Price</w:t>
      </w:r>
      <w:r>
        <w:rPr>
          <w:rFonts w:ascii="Arial" w:cs="Arial" w:eastAsia="Arial" w:hAnsi="Arial"/>
          <w:sz w:val="18"/>
          <w:szCs w:val="18"/>
          <w:color w:val="auto"/>
        </w:rPr>
        <w:t>” equals $1.20, subject to adjustment for reverse and forward stock splits, stock dividends, stock combinations and other similar transactions of the Common Stock that occur after the date of this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 action, claim, suit, investigation or proceeding (including, without limitation, an informal investigation or partial proceeding, such as a deposition), whether commenced or threatened.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Party</w:t>
      </w:r>
      <w:r>
        <w:rPr>
          <w:rFonts w:ascii="Arial" w:cs="Arial" w:eastAsia="Arial" w:hAnsi="Arial"/>
          <w:sz w:val="18"/>
          <w:szCs w:val="18"/>
          <w:color w:val="auto"/>
        </w:rPr>
        <w:t>” shall have the meaning ascribed to such term in Section 4.8.</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xml:space="preserve">” means the Registration Rights Agreement, dated the date hereof, among the Company and the Purchasers,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a registration statement meeting the requirements set forth in the Registration Rights Agreement and covering the resale by the Purchasers of the Shares.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Approvals</w:t>
      </w:r>
      <w:r>
        <w:rPr>
          <w:rFonts w:ascii="Arial" w:cs="Arial" w:eastAsia="Arial" w:hAnsi="Arial"/>
          <w:sz w:val="18"/>
          <w:szCs w:val="18"/>
          <w:color w:val="auto"/>
        </w:rPr>
        <w:t>” shall have the meaning ascribed to such term in Section 3.1(e).</w:t>
      </w:r>
    </w:p>
    <w:p>
      <w:pPr>
        <w:spacing w:after="0" w:line="23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6" w:name="page7"/>
    <w:bookmarkEnd w:id="6"/>
    <w:p>
      <w:pPr>
        <w:jc w:val="both"/>
        <w:ind w:left="6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Rule 144</w:t>
      </w:r>
      <w:r>
        <w:rPr>
          <w:rFonts w:ascii="Arial" w:cs="Arial" w:eastAsia="Arial" w:hAnsi="Arial"/>
          <w:sz w:val="17"/>
          <w:szCs w:val="17"/>
          <w:color w:val="auto"/>
        </w:rPr>
        <w:t>” means Rule 144 promulgated by the Commission pursuant to the Securities Act, as such Rule may be amended from time to time, or any similar rule or regulation hereafter adopted by the Commission having substantially the same effect as such Rule.</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Reports</w:t>
      </w:r>
      <w:r>
        <w:rPr>
          <w:rFonts w:ascii="Arial" w:cs="Arial" w:eastAsia="Arial" w:hAnsi="Arial"/>
          <w:sz w:val="18"/>
          <w:szCs w:val="18"/>
          <w:color w:val="auto"/>
        </w:rPr>
        <w:t>” shall have the meaning ascribed to such term in Section 3.1(h).</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the shares of Common Stock issued or issuable to each Purchaser pursuant to this Agreement.</w:t>
      </w:r>
    </w:p>
    <w:p>
      <w:pPr>
        <w:spacing w:after="0" w:line="225"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Short Sales</w:t>
      </w:r>
      <w:r>
        <w:rPr>
          <w:rFonts w:ascii="Arial" w:cs="Arial" w:eastAsia="Arial" w:hAnsi="Arial"/>
          <w:sz w:val="18"/>
          <w:szCs w:val="18"/>
          <w:color w:val="auto"/>
        </w:rPr>
        <w:t>” means all “short sales” as defined in Rule 200 of Regulation SHO under the Exchange Act (but shall not be deemed to include the location and/or reservation of borrowable shares of Common Stock).</w:t>
      </w:r>
    </w:p>
    <w:p>
      <w:pPr>
        <w:spacing w:after="0" w:line="170"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Amount</w:t>
      </w:r>
      <w:r>
        <w:rPr>
          <w:rFonts w:ascii="Arial" w:cs="Arial" w:eastAsia="Arial" w:hAnsi="Arial"/>
          <w:sz w:val="18"/>
          <w:szCs w:val="18"/>
          <w:color w:val="auto"/>
        </w:rPr>
        <w:t>” means, as to each Purchaser, the aggregate amount to be paid for Shares purchased hereunder as specified below such Purchaser’s name on the signature page of this Agreement and next to the heading “Subscription Amount,” in United States dollars and in immediately available funds.</w:t>
      </w:r>
    </w:p>
    <w:p>
      <w:pPr>
        <w:spacing w:after="0" w:line="181"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xml:space="preserve">” means any subsidiary of the Company as set forth on </w:t>
      </w:r>
      <w:r>
        <w:rPr>
          <w:rFonts w:ascii="Arial" w:cs="Arial" w:eastAsia="Arial" w:hAnsi="Arial"/>
          <w:sz w:val="18"/>
          <w:szCs w:val="18"/>
          <w:u w:val="single" w:color="auto"/>
          <w:color w:val="auto"/>
        </w:rPr>
        <w:t>Schedule 3.1(a)</w:t>
      </w:r>
      <w:r>
        <w:rPr>
          <w:rFonts w:ascii="Arial" w:cs="Arial" w:eastAsia="Arial" w:hAnsi="Arial"/>
          <w:sz w:val="18"/>
          <w:szCs w:val="18"/>
          <w:color w:val="auto"/>
        </w:rPr>
        <w:t>, and shall, where applicable, include any subsidiary of the Company formed or acquired after the date hereof.</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New York Stock Exchange is open for trading.</w:t>
      </w:r>
    </w:p>
    <w:p>
      <w:pPr>
        <w:spacing w:after="0" w:line="225"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the following markets or exchanges on which the Common Stock is listed or quoted for trading on the date in question: the American Stock Exchange, the Nasdaq Capital Market, the Nasdaq Global Market, the Nasdaq Global Select Market, the New York Stock Exchange, the OTC Bulletin Board or the OTCQB.</w:t>
      </w:r>
    </w:p>
    <w:p>
      <w:pPr>
        <w:spacing w:after="0" w:line="181" w:lineRule="exact"/>
        <w:rPr>
          <w:sz w:val="20"/>
          <w:szCs w:val="20"/>
          <w:color w:val="auto"/>
        </w:rPr>
      </w:pPr>
    </w:p>
    <w:p>
      <w:pPr>
        <w:jc w:val="both"/>
        <w:ind w:left="660"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the Registration Rights Agreement, the Escrow Agreement and any other documents or agreements executed in connection with the transactions contemplated hereunder.</w:t>
      </w:r>
    </w:p>
    <w:p>
      <w:pPr>
        <w:spacing w:after="0" w:line="170" w:lineRule="exact"/>
        <w:rPr>
          <w:sz w:val="20"/>
          <w:szCs w:val="20"/>
          <w:color w:val="auto"/>
        </w:rPr>
      </w:pPr>
    </w:p>
    <w:p>
      <w:pPr>
        <w:jc w:val="both"/>
        <w:ind w:left="6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 Agent</w:t>
      </w:r>
      <w:r>
        <w:rPr>
          <w:rFonts w:ascii="Arial" w:cs="Arial" w:eastAsia="Arial" w:hAnsi="Arial"/>
          <w:sz w:val="17"/>
          <w:szCs w:val="17"/>
          <w:color w:val="auto"/>
        </w:rPr>
        <w:t>” means Empire Stock Transfer, Inc., the current transfer agent of the Company, with a mailing address of 1859 Whitney Mesa Dr. Henderson, NV 89014 and a facsimile number of (702) 974-1444, and any successor transfer agent of the Company.</w:t>
      </w:r>
    </w:p>
    <w:p>
      <w:pPr>
        <w:spacing w:after="0" w:line="14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0180" w:type="dxa"/>
            <w:vAlign w:val="bottom"/>
          </w:tcPr>
          <w:p>
            <w:pPr>
              <w:jc w:val="center"/>
              <w:ind w:right="1130"/>
              <w:spacing w:after="0"/>
              <w:rPr>
                <w:sz w:val="20"/>
                <w:szCs w:val="20"/>
                <w:color w:val="auto"/>
              </w:rPr>
            </w:pPr>
            <w:r>
              <w:rPr>
                <w:rFonts w:ascii="Arial" w:cs="Arial" w:eastAsia="Arial" w:hAnsi="Arial"/>
                <w:sz w:val="18"/>
                <w:szCs w:val="18"/>
                <w:color w:val="auto"/>
                <w:w w:val="99"/>
              </w:rPr>
              <w:t>ARTICLE II.</w:t>
            </w:r>
          </w:p>
        </w:tc>
      </w:tr>
      <w:tr>
        <w:trPr>
          <w:trHeight w:val="230"/>
        </w:trPr>
        <w:tc>
          <w:tcPr>
            <w:tcW w:w="580" w:type="dxa"/>
            <w:vAlign w:val="bottom"/>
          </w:tcPr>
          <w:p>
            <w:pPr>
              <w:spacing w:after="0"/>
              <w:rPr>
                <w:sz w:val="20"/>
                <w:szCs w:val="20"/>
                <w:color w:val="auto"/>
              </w:rPr>
            </w:pPr>
          </w:p>
        </w:tc>
        <w:tc>
          <w:tcPr>
            <w:tcW w:w="10180" w:type="dxa"/>
            <w:vAlign w:val="bottom"/>
          </w:tcPr>
          <w:p>
            <w:pPr>
              <w:jc w:val="center"/>
              <w:ind w:right="1150"/>
              <w:spacing w:after="0"/>
              <w:rPr>
                <w:sz w:val="20"/>
                <w:szCs w:val="20"/>
                <w:color w:val="auto"/>
              </w:rPr>
            </w:pPr>
            <w:r>
              <w:rPr>
                <w:rFonts w:ascii="Arial" w:cs="Arial" w:eastAsia="Arial" w:hAnsi="Arial"/>
                <w:sz w:val="18"/>
                <w:szCs w:val="18"/>
                <w:color w:val="auto"/>
                <w:w w:val="95"/>
              </w:rPr>
              <w:t>PURCHASE AND SALE</w:t>
            </w:r>
          </w:p>
        </w:tc>
      </w:tr>
      <w:tr>
        <w:trPr>
          <w:trHeight w:val="432"/>
        </w:trPr>
        <w:tc>
          <w:tcPr>
            <w:tcW w:w="580" w:type="dxa"/>
            <w:vAlign w:val="bottom"/>
          </w:tcPr>
          <w:p>
            <w:pPr>
              <w:jc w:val="right"/>
              <w:ind w:right="270"/>
              <w:spacing w:after="0"/>
              <w:rPr>
                <w:sz w:val="20"/>
                <w:szCs w:val="20"/>
                <w:color w:val="auto"/>
              </w:rPr>
            </w:pPr>
            <w:r>
              <w:rPr>
                <w:rFonts w:ascii="Arial" w:cs="Arial" w:eastAsia="Arial" w:hAnsi="Arial"/>
                <w:sz w:val="18"/>
                <w:szCs w:val="18"/>
                <w:color w:val="auto"/>
                <w:w w:val="79"/>
              </w:rPr>
              <w:t>2.1</w:t>
            </w:r>
          </w:p>
        </w:tc>
        <w:tc>
          <w:tcPr>
            <w:tcW w:w="10180" w:type="dxa"/>
            <w:vAlign w:val="bottom"/>
          </w:tcPr>
          <w:p>
            <w:pPr>
              <w:ind w:left="340"/>
              <w:spacing w:after="0"/>
              <w:rPr>
                <w:sz w:val="20"/>
                <w:szCs w:val="20"/>
                <w:color w:val="auto"/>
              </w:rPr>
            </w:pPr>
            <w:r>
              <w:rPr>
                <w:rFonts w:ascii="Arial" w:cs="Arial" w:eastAsia="Arial" w:hAnsi="Arial"/>
                <w:sz w:val="18"/>
                <w:szCs w:val="18"/>
                <w:u w:val="single" w:color="auto"/>
                <w:color w:val="auto"/>
                <w:w w:val="91"/>
              </w:rPr>
              <w:t>Closing</w:t>
            </w:r>
            <w:r>
              <w:rPr>
                <w:rFonts w:ascii="Arial" w:cs="Arial" w:eastAsia="Arial" w:hAnsi="Arial"/>
                <w:sz w:val="18"/>
                <w:szCs w:val="18"/>
                <w:color w:val="auto"/>
                <w:w w:val="91"/>
              </w:rPr>
              <w:t>. On the Closing Date, upon the terms and subject to the conditions set forth herein, substantially concurrent with the execution</w:t>
            </w:r>
          </w:p>
        </w:tc>
      </w:tr>
    </w:tbl>
    <w:p>
      <w:pPr>
        <w:jc w:val="both"/>
        <w:spacing w:after="0" w:line="277" w:lineRule="auto"/>
        <w:rPr>
          <w:sz w:val="20"/>
          <w:szCs w:val="20"/>
          <w:color w:val="auto"/>
        </w:rPr>
      </w:pPr>
      <w:r>
        <w:rPr>
          <w:rFonts w:ascii="Arial" w:cs="Arial" w:eastAsia="Arial" w:hAnsi="Arial"/>
          <w:sz w:val="17"/>
          <w:szCs w:val="17"/>
          <w:color w:val="auto"/>
        </w:rPr>
        <w:t>and delivery of this Agreement by the parties hereto, the Company agrees to sell, and the Purchasers, severally and not jointly, agree to purchase, a minimum of $7,500,000 of Shares and up to a maximum of $10,000,000 of Shares. Upon satisfaction of the covenants and conditions set forth in Sections 2.2 and 2.3, the Closing shall occur at the offices of Company Counsel or such other location as the parties shall mutually agree.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 w:name="page8"/>
    <w:bookmarkEnd w:id="7"/>
    <w:p>
      <w:pPr>
        <w:spacing w:after="0"/>
        <w:tabs>
          <w:tab w:leader="none" w:pos="8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Deliveries</w:t>
      </w:r>
    </w:p>
    <w:p>
      <w:pPr>
        <w:spacing w:after="0" w:line="225" w:lineRule="exact"/>
        <w:rPr>
          <w:sz w:val="20"/>
          <w:szCs w:val="20"/>
          <w:color w:val="auto"/>
        </w:rPr>
      </w:pPr>
    </w:p>
    <w:p>
      <w:pPr>
        <w:ind w:left="1560" w:hanging="915"/>
        <w:spacing w:after="0"/>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or prior to the Closing Date, the Company shall deliver or cause to be delivered to each Purchaser the following:</w:t>
      </w:r>
    </w:p>
    <w:p>
      <w:pPr>
        <w:spacing w:after="0" w:line="225" w:lineRule="exact"/>
        <w:rPr>
          <w:rFonts w:ascii="Arial" w:cs="Arial" w:eastAsia="Arial" w:hAnsi="Arial"/>
          <w:sz w:val="18"/>
          <w:szCs w:val="18"/>
          <w:color w:val="auto"/>
        </w:rPr>
      </w:pPr>
    </w:p>
    <w:p>
      <w:pPr>
        <w:ind w:left="2220" w:hanging="927"/>
        <w:spacing w:after="0"/>
        <w:tabs>
          <w:tab w:leader="none" w:pos="2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this Agreement duly executed by the Company;</w:t>
      </w:r>
    </w:p>
    <w:p>
      <w:pPr>
        <w:spacing w:after="0" w:line="225" w:lineRule="exact"/>
        <w:rPr>
          <w:rFonts w:ascii="Arial" w:cs="Arial" w:eastAsia="Arial" w:hAnsi="Arial"/>
          <w:sz w:val="18"/>
          <w:szCs w:val="18"/>
          <w:color w:val="auto"/>
        </w:rPr>
      </w:pPr>
    </w:p>
    <w:p>
      <w:pPr>
        <w:ind w:left="640" w:right="20" w:firstLine="653"/>
        <w:spacing w:after="0" w:line="277" w:lineRule="auto"/>
        <w:tabs>
          <w:tab w:leader="none" w:pos="2259" w:val="left"/>
        </w:tabs>
        <w:numPr>
          <w:ilvl w:val="1"/>
          <w:numId w:val="3"/>
        </w:numPr>
        <w:rPr>
          <w:rFonts w:ascii="Arial" w:cs="Arial" w:eastAsia="Arial" w:hAnsi="Arial"/>
          <w:sz w:val="18"/>
          <w:szCs w:val="18"/>
          <w:color w:val="auto"/>
        </w:rPr>
      </w:pPr>
      <w:r>
        <w:rPr>
          <w:rFonts w:ascii="Arial" w:cs="Arial" w:eastAsia="Arial" w:hAnsi="Arial"/>
          <w:sz w:val="18"/>
          <w:szCs w:val="18"/>
          <w:color w:val="auto"/>
        </w:rPr>
        <w:t>a certificate evidencing a number of Shares equal to such Purchaser’s Subscription Amount divided by the Per Share Purchase Price, registered in the name of such Purchaser;</w:t>
      </w:r>
    </w:p>
    <w:p>
      <w:pPr>
        <w:spacing w:after="0" w:line="170" w:lineRule="exact"/>
        <w:rPr>
          <w:rFonts w:ascii="Arial" w:cs="Arial" w:eastAsia="Arial" w:hAnsi="Arial"/>
          <w:sz w:val="18"/>
          <w:szCs w:val="18"/>
          <w:color w:val="auto"/>
        </w:rPr>
      </w:pPr>
    </w:p>
    <w:p>
      <w:pPr>
        <w:ind w:left="2140" w:hanging="847"/>
        <w:spacing w:after="0"/>
        <w:tabs>
          <w:tab w:leader="none" w:pos="2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Registration Rights Agreement duly executed by the Company;</w:t>
      </w:r>
    </w:p>
    <w:p>
      <w:pPr>
        <w:spacing w:after="0" w:line="225" w:lineRule="exact"/>
        <w:rPr>
          <w:rFonts w:ascii="Arial" w:cs="Arial" w:eastAsia="Arial" w:hAnsi="Arial"/>
          <w:sz w:val="18"/>
          <w:szCs w:val="18"/>
          <w:color w:val="auto"/>
        </w:rPr>
      </w:pPr>
    </w:p>
    <w:p>
      <w:pPr>
        <w:ind w:left="2140" w:hanging="847"/>
        <w:spacing w:after="0"/>
        <w:tabs>
          <w:tab w:leader="none" w:pos="2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a legal opinion of Company Counsel,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w:t>
      </w:r>
    </w:p>
    <w:p>
      <w:pPr>
        <w:spacing w:after="0" w:line="225" w:lineRule="exact"/>
        <w:rPr>
          <w:rFonts w:ascii="Arial" w:cs="Arial" w:eastAsia="Arial" w:hAnsi="Arial"/>
          <w:sz w:val="18"/>
          <w:szCs w:val="18"/>
          <w:color w:val="auto"/>
        </w:rPr>
      </w:pPr>
    </w:p>
    <w:p>
      <w:pPr>
        <w:ind w:left="2180" w:hanging="887"/>
        <w:spacing w:after="0"/>
        <w:tabs>
          <w:tab w:leader="none" w:pos="2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 Officer’s Certificate executed by the Company’s Chief Executive Officer;</w:t>
      </w:r>
    </w:p>
    <w:p>
      <w:pPr>
        <w:spacing w:after="0" w:line="225" w:lineRule="exact"/>
        <w:rPr>
          <w:rFonts w:ascii="Arial" w:cs="Arial" w:eastAsia="Arial" w:hAnsi="Arial"/>
          <w:sz w:val="18"/>
          <w:szCs w:val="18"/>
          <w:color w:val="auto"/>
        </w:rPr>
      </w:pPr>
    </w:p>
    <w:p>
      <w:pPr>
        <w:ind w:left="2140" w:hanging="847"/>
        <w:spacing w:after="0"/>
        <w:tabs>
          <w:tab w:leader="none" w:pos="2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 irrevocable letter of instruction by the Company to its transfer agent concerning the Shares; and</w:t>
      </w:r>
    </w:p>
    <w:p>
      <w:pPr>
        <w:spacing w:after="0" w:line="225" w:lineRule="exact"/>
        <w:rPr>
          <w:rFonts w:ascii="Arial" w:cs="Arial" w:eastAsia="Arial" w:hAnsi="Arial"/>
          <w:sz w:val="18"/>
          <w:szCs w:val="18"/>
          <w:color w:val="auto"/>
        </w:rPr>
      </w:pPr>
    </w:p>
    <w:p>
      <w:pPr>
        <w:ind w:left="2100" w:hanging="807"/>
        <w:spacing w:after="0"/>
        <w:tabs>
          <w:tab w:leader="none" w:pos="2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delivery of the executed Investor Agreement to Radoff</w:t>
      </w:r>
    </w:p>
    <w:p>
      <w:pPr>
        <w:spacing w:after="0" w:line="225" w:lineRule="exact"/>
        <w:rPr>
          <w:rFonts w:ascii="Arial" w:cs="Arial" w:eastAsia="Arial" w:hAnsi="Arial"/>
          <w:sz w:val="18"/>
          <w:szCs w:val="18"/>
          <w:color w:val="auto"/>
        </w:rPr>
      </w:pPr>
    </w:p>
    <w:p>
      <w:pPr>
        <w:ind w:left="1520" w:hanging="875"/>
        <w:spacing w:after="0"/>
        <w:tabs>
          <w:tab w:leader="none" w:pos="1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or prior to the Closing Date, each Purchaser shall deliver or cause to be delivered to the Company the following:</w:t>
      </w:r>
    </w:p>
    <w:p>
      <w:pPr>
        <w:spacing w:after="0" w:line="225" w:lineRule="exact"/>
        <w:rPr>
          <w:rFonts w:ascii="Arial" w:cs="Arial" w:eastAsia="Arial" w:hAnsi="Arial"/>
          <w:sz w:val="18"/>
          <w:szCs w:val="18"/>
          <w:color w:val="auto"/>
        </w:rPr>
      </w:pPr>
    </w:p>
    <w:p>
      <w:pPr>
        <w:ind w:left="2220" w:hanging="927"/>
        <w:spacing w:after="0"/>
        <w:tabs>
          <w:tab w:leader="none" w:pos="2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this Agreement duly executed by such Purchaser;</w:t>
      </w:r>
    </w:p>
    <w:p>
      <w:pPr>
        <w:spacing w:after="0" w:line="225" w:lineRule="exact"/>
        <w:rPr>
          <w:rFonts w:ascii="Arial" w:cs="Arial" w:eastAsia="Arial" w:hAnsi="Arial"/>
          <w:sz w:val="18"/>
          <w:szCs w:val="18"/>
          <w:color w:val="auto"/>
        </w:rPr>
      </w:pPr>
    </w:p>
    <w:p>
      <w:pPr>
        <w:ind w:left="2180" w:hanging="887"/>
        <w:spacing w:after="0"/>
        <w:tabs>
          <w:tab w:leader="none" w:pos="2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such Purchaser’s Subscription Amount by wire transfer to the Escrow Account; and</w:t>
      </w:r>
    </w:p>
    <w:p>
      <w:pPr>
        <w:spacing w:after="0" w:line="225" w:lineRule="exact"/>
        <w:rPr>
          <w:rFonts w:ascii="Arial" w:cs="Arial" w:eastAsia="Arial" w:hAnsi="Arial"/>
          <w:sz w:val="18"/>
          <w:szCs w:val="18"/>
          <w:color w:val="auto"/>
        </w:rPr>
      </w:pPr>
    </w:p>
    <w:p>
      <w:pPr>
        <w:ind w:left="2140" w:hanging="847"/>
        <w:spacing w:after="0"/>
        <w:tabs>
          <w:tab w:leader="none" w:pos="2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Registration Rights Agreement duly executed by such Purchaser.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80" w:hanging="235"/>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obligations of the Company hereunder in connection with the Closing are subject to the following conditions being met:</w:t>
      </w:r>
    </w:p>
    <w:p>
      <w:pPr>
        <w:spacing w:after="0" w:line="225" w:lineRule="exact"/>
        <w:rPr>
          <w:rFonts w:ascii="Arial" w:cs="Arial" w:eastAsia="Arial" w:hAnsi="Arial"/>
          <w:sz w:val="18"/>
          <w:szCs w:val="18"/>
          <w:color w:val="auto"/>
        </w:rPr>
      </w:pPr>
    </w:p>
    <w:p>
      <w:pPr>
        <w:ind w:left="2420" w:hanging="1127"/>
        <w:spacing w:after="0"/>
        <w:tabs>
          <w:tab w:leader="none" w:pos="2420"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accuracy in all respects on the Closing Date of the representations and warranties of the Purchasers contained</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herein;</w:t>
      </w:r>
    </w:p>
    <w:p>
      <w:pPr>
        <w:spacing w:after="0" w:line="210" w:lineRule="exact"/>
        <w:rPr>
          <w:rFonts w:ascii="Arial" w:cs="Arial" w:eastAsia="Arial" w:hAnsi="Arial"/>
          <w:sz w:val="16"/>
          <w:szCs w:val="16"/>
          <w:color w:val="auto"/>
        </w:rPr>
      </w:pPr>
    </w:p>
    <w:p>
      <w:pPr>
        <w:ind w:left="640" w:right="20" w:firstLine="653"/>
        <w:spacing w:after="0" w:line="277" w:lineRule="auto"/>
        <w:tabs>
          <w:tab w:leader="none" w:pos="2269"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obligations, covenants and agreements of each Purchaser required to be performed at or prior to the Closing Date shall have been performed; and</w:t>
      </w:r>
    </w:p>
    <w:p>
      <w:pPr>
        <w:spacing w:after="0" w:line="170" w:lineRule="exact"/>
        <w:rPr>
          <w:rFonts w:ascii="Arial" w:cs="Arial" w:eastAsia="Arial" w:hAnsi="Arial"/>
          <w:sz w:val="18"/>
          <w:szCs w:val="18"/>
          <w:color w:val="auto"/>
        </w:rPr>
      </w:pPr>
    </w:p>
    <w:p>
      <w:pPr>
        <w:ind w:left="2140" w:hanging="847"/>
        <w:spacing w:after="0"/>
        <w:tabs>
          <w:tab w:leader="none" w:pos="21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delivery by each Purchaser of the items set forth in Section 2.2(b) of this Agreement.</w:t>
      </w:r>
    </w:p>
    <w:p>
      <w:pPr>
        <w:spacing w:after="0" w:line="225" w:lineRule="exact"/>
        <w:rPr>
          <w:rFonts w:ascii="Arial" w:cs="Arial" w:eastAsia="Arial" w:hAnsi="Arial"/>
          <w:sz w:val="18"/>
          <w:szCs w:val="18"/>
          <w:color w:val="auto"/>
        </w:rPr>
      </w:pPr>
    </w:p>
    <w:p>
      <w:pPr>
        <w:ind w:left="1620" w:hanging="975"/>
        <w:spacing w:after="0"/>
        <w:tabs>
          <w:tab w:leader="none" w:pos="1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respective obligations of the Purchasers hereunder in connection with the Closing are subject to the following conditions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being met:</w:t>
      </w:r>
    </w:p>
    <w:p>
      <w:pPr>
        <w:spacing w:after="0" w:line="210" w:lineRule="exact"/>
        <w:rPr>
          <w:rFonts w:ascii="Arial" w:cs="Arial" w:eastAsia="Arial" w:hAnsi="Arial"/>
          <w:sz w:val="16"/>
          <w:szCs w:val="16"/>
          <w:color w:val="auto"/>
        </w:rPr>
      </w:pPr>
    </w:p>
    <w:p>
      <w:pPr>
        <w:ind w:left="2460" w:hanging="1167"/>
        <w:spacing w:after="0"/>
        <w:tabs>
          <w:tab w:leader="none" w:pos="2460"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accuracy in all respects on the Closing Date of the representations and warranties of the Company contained</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herein;</w:t>
      </w:r>
    </w:p>
    <w:p>
      <w:pPr>
        <w:spacing w:after="0" w:line="210" w:lineRule="exact"/>
        <w:rPr>
          <w:rFonts w:ascii="Arial" w:cs="Arial" w:eastAsia="Arial" w:hAnsi="Arial"/>
          <w:sz w:val="16"/>
          <w:szCs w:val="16"/>
          <w:color w:val="auto"/>
        </w:rPr>
      </w:pPr>
    </w:p>
    <w:p>
      <w:pPr>
        <w:ind w:left="640" w:firstLine="653"/>
        <w:spacing w:after="0" w:line="277" w:lineRule="auto"/>
        <w:tabs>
          <w:tab w:leader="none" w:pos="2324"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obligations, covenants and agreements of the Company required to be performed at or prior to the Closing Date shall have been performed;</w:t>
      </w:r>
    </w:p>
    <w:p>
      <w:pPr>
        <w:spacing w:after="0" w:line="184"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-130175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8" w:name="page9"/>
    <w:bookmarkEnd w:id="8"/>
    <w:p>
      <w:pPr>
        <w:ind w:left="2800" w:hanging="847"/>
        <w:spacing w:after="0"/>
        <w:tabs>
          <w:tab w:leader="none" w:pos="2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delivery by the Company of the items set forth in Section 2.2(a) of this Agreement; and</w:t>
      </w:r>
    </w:p>
    <w:p>
      <w:pPr>
        <w:spacing w:after="0" w:line="225" w:lineRule="exact"/>
        <w:rPr>
          <w:rFonts w:ascii="Arial" w:cs="Arial" w:eastAsia="Arial" w:hAnsi="Arial"/>
          <w:sz w:val="18"/>
          <w:szCs w:val="18"/>
          <w:color w:val="auto"/>
        </w:rPr>
      </w:pPr>
    </w:p>
    <w:p>
      <w:pPr>
        <w:ind w:left="2800" w:hanging="847"/>
        <w:spacing w:after="0"/>
        <w:tabs>
          <w:tab w:leader="none" w:pos="2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 shall have been no Material Adverse Effect with respect to the Company since the date hereof.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w:t>
      </w:r>
    </w:p>
    <w:p>
      <w:pPr>
        <w:spacing w:after="0" w:line="211"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Except as set forth under the corresponding section of the disclosure schedules delivered to the Purchasers concurrently herewith (the “Disclosure Schedules”) which Disclosure Schedules shall be deemed a part hereof, the Company hereby makes the representations and warranties set forth below to each Purchaser</w:t>
      </w:r>
      <w:r>
        <w:rPr>
          <w:rFonts w:ascii="Arial" w:cs="Arial" w:eastAsia="Arial" w:hAnsi="Arial"/>
          <w:sz w:val="18"/>
          <w:szCs w:val="18"/>
          <w:color w:val="auto"/>
        </w:rPr>
        <w:t>Except as set forth in the Disclosure Schedules, which Disclosure Schedules shall be deemed a part hereof and shall qualify the specific representations made in a particular section to the corresponding section of the Disclosure Schedules, from the date hereof and at Closing, the Company hereby makes the following representations and warranties to each Purchaser:</w:t>
      </w:r>
    </w:p>
    <w:p>
      <w:pPr>
        <w:spacing w:after="0" w:line="188" w:lineRule="exact"/>
        <w:rPr>
          <w:sz w:val="20"/>
          <w:szCs w:val="20"/>
          <w:color w:val="auto"/>
        </w:rPr>
      </w:pPr>
    </w:p>
    <w:p>
      <w:pPr>
        <w:jc w:val="both"/>
        <w:ind w:left="660" w:firstLine="645"/>
        <w:spacing w:after="0" w:line="257" w:lineRule="auto"/>
        <w:tabs>
          <w:tab w:leader="none" w:pos="2309"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All of the direct and indirect subsidiaries of the Company are set forth on </w:t>
      </w:r>
      <w:r>
        <w:rPr>
          <w:rFonts w:ascii="Arial" w:cs="Arial" w:eastAsia="Arial" w:hAnsi="Arial"/>
          <w:sz w:val="18"/>
          <w:szCs w:val="18"/>
          <w:u w:val="single" w:color="auto"/>
          <w:color w:val="auto"/>
        </w:rPr>
        <w:t>Schedule 3.1(a)</w:t>
      </w:r>
      <w:r>
        <w:rPr>
          <w:rFonts w:ascii="Arial" w:cs="Arial" w:eastAsia="Arial" w:hAnsi="Arial"/>
          <w:sz w:val="18"/>
          <w:szCs w:val="18"/>
          <w:color w:val="auto"/>
        </w:rPr>
        <w:t>.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then all other references to the Subsidiaries or any of them in the Transaction Documents shall be disregarded.</w:t>
      </w:r>
    </w:p>
    <w:p>
      <w:pPr>
        <w:spacing w:after="0" w:line="188" w:lineRule="exact"/>
        <w:rPr>
          <w:rFonts w:ascii="Arial" w:cs="Arial" w:eastAsia="Arial" w:hAnsi="Arial"/>
          <w:sz w:val="18"/>
          <w:szCs w:val="18"/>
          <w:color w:val="auto"/>
        </w:rPr>
      </w:pPr>
    </w:p>
    <w:p>
      <w:pPr>
        <w:jc w:val="both"/>
        <w:ind w:left="660" w:firstLine="645"/>
        <w:spacing w:after="0" w:line="269" w:lineRule="auto"/>
        <w:tabs>
          <w:tab w:leader="none" w:pos="2531"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Organization and Qualification</w:t>
      </w:r>
      <w:r>
        <w:rPr>
          <w:rFonts w:ascii="Arial" w:cs="Arial" w:eastAsia="Arial" w:hAnsi="Arial"/>
          <w:sz w:val="17"/>
          <w:szCs w:val="17"/>
          <w:color w:val="auto"/>
        </w:rPr>
        <w:t>. The Company and each of the Subsidiaries is an entity duly incorporated or otherwise organized, validly existing and in good standing under the laws of the jurisdiction of its incorporation or organization (as applicable), with the requisite power and authority to own and use its properties and assets and to carry on its business as currently conducted. Neither the Company nor any Subsidiary is in violation 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and no Proceeding has been instituted in any such jurisdiction revoking, limiting or curtailing or seeking to revoke, limit or curtail such power and authority or qualification.</w:t>
      </w:r>
    </w:p>
    <w:p>
      <w:pPr>
        <w:spacing w:after="0" w:line="179" w:lineRule="exact"/>
        <w:rPr>
          <w:rFonts w:ascii="Arial" w:cs="Arial" w:eastAsia="Arial" w:hAnsi="Arial"/>
          <w:sz w:val="17"/>
          <w:szCs w:val="17"/>
          <w:color w:val="auto"/>
        </w:rPr>
      </w:pPr>
    </w:p>
    <w:p>
      <w:pPr>
        <w:jc w:val="both"/>
        <w:ind w:left="660" w:firstLine="645"/>
        <w:spacing w:after="0" w:line="288" w:lineRule="auto"/>
        <w:tabs>
          <w:tab w:leader="none" w:pos="235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Authorization; Enforcement</w:t>
      </w:r>
      <w:r>
        <w:rPr>
          <w:rFonts w:ascii="Arial" w:cs="Arial" w:eastAsia="Arial" w:hAnsi="Arial"/>
          <w:sz w:val="16"/>
          <w:szCs w:val="16"/>
          <w:color w:val="auto"/>
        </w:rPr>
        <w:t>. The Company has the requisite corporate power and authority to enter into and to consummate the transactions contemplated by each of the Transaction Documents and otherwise to carry out its obligations hereunder and thereunder. The execution and delivery of each of the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therewith other than in connection with the Required Approvals. Each Transaction Document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 w:name="page10"/>
    <w:bookmarkEnd w:id="9"/>
    <w:p>
      <w:pPr>
        <w:jc w:val="both"/>
        <w:ind w:left="-540" w:firstLine="645"/>
        <w:spacing w:after="0" w:line="269" w:lineRule="auto"/>
        <w:tabs>
          <w:tab w:leader="none" w:pos="993"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No Conflicts</w:t>
      </w:r>
      <w:r>
        <w:rPr>
          <w:rFonts w:ascii="Arial" w:cs="Arial" w:eastAsia="Arial" w:hAnsi="Arial"/>
          <w:sz w:val="17"/>
          <w:szCs w:val="17"/>
          <w:color w:val="auto"/>
        </w:rPr>
        <w:t>. The execution, delivery and performance of the Transaction Documents by the Company, the issuance and sale of the Shares and the consummation by the Company of the other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79" w:lineRule="exact"/>
        <w:rPr>
          <w:rFonts w:ascii="Arial" w:cs="Arial" w:eastAsia="Arial" w:hAnsi="Arial"/>
          <w:sz w:val="17"/>
          <w:szCs w:val="17"/>
          <w:color w:val="auto"/>
        </w:rPr>
      </w:pPr>
    </w:p>
    <w:p>
      <w:pPr>
        <w:jc w:val="both"/>
        <w:ind w:left="-540" w:firstLine="645"/>
        <w:spacing w:after="0" w:line="273" w:lineRule="auto"/>
        <w:tabs>
          <w:tab w:leader="none" w:pos="1136"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Filings, Consents and Approvals</w:t>
      </w:r>
      <w:r>
        <w:rPr>
          <w:rFonts w:ascii="Arial" w:cs="Arial" w:eastAsia="Arial" w:hAnsi="Arial"/>
          <w:sz w:val="17"/>
          <w:szCs w:val="17"/>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filings required pursuant to Section 4.4 of this Agreement, (ii) the filing with the Commission of the Registration Statement, (iii) application(s) to each applicable Trading Market for the listing of the Shares for trading thereon in the time and manner required thereby and (iv) the filing of Form D with the Commission and such filings as are required to be made under applicable state securities laws (collectively, the “</w:t>
      </w:r>
      <w:r>
        <w:rPr>
          <w:rFonts w:ascii="Arial" w:cs="Arial" w:eastAsia="Arial" w:hAnsi="Arial"/>
          <w:sz w:val="17"/>
          <w:szCs w:val="17"/>
          <w:u w:val="single" w:color="auto"/>
          <w:color w:val="auto"/>
        </w:rPr>
        <w:t>Required Approvals</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jc w:val="both"/>
        <w:ind w:left="-540" w:firstLine="645"/>
        <w:spacing w:after="0" w:line="259" w:lineRule="auto"/>
        <w:tabs>
          <w:tab w:leader="none" w:pos="1292"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Issuance of the Shares</w:t>
      </w:r>
      <w:r>
        <w:rPr>
          <w:rFonts w:ascii="Arial" w:cs="Arial" w:eastAsia="Arial" w:hAnsi="Arial"/>
          <w:sz w:val="18"/>
          <w:szCs w:val="18"/>
          <w:color w:val="auto"/>
        </w:rPr>
        <w:t>. The Shares are duly authorized and, when issued and paid for in accordance with the applicable Transaction Documents, will be duly and validly issued, fully paid and nonassessable, free and clear of all Liens imposed by the Company other than restrictions on transfer provided for in the Transaction Documents. The Company has reserved from its duly authorized capital stock the maximum number of shares of Common Stock issuable pursuant to this Agreement.</w:t>
      </w:r>
    </w:p>
    <w:p>
      <w:pPr>
        <w:spacing w:after="0" w:line="186" w:lineRule="exact"/>
        <w:rPr>
          <w:rFonts w:ascii="Arial" w:cs="Arial" w:eastAsia="Arial" w:hAnsi="Arial"/>
          <w:sz w:val="18"/>
          <w:szCs w:val="18"/>
          <w:color w:val="auto"/>
        </w:rPr>
      </w:pPr>
    </w:p>
    <w:p>
      <w:pPr>
        <w:jc w:val="both"/>
        <w:ind w:left="-540" w:firstLine="645"/>
        <w:spacing w:after="0" w:line="285" w:lineRule="auto"/>
        <w:tabs>
          <w:tab w:leader="none" w:pos="1088"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xml:space="preserve">. The capitalization of the Company is as set forth on </w:t>
      </w:r>
      <w:r>
        <w:rPr>
          <w:rFonts w:ascii="Arial" w:cs="Arial" w:eastAsia="Arial" w:hAnsi="Arial"/>
          <w:sz w:val="16"/>
          <w:szCs w:val="16"/>
          <w:u w:val="single" w:color="auto"/>
          <w:color w:val="auto"/>
        </w:rPr>
        <w:t>Schedule 3.1(g)</w:t>
      </w:r>
      <w:r>
        <w:rPr>
          <w:rFonts w:ascii="Arial" w:cs="Arial" w:eastAsia="Arial" w:hAnsi="Arial"/>
          <w:sz w:val="16"/>
          <w:szCs w:val="16"/>
          <w:color w:val="auto"/>
        </w:rPr>
        <w:t xml:space="preserve">, which </w:t>
      </w:r>
      <w:r>
        <w:rPr>
          <w:rFonts w:ascii="Arial" w:cs="Arial" w:eastAsia="Arial" w:hAnsi="Arial"/>
          <w:sz w:val="16"/>
          <w:szCs w:val="16"/>
          <w:u w:val="single" w:color="auto"/>
          <w:color w:val="auto"/>
        </w:rPr>
        <w:t>Schedule 3.1(g)</w:t>
      </w:r>
      <w:r>
        <w:rPr>
          <w:rFonts w:ascii="Arial" w:cs="Arial" w:eastAsia="Arial" w:hAnsi="Arial"/>
          <w:sz w:val="16"/>
          <w:szCs w:val="16"/>
          <w:color w:val="auto"/>
        </w:rPr>
        <w:t xml:space="preserve"> shall also include the number of shares of Common Stock owned beneficially, and of record, by Affiliates of the Company as of the date hereof.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or exercise of Common Stock Equivalents outstanding as of the date of the most recently filed periodic report under the Exchange Act. Except as set forth in </w:t>
      </w:r>
      <w:r>
        <w:rPr>
          <w:rFonts w:ascii="Arial" w:cs="Arial" w:eastAsia="Arial" w:hAnsi="Arial"/>
          <w:sz w:val="16"/>
          <w:szCs w:val="16"/>
          <w:u w:val="single" w:color="auto"/>
          <w:color w:val="auto"/>
        </w:rPr>
        <w:t>Schedule 3.1(g)</w:t>
      </w:r>
      <w:r>
        <w:rPr>
          <w:rFonts w:ascii="Arial" w:cs="Arial" w:eastAsia="Arial" w:hAnsi="Arial"/>
          <w:sz w:val="16"/>
          <w:szCs w:val="16"/>
          <w:color w:val="auto"/>
        </w:rPr>
        <w:t xml:space="preserve"> attached hereto, no Person has any right of first refusal, preemptive right, right of participation, or any similar right to participate in the transactions contemplated by the Transaction Documents. Except as a result of the purchase and sale of the Shares and except as set forth in </w:t>
      </w:r>
      <w:r>
        <w:rPr>
          <w:rFonts w:ascii="Arial" w:cs="Arial" w:eastAsia="Arial" w:hAnsi="Arial"/>
          <w:sz w:val="16"/>
          <w:szCs w:val="16"/>
          <w:u w:val="single" w:color="auto"/>
          <w:color w:val="auto"/>
        </w:rPr>
        <w:t>Schedule 3.1(g)</w:t>
      </w:r>
      <w:r>
        <w:rPr>
          <w:rFonts w:ascii="Arial" w:cs="Arial" w:eastAsia="Arial" w:hAnsi="Arial"/>
          <w:sz w:val="16"/>
          <w:szCs w:val="16"/>
          <w:color w:val="auto"/>
        </w:rPr>
        <w:t xml:space="preserve"> attached hereto,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contracts, commitments, understandings or arrangements by which the Company or any Subsidiary is or may become bound to issue additional shares of Common Stock or Common Stock Equivalents. The issuance and sale of the Shares will not obligate the Company to issue shares of Common Stock or other securities to any Person (other than the Purchasers) and will not result in a right of any holder of Company securities to adjust the exercise, conversion, exchange or reset price under any of such securities. All of the outstanding shares of capital stock of the Company are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Shares.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200" w:lineRule="exact"/>
        <w:rPr>
          <w:sz w:val="20"/>
          <w:szCs w:val="20"/>
          <w:color w:val="auto"/>
        </w:rPr>
      </w:pPr>
    </w:p>
    <w:p>
      <w:pPr>
        <w:spacing w:after="0" w:line="20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-130175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10" w:name="page11"/>
    <w:bookmarkEnd w:id="10"/>
    <w:p>
      <w:pPr>
        <w:jc w:val="both"/>
        <w:ind w:left="-540" w:firstLine="645"/>
        <w:spacing w:after="0" w:line="268" w:lineRule="auto"/>
        <w:tabs>
          <w:tab w:leader="none" w:pos="1209"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SEC Reports; Financial Statements</w:t>
      </w:r>
      <w:r>
        <w:rPr>
          <w:rFonts w:ascii="Arial" w:cs="Arial" w:eastAsia="Arial" w:hAnsi="Arial"/>
          <w:sz w:val="17"/>
          <w:szCs w:val="17"/>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Arial" w:cs="Arial" w:eastAsia="Arial" w:hAnsi="Arial"/>
          <w:sz w:val="17"/>
          <w:szCs w:val="17"/>
          <w:u w:val="single" w:color="auto"/>
          <w:color w:val="auto"/>
        </w:rPr>
        <w:t>SEC Reports</w:t>
      </w:r>
      <w:r>
        <w:rPr>
          <w:rFonts w:ascii="Arial" w:cs="Arial" w:eastAsia="Arial" w:hAnsi="Arial"/>
          <w:sz w:val="17"/>
          <w:szCs w:val="17"/>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Except as provided in the Company’s Form 8-K filed on February 11, 2014,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Arial" w:cs="Arial" w:eastAsia="Arial" w:hAnsi="Arial"/>
          <w:sz w:val="17"/>
          <w:szCs w:val="17"/>
          <w:u w:val="single" w:color="auto"/>
          <w:color w:val="auto"/>
        </w:rPr>
        <w:t>GAAP</w:t>
      </w:r>
      <w:r>
        <w:rPr>
          <w:rFonts w:ascii="Arial" w:cs="Arial" w:eastAsia="Arial" w:hAnsi="Arial"/>
          <w:sz w:val="17"/>
          <w:szCs w:val="17"/>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80" w:lineRule="exact"/>
        <w:rPr>
          <w:rFonts w:ascii="Arial" w:cs="Arial" w:eastAsia="Arial" w:hAnsi="Arial"/>
          <w:sz w:val="17"/>
          <w:szCs w:val="17"/>
          <w:color w:val="auto"/>
        </w:rPr>
      </w:pPr>
    </w:p>
    <w:p>
      <w:pPr>
        <w:jc w:val="both"/>
        <w:ind w:left="-540" w:firstLine="645"/>
        <w:spacing w:after="0" w:line="286" w:lineRule="auto"/>
        <w:tabs>
          <w:tab w:leader="none" w:pos="1165"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Material Changes; Undisclosed Events, Liabilities or Developments</w:t>
      </w:r>
      <w:r>
        <w:rPr>
          <w:rFonts w:ascii="Arial" w:cs="Arial" w:eastAsia="Arial" w:hAnsi="Arial"/>
          <w:sz w:val="16"/>
          <w:szCs w:val="16"/>
          <w:color w:val="auto"/>
        </w:rPr>
        <w:t xml:space="preserve">. Since the date of the latest audited financial statements included within the SEC Reports, except as specifically disclosed in a subsequent SEC Report filed prior to the date hereof,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Shares contemplated by this Agreement or as set forth on </w:t>
      </w:r>
      <w:r>
        <w:rPr>
          <w:rFonts w:ascii="Arial" w:cs="Arial" w:eastAsia="Arial" w:hAnsi="Arial"/>
          <w:sz w:val="16"/>
          <w:szCs w:val="16"/>
          <w:u w:val="single" w:color="auto"/>
          <w:color w:val="auto"/>
        </w:rPr>
        <w:t>Schedule 3.1(i)</w:t>
      </w:r>
      <w:r>
        <w:rPr>
          <w:rFonts w:ascii="Arial" w:cs="Arial" w:eastAsia="Arial" w:hAnsi="Arial"/>
          <w:sz w:val="16"/>
          <w:szCs w:val="16"/>
          <w:color w:val="auto"/>
        </w:rPr>
        <w:t>, no event, liability or development has occurred or exists with respect to the Company or its Subsidiaries or their respective business, properties, operations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174" w:lineRule="exact"/>
        <w:rPr>
          <w:rFonts w:ascii="Arial" w:cs="Arial" w:eastAsia="Arial" w:hAnsi="Arial"/>
          <w:sz w:val="16"/>
          <w:szCs w:val="16"/>
          <w:color w:val="auto"/>
        </w:rPr>
      </w:pPr>
    </w:p>
    <w:p>
      <w:pPr>
        <w:jc w:val="both"/>
        <w:ind w:left="-540" w:firstLine="645"/>
        <w:spacing w:after="0" w:line="270" w:lineRule="auto"/>
        <w:tabs>
          <w:tab w:leader="none" w:pos="1489"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Litigation</w:t>
      </w:r>
      <w:r>
        <w:rPr>
          <w:rFonts w:ascii="Arial" w:cs="Arial" w:eastAsia="Arial" w:hAnsi="Arial"/>
          <w:sz w:val="17"/>
          <w:szCs w:val="17"/>
          <w:color w:val="auto"/>
        </w:rPr>
        <w:t>. Except as provided in Schedule 3.1(i),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Arial" w:cs="Arial" w:eastAsia="Arial" w:hAnsi="Arial"/>
          <w:sz w:val="17"/>
          <w:szCs w:val="17"/>
          <w:u w:val="single" w:color="auto"/>
          <w:color w:val="auto"/>
        </w:rPr>
        <w:t>Action</w:t>
      </w:r>
      <w:r>
        <w:rPr>
          <w:rFonts w:ascii="Arial" w:cs="Arial" w:eastAsia="Arial" w:hAnsi="Arial"/>
          <w:sz w:val="17"/>
          <w:szCs w:val="17"/>
          <w:color w:val="auto"/>
        </w:rPr>
        <w:t>”) which (i) adversely affects or challenges the legality, validity or enforceability of any of the Transaction Documents or the Shares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9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-130175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11" w:name="page12"/>
    <w:bookmarkEnd w:id="11"/>
    <w:p>
      <w:pPr>
        <w:jc w:val="both"/>
        <w:ind w:left="-540" w:firstLine="645"/>
        <w:spacing w:after="0" w:line="269" w:lineRule="auto"/>
        <w:tabs>
          <w:tab w:leader="none" w:pos="1061"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Labor Relations</w:t>
      </w:r>
      <w:r>
        <w:rPr>
          <w:rFonts w:ascii="Arial" w:cs="Arial" w:eastAsia="Arial" w:hAnsi="Arial"/>
          <w:sz w:val="17"/>
          <w:szCs w:val="17"/>
          <w:color w:val="auto"/>
        </w:rPr>
        <w:t>. No material labor dispute exists or, to the knowledge of the Company, is imminent with respect to any of the employees of the Company or any such Subsidiary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No executive officer, to the knowledge of the Company,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182" w:lineRule="exact"/>
        <w:rPr>
          <w:rFonts w:ascii="Arial" w:cs="Arial" w:eastAsia="Arial" w:hAnsi="Arial"/>
          <w:sz w:val="17"/>
          <w:szCs w:val="17"/>
          <w:color w:val="auto"/>
        </w:rPr>
      </w:pPr>
    </w:p>
    <w:p>
      <w:pPr>
        <w:jc w:val="both"/>
        <w:ind w:left="-540" w:firstLine="645"/>
        <w:spacing w:after="0" w:line="291" w:lineRule="auto"/>
        <w:tabs>
          <w:tab w:leader="none" w:pos="1097"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Compliance</w:t>
      </w:r>
      <w:r>
        <w:rPr>
          <w:rFonts w:ascii="Arial" w:cs="Arial" w:eastAsia="Arial" w:hAnsi="Arial"/>
          <w:sz w:val="16"/>
          <w:szCs w:val="16"/>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order of any court, arbitrator or governmental body, or (iii) is or has been in violation of any statute, rule or regulation of any governmental authority, including without limitation all foreign, federal, state and local laws applicable to its business and all such laws that affect the environment, except in each case as could not have or reasonably be expected to result in a Material Adverse Effect.</w:t>
      </w:r>
    </w:p>
    <w:p>
      <w:pPr>
        <w:spacing w:after="0" w:line="167" w:lineRule="exact"/>
        <w:rPr>
          <w:rFonts w:ascii="Arial" w:cs="Arial" w:eastAsia="Arial" w:hAnsi="Arial"/>
          <w:sz w:val="16"/>
          <w:szCs w:val="16"/>
          <w:color w:val="auto"/>
        </w:rPr>
      </w:pPr>
    </w:p>
    <w:p>
      <w:pPr>
        <w:jc w:val="both"/>
        <w:ind w:left="-540" w:firstLine="645"/>
        <w:spacing w:after="0" w:line="302" w:lineRule="auto"/>
        <w:tabs>
          <w:tab w:leader="none" w:pos="1237"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Regulatory Permits</w:t>
      </w:r>
      <w:r>
        <w:rPr>
          <w:rFonts w:ascii="Arial" w:cs="Arial" w:eastAsia="Arial" w:hAnsi="Arial"/>
          <w:sz w:val="16"/>
          <w:szCs w:val="16"/>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Arial" w:cs="Arial" w:eastAsia="Arial" w:hAnsi="Arial"/>
          <w:sz w:val="16"/>
          <w:szCs w:val="16"/>
          <w:u w:val="single" w:color="auto"/>
          <w:color w:val="auto"/>
        </w:rPr>
        <w:t>Material Permits</w:t>
      </w:r>
      <w:r>
        <w:rPr>
          <w:rFonts w:ascii="Arial" w:cs="Arial" w:eastAsia="Arial" w:hAnsi="Arial"/>
          <w:sz w:val="16"/>
          <w:szCs w:val="16"/>
          <w:color w:val="auto"/>
        </w:rPr>
        <w:t>”), and neither the Company nor any Subsidiary has received any notice of proceedings relating to the revocation or modification of any Material Permit.</w:t>
      </w:r>
    </w:p>
    <w:p>
      <w:pPr>
        <w:spacing w:after="0" w:line="154" w:lineRule="exact"/>
        <w:rPr>
          <w:rFonts w:ascii="Arial" w:cs="Arial" w:eastAsia="Arial" w:hAnsi="Arial"/>
          <w:sz w:val="16"/>
          <w:szCs w:val="16"/>
          <w:color w:val="auto"/>
        </w:rPr>
      </w:pPr>
    </w:p>
    <w:p>
      <w:pPr>
        <w:jc w:val="both"/>
        <w:ind w:left="-540" w:firstLine="645"/>
        <w:spacing w:after="0" w:line="293" w:lineRule="auto"/>
        <w:tabs>
          <w:tab w:leader="none" w:pos="1074"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Title to Assets</w:t>
      </w:r>
      <w:r>
        <w:rPr>
          <w:rFonts w:ascii="Arial" w:cs="Arial" w:eastAsia="Arial" w:hAnsi="Arial"/>
          <w:sz w:val="16"/>
          <w:szCs w:val="16"/>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Liens as do not materially affect the value of such property and do not materially interfere with the use made and proposed to be made of such property by the Company and the Subsidiaries and Liens for the payment of federal, state or other taxes,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64" w:lineRule="exact"/>
        <w:rPr>
          <w:rFonts w:ascii="Arial" w:cs="Arial" w:eastAsia="Arial" w:hAnsi="Arial"/>
          <w:sz w:val="16"/>
          <w:szCs w:val="16"/>
          <w:color w:val="auto"/>
        </w:rPr>
      </w:pPr>
    </w:p>
    <w:p>
      <w:pPr>
        <w:jc w:val="both"/>
        <w:ind w:left="-540" w:firstLine="645"/>
        <w:spacing w:after="0" w:line="289" w:lineRule="auto"/>
        <w:tabs>
          <w:tab w:leader="none" w:pos="129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Patents and Trademarks</w:t>
      </w:r>
      <w:r>
        <w:rPr>
          <w:rFonts w:ascii="Arial" w:cs="Arial" w:eastAsia="Arial" w:hAnsi="Arial"/>
          <w:sz w:val="16"/>
          <w:szCs w:val="16"/>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material for use in connection with their respective businesses as described in the SEC Reports and which the failure to so have could have a Material Adverse Effect (collectively, the “</w:t>
      </w: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xml:space="preserve">”). Except as provided in </w:t>
      </w:r>
      <w:r>
        <w:rPr>
          <w:rFonts w:ascii="Arial" w:cs="Arial" w:eastAsia="Arial" w:hAnsi="Arial"/>
          <w:sz w:val="16"/>
          <w:szCs w:val="16"/>
          <w:u w:val="single" w:color="auto"/>
          <w:color w:val="auto"/>
        </w:rPr>
        <w:t>Schedule 3.1(i),</w:t>
      </w:r>
      <w:r>
        <w:rPr>
          <w:rFonts w:ascii="Arial" w:cs="Arial" w:eastAsia="Arial" w:hAnsi="Arial"/>
          <w:sz w:val="16"/>
          <w:szCs w:val="16"/>
          <w:color w:val="auto"/>
        </w:rPr>
        <w:t xml:space="preserve"> neither the Company nor any Subsidiary has received a notice (written or otherwise) that any of the Intellectual Property Rights used by the Company or any Subsidiary violates or infringes upon the rights of any Person.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18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-130175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12" w:name="page13"/>
    <w:bookmarkEnd w:id="12"/>
    <w:p>
      <w:pPr>
        <w:jc w:val="both"/>
        <w:ind w:left="4" w:firstLine="645"/>
        <w:spacing w:after="0" w:line="302" w:lineRule="auto"/>
        <w:tabs>
          <w:tab w:leader="none" w:pos="1577" w:val="left"/>
        </w:tabs>
        <w:numPr>
          <w:ilvl w:val="1"/>
          <w:numId w:val="10"/>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The Company and the Subsidiaries are insured by insurers of recognized financial responsibility against such losses and risks and in such amounts as are prudent and customary in the businesses in which the Company and the Subsidiaries are engaged.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54" w:lineRule="exact"/>
        <w:rPr>
          <w:rFonts w:ascii="Arial" w:cs="Arial" w:eastAsia="Arial" w:hAnsi="Arial"/>
          <w:sz w:val="16"/>
          <w:szCs w:val="16"/>
          <w:color w:val="auto"/>
        </w:rPr>
      </w:pPr>
    </w:p>
    <w:p>
      <w:pPr>
        <w:jc w:val="both"/>
        <w:ind w:left="4" w:firstLine="645"/>
        <w:spacing w:after="0" w:line="284" w:lineRule="auto"/>
        <w:tabs>
          <w:tab w:leader="none" w:pos="1686" w:val="left"/>
        </w:tabs>
        <w:numPr>
          <w:ilvl w:val="1"/>
          <w:numId w:val="10"/>
        </w:numPr>
        <w:rPr>
          <w:rFonts w:ascii="Arial" w:cs="Arial" w:eastAsia="Arial" w:hAnsi="Arial"/>
          <w:sz w:val="16"/>
          <w:szCs w:val="16"/>
          <w:color w:val="auto"/>
        </w:rPr>
      </w:pPr>
      <w:r>
        <w:rPr>
          <w:rFonts w:ascii="Arial" w:cs="Arial" w:eastAsia="Arial" w:hAnsi="Arial"/>
          <w:sz w:val="16"/>
          <w:szCs w:val="16"/>
          <w:u w:val="single" w:color="auto"/>
          <w:color w:val="auto"/>
        </w:rPr>
        <w:t>Transactions With Affiliates and Employees</w:t>
      </w:r>
      <w:r>
        <w:rPr>
          <w:rFonts w:ascii="Arial" w:cs="Arial" w:eastAsia="Arial" w:hAnsi="Arial"/>
          <w:sz w:val="16"/>
          <w:szCs w:val="16"/>
          <w:color w:val="auto"/>
        </w:rPr>
        <w:t>. Except as set forth in the SEC Reports, none of the officers or directors of the Company or any such Subsidiary and, to the knowledge of the Company, none of the employees of the Company or any such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Company, any entity in which any officer, director, or any such employee has a substantial interest or is an officer, director, trustee or partner, in each case in excess of $120,000 other than for</w:t>
      </w:r>
    </w:p>
    <w:p>
      <w:pPr>
        <w:spacing w:after="0" w:line="4" w:lineRule="exact"/>
        <w:rPr>
          <w:rFonts w:ascii="Arial" w:cs="Arial" w:eastAsia="Arial" w:hAnsi="Arial"/>
          <w:sz w:val="16"/>
          <w:szCs w:val="16"/>
          <w:color w:val="auto"/>
        </w:rPr>
      </w:pPr>
    </w:p>
    <w:p>
      <w:pPr>
        <w:ind w:left="4" w:hanging="4"/>
        <w:spacing w:after="0" w:line="261" w:lineRule="auto"/>
        <w:tabs>
          <w:tab w:leader="none" w:pos="237"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payment of salary or consulting fees for services rendered, (ii) reimbursement for expenses incurred on behalf of the Company and (iii) other employee benefits, including stock option agreements under any stock option plan of the Company.</w:t>
      </w:r>
    </w:p>
    <w:p>
      <w:pPr>
        <w:spacing w:after="0" w:line="183" w:lineRule="exact"/>
        <w:rPr>
          <w:rFonts w:ascii="Arial" w:cs="Arial" w:eastAsia="Arial" w:hAnsi="Arial"/>
          <w:sz w:val="18"/>
          <w:szCs w:val="18"/>
          <w:color w:val="auto"/>
        </w:rPr>
      </w:pPr>
    </w:p>
    <w:p>
      <w:pPr>
        <w:jc w:val="both"/>
        <w:ind w:left="4" w:firstLine="645"/>
        <w:spacing w:after="0" w:line="276" w:lineRule="auto"/>
        <w:tabs>
          <w:tab w:leader="none" w:pos="1705" w:val="left"/>
        </w:tabs>
        <w:numPr>
          <w:ilvl w:val="1"/>
          <w:numId w:val="11"/>
        </w:numPr>
        <w:rPr>
          <w:rFonts w:ascii="Arial" w:cs="Arial" w:eastAsia="Arial" w:hAnsi="Arial"/>
          <w:sz w:val="17"/>
          <w:szCs w:val="17"/>
          <w:color w:val="auto"/>
        </w:rPr>
      </w:pPr>
      <w:r>
        <w:rPr>
          <w:rFonts w:ascii="Arial" w:cs="Arial" w:eastAsia="Arial" w:hAnsi="Arial"/>
          <w:sz w:val="17"/>
          <w:szCs w:val="17"/>
          <w:u w:val="single" w:color="auto"/>
          <w:color w:val="auto"/>
        </w:rPr>
        <w:t>Certain Fees</w:t>
      </w:r>
      <w:r>
        <w:rPr>
          <w:rFonts w:ascii="Arial" w:cs="Arial" w:eastAsia="Arial" w:hAnsi="Arial"/>
          <w:sz w:val="17"/>
          <w:szCs w:val="17"/>
          <w:color w:val="auto"/>
        </w:rPr>
        <w:t>. Except for the fees paid to Merriman Capital, Inc., no brokerage or finder’s fees or commissions are or will be payable by the Company or any such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72" w:lineRule="exact"/>
        <w:rPr>
          <w:rFonts w:ascii="Arial" w:cs="Arial" w:eastAsia="Arial" w:hAnsi="Arial"/>
          <w:sz w:val="17"/>
          <w:szCs w:val="17"/>
          <w:color w:val="auto"/>
        </w:rPr>
      </w:pPr>
    </w:p>
    <w:p>
      <w:pPr>
        <w:jc w:val="both"/>
        <w:ind w:left="4" w:firstLine="645"/>
        <w:spacing w:after="0" w:line="286" w:lineRule="auto"/>
        <w:tabs>
          <w:tab w:leader="none" w:pos="1886" w:val="left"/>
        </w:tabs>
        <w:numPr>
          <w:ilvl w:val="1"/>
          <w:numId w:val="11"/>
        </w:numPr>
        <w:rPr>
          <w:rFonts w:ascii="Arial" w:cs="Arial" w:eastAsia="Arial" w:hAnsi="Arial"/>
          <w:sz w:val="17"/>
          <w:szCs w:val="17"/>
          <w:color w:val="auto"/>
        </w:rPr>
      </w:pPr>
      <w:r>
        <w:rPr>
          <w:rFonts w:ascii="Arial" w:cs="Arial" w:eastAsia="Arial" w:hAnsi="Arial"/>
          <w:sz w:val="17"/>
          <w:szCs w:val="17"/>
          <w:u w:val="single" w:color="auto"/>
          <w:color w:val="auto"/>
        </w:rPr>
        <w:t>Private Placement</w:t>
      </w:r>
      <w:r>
        <w:rPr>
          <w:rFonts w:ascii="Arial" w:cs="Arial" w:eastAsia="Arial" w:hAnsi="Arial"/>
          <w:sz w:val="17"/>
          <w:szCs w:val="17"/>
          <w:color w:val="auto"/>
        </w:rPr>
        <w:t>. Assuming the accuracy of the Purchasers representations and warranties set forth in Section 3.2, no registration under the Securities Act is required for the offer and sale of the Shares by the Company to the Purchasers as contemplated hereby. The issuance and sale of the Shares hereunder does not contravene the rules and regulations of the Trading Market.</w:t>
      </w:r>
    </w:p>
    <w:p>
      <w:pPr>
        <w:spacing w:after="0" w:line="165" w:lineRule="exact"/>
        <w:rPr>
          <w:rFonts w:ascii="Arial" w:cs="Arial" w:eastAsia="Arial" w:hAnsi="Arial"/>
          <w:sz w:val="17"/>
          <w:szCs w:val="17"/>
          <w:color w:val="auto"/>
        </w:rPr>
      </w:pPr>
    </w:p>
    <w:p>
      <w:pPr>
        <w:jc w:val="both"/>
        <w:ind w:left="4" w:firstLine="645"/>
        <w:spacing w:after="0" w:line="286" w:lineRule="auto"/>
        <w:tabs>
          <w:tab w:leader="none" w:pos="1627" w:val="left"/>
        </w:tabs>
        <w:numPr>
          <w:ilvl w:val="1"/>
          <w:numId w:val="11"/>
        </w:numPr>
        <w:rPr>
          <w:rFonts w:ascii="Arial" w:cs="Arial" w:eastAsia="Arial" w:hAnsi="Arial"/>
          <w:sz w:val="17"/>
          <w:szCs w:val="17"/>
          <w:color w:val="auto"/>
        </w:rPr>
      </w:pPr>
      <w:r>
        <w:rPr>
          <w:rFonts w:ascii="Arial" w:cs="Arial" w:eastAsia="Arial" w:hAnsi="Arial"/>
          <w:sz w:val="17"/>
          <w:szCs w:val="17"/>
          <w:u w:val="single" w:color="auto"/>
          <w:color w:val="auto"/>
        </w:rPr>
        <w:t>Investment Company.</w:t>
      </w:r>
      <w:r>
        <w:rPr>
          <w:rFonts w:ascii="Arial" w:cs="Arial" w:eastAsia="Arial" w:hAnsi="Arial"/>
          <w:sz w:val="17"/>
          <w:szCs w:val="17"/>
          <w:color w:val="auto"/>
        </w:rPr>
        <w:t xml:space="preserve"> The Company is not, and is not an Affiliate of, and immediately after receipt of payment for the Shares, will not be or be an Affiliate of, an “investment company” within the meaning of the Investment Company Act of 1940, as amended. The Company shall conduct its business in a manner so that it will not become subject to the Investment Company Act of 1940, as amended.</w:t>
      </w:r>
    </w:p>
    <w:p>
      <w:pPr>
        <w:spacing w:after="0" w:line="165" w:lineRule="exact"/>
        <w:rPr>
          <w:rFonts w:ascii="Arial" w:cs="Arial" w:eastAsia="Arial" w:hAnsi="Arial"/>
          <w:sz w:val="17"/>
          <w:szCs w:val="17"/>
          <w:color w:val="auto"/>
        </w:rPr>
      </w:pPr>
    </w:p>
    <w:p>
      <w:pPr>
        <w:ind w:left="4" w:firstLine="645"/>
        <w:spacing w:after="0" w:line="277" w:lineRule="auto"/>
        <w:tabs>
          <w:tab w:leader="none" w:pos="1550"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Except as set forth in Schedule 3.1(v) attached hereto, other than each of the Purchasers, no Person has any right to cause the Company to effect the registration under the Securities Act of any securities of the Company.</w:t>
      </w:r>
    </w:p>
    <w:p>
      <w:pPr>
        <w:spacing w:after="0" w:line="170" w:lineRule="exact"/>
        <w:rPr>
          <w:rFonts w:ascii="Arial" w:cs="Arial" w:eastAsia="Arial" w:hAnsi="Arial"/>
          <w:sz w:val="18"/>
          <w:szCs w:val="18"/>
          <w:color w:val="auto"/>
        </w:rPr>
      </w:pPr>
    </w:p>
    <w:p>
      <w:pPr>
        <w:jc w:val="both"/>
        <w:ind w:left="4" w:firstLine="645"/>
        <w:spacing w:after="0" w:line="255" w:lineRule="auto"/>
        <w:tabs>
          <w:tab w:leader="none" w:pos="1577"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Listing and Maintenance Requirements</w:t>
      </w:r>
      <w:r>
        <w:rPr>
          <w:rFonts w:ascii="Arial" w:cs="Arial" w:eastAsia="Arial" w:hAnsi="Arial"/>
          <w:sz w:val="18"/>
          <w:szCs w:val="18"/>
          <w:color w:val="auto"/>
        </w:rPr>
        <w:t>. The Company’s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the listing and maintenance requirements of the OTCQB.</w:t>
      </w:r>
    </w:p>
    <w:p>
      <w:pPr>
        <w:spacing w:after="0" w:line="203"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-130175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665" w:right="239" w:bottom="1440" w:gutter="0" w:footer="0" w:header="0"/>
        </w:sectPr>
      </w:pPr>
    </w:p>
    <w:bookmarkStart w:id="13" w:name="page14"/>
    <w:bookmarkEnd w:id="13"/>
    <w:p>
      <w:pPr>
        <w:jc w:val="both"/>
        <w:ind w:left="-540" w:firstLine="645"/>
        <w:spacing w:after="0" w:line="293" w:lineRule="auto"/>
        <w:tabs>
          <w:tab w:leader="none" w:pos="984"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Disclosure</w:t>
      </w:r>
      <w:r>
        <w:rPr>
          <w:rFonts w:ascii="Arial" w:cs="Arial" w:eastAsia="Arial" w:hAnsi="Arial"/>
          <w:sz w:val="16"/>
          <w:szCs w:val="16"/>
          <w:color w:val="auto"/>
        </w:rPr>
        <w:t>. All disclosure furnished by or on behalf of the Company to the Purchasers regarding the Company, its business and the transactions contemplated hereby, including the Disclosure Schedules to this Agreement, is true and correct and does not contain any untrue statement of a material fact or omit to state any material fact necessary in order to make the statements made therein, in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light of the circumstances under which they were made and when made, not misleading.</w:t>
      </w:r>
    </w:p>
    <w:p>
      <w:pPr>
        <w:spacing w:after="0" w:line="164" w:lineRule="exact"/>
        <w:rPr>
          <w:rFonts w:ascii="Arial" w:cs="Arial" w:eastAsia="Arial" w:hAnsi="Arial"/>
          <w:sz w:val="16"/>
          <w:szCs w:val="16"/>
          <w:color w:val="auto"/>
        </w:rPr>
      </w:pPr>
    </w:p>
    <w:p>
      <w:pPr>
        <w:jc w:val="both"/>
        <w:ind w:left="-540" w:firstLine="645"/>
        <w:spacing w:after="0" w:line="297" w:lineRule="auto"/>
        <w:tabs>
          <w:tab w:leader="none" w:pos="1223"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No Integrated Offering</w:t>
      </w:r>
      <w:r>
        <w:rPr>
          <w:rFonts w:ascii="Arial" w:cs="Arial" w:eastAsia="Arial" w:hAnsi="Arial"/>
          <w:sz w:val="16"/>
          <w:szCs w:val="16"/>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Shares to be integrated with prior offerings by the Company for purposes of (i) the Securities Act which would require the registration of any such securities under the Securities Act, or (ii) any applicable shareholder approval provisions of any Trading Market on which any of the securities of the Company are listed or designated.</w:t>
      </w:r>
    </w:p>
    <w:p>
      <w:pPr>
        <w:spacing w:after="0" w:line="158" w:lineRule="exact"/>
        <w:rPr>
          <w:rFonts w:ascii="Arial" w:cs="Arial" w:eastAsia="Arial" w:hAnsi="Arial"/>
          <w:sz w:val="16"/>
          <w:szCs w:val="16"/>
          <w:color w:val="auto"/>
        </w:rPr>
      </w:pPr>
    </w:p>
    <w:p>
      <w:pPr>
        <w:jc w:val="both"/>
        <w:ind w:left="-540" w:firstLine="645"/>
        <w:spacing w:after="0" w:line="259" w:lineRule="auto"/>
        <w:tabs>
          <w:tab w:leader="none" w:pos="1128"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Tax Status</w:t>
      </w:r>
      <w:r>
        <w:rPr>
          <w:rFonts w:ascii="Arial" w:cs="Arial" w:eastAsia="Arial" w:hAnsi="Arial"/>
          <w:sz w:val="18"/>
          <w:szCs w:val="18"/>
          <w:color w:val="auto"/>
        </w:rPr>
        <w:t>. Except for matters that would not, individually or in the aggregate, have or reasonably be expected to result in a Material Adverse Effect, the Company and each Subsidiary has filed all necessary federal, state and foreign income and franchise tax returns and has paid or accrued all taxes shown as due thereon, and the Company has no knowledge of a tax deficiency which has been asserted or threatened against the Company or any Subsidiary.</w:t>
      </w:r>
    </w:p>
    <w:p>
      <w:pPr>
        <w:spacing w:after="0" w:line="186" w:lineRule="exact"/>
        <w:rPr>
          <w:rFonts w:ascii="Arial" w:cs="Arial" w:eastAsia="Arial" w:hAnsi="Arial"/>
          <w:sz w:val="18"/>
          <w:szCs w:val="18"/>
          <w:color w:val="auto"/>
        </w:rPr>
      </w:pPr>
    </w:p>
    <w:p>
      <w:pPr>
        <w:jc w:val="both"/>
        <w:ind w:left="-540" w:firstLine="645"/>
        <w:spacing w:after="0" w:line="264" w:lineRule="auto"/>
        <w:tabs>
          <w:tab w:leader="none" w:pos="1095"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No General Solicitation</w:t>
      </w:r>
      <w:r>
        <w:rPr>
          <w:rFonts w:ascii="Arial" w:cs="Arial" w:eastAsia="Arial" w:hAnsi="Arial"/>
          <w:sz w:val="18"/>
          <w:szCs w:val="18"/>
          <w:color w:val="auto"/>
        </w:rPr>
        <w:t>. Neither the Company nor any person acting on behalf of the Company has offered or sold any of the Shares by any form of general solicitation or general advertising. The Company has offered the Shares for sale only to the Purchasers and certain other “accredited investors” within the meaning of Rule 501 under the Securities Act.</w:t>
      </w:r>
    </w:p>
    <w:p>
      <w:pPr>
        <w:spacing w:after="0" w:line="181" w:lineRule="exact"/>
        <w:rPr>
          <w:sz w:val="20"/>
          <w:szCs w:val="20"/>
          <w:color w:val="auto"/>
        </w:rPr>
      </w:pPr>
    </w:p>
    <w:p>
      <w:pPr>
        <w:jc w:val="both"/>
        <w:ind w:left="-540" w:firstLine="645"/>
        <w:spacing w:after="0" w:line="255" w:lineRule="auto"/>
        <w:tabs>
          <w:tab w:leader="none" w:pos="1063"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Foreign Corrupt Practices.</w:t>
      </w:r>
      <w:r>
        <w:rPr>
          <w:rFonts w:ascii="Arial" w:cs="Arial" w:eastAsia="Arial" w:hAnsi="Arial"/>
          <w:sz w:val="18"/>
          <w:szCs w:val="18"/>
          <w:color w:val="auto"/>
        </w:rPr>
        <w:t xml:space="preserve"> Neither the Company, nor to the knowledge of the Company, any agent or other person acting on behalf of the Company,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made by any person acting on its behalf of which the Company is aware) which is in violation of law, or (iv) violated in any material respect any provision of the Foreign Corrupt Practices Act of 1977, as amended.</w:t>
      </w:r>
    </w:p>
    <w:p>
      <w:pPr>
        <w:spacing w:after="0" w:line="193" w:lineRule="exact"/>
        <w:rPr>
          <w:rFonts w:ascii="Arial" w:cs="Arial" w:eastAsia="Arial" w:hAnsi="Arial"/>
          <w:sz w:val="18"/>
          <w:szCs w:val="18"/>
          <w:color w:val="auto"/>
        </w:rPr>
      </w:pPr>
    </w:p>
    <w:p>
      <w:pPr>
        <w:jc w:val="both"/>
        <w:ind w:left="-540" w:firstLine="645"/>
        <w:spacing w:after="0" w:line="259" w:lineRule="auto"/>
        <w:tabs>
          <w:tab w:leader="none" w:pos="1052"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No Disagreements with Accountants and Lawyers.</w:t>
      </w:r>
      <w:r>
        <w:rPr>
          <w:rFonts w:ascii="Arial" w:cs="Arial" w:eastAsia="Arial" w:hAnsi="Arial"/>
          <w:sz w:val="18"/>
          <w:szCs w:val="18"/>
          <w:color w:val="auto"/>
        </w:rPr>
        <w:t xml:space="preserve"> There are no disagreements of any kind presently existing, or reasonably anticipated by the Company to arise, between the Company and the accountants and lawyers formerly or presently employed by the Company which could affect the Company’s ability to perform any of its obligations under any of the Transaction Documents, and the Company is current with respect to any fees owed to its accountants and lawyers.</w:t>
      </w:r>
    </w:p>
    <w:p>
      <w:pPr>
        <w:spacing w:after="0" w:line="186" w:lineRule="exact"/>
        <w:rPr>
          <w:rFonts w:ascii="Arial" w:cs="Arial" w:eastAsia="Arial" w:hAnsi="Arial"/>
          <w:sz w:val="18"/>
          <w:szCs w:val="18"/>
          <w:color w:val="auto"/>
        </w:rPr>
      </w:pPr>
    </w:p>
    <w:p>
      <w:pPr>
        <w:jc w:val="both"/>
        <w:ind w:left="-540" w:firstLine="645"/>
        <w:spacing w:after="0" w:line="255" w:lineRule="auto"/>
        <w:tabs>
          <w:tab w:leader="none" w:pos="982"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No Disqualification Events</w:t>
      </w:r>
      <w:r>
        <w:rPr>
          <w:rFonts w:ascii="Arial" w:cs="Arial" w:eastAsia="Arial" w:hAnsi="Arial"/>
          <w:sz w:val="18"/>
          <w:szCs w:val="18"/>
          <w:color w:val="auto"/>
        </w:rPr>
        <w:t>. None of the Company, any of its predecessors, any affiliated issuer, any director, executive officer, other officer of the Company participating in the offering contemplated hereby, any beneficial owner of 20% or more of the Company's outstanding voting equity securities, calculated on the basis of voting power, nor any promoter (as that term is defined in Rule 405 under the 1933 Act) connected with the Company in any capacity at the time of sale (each, an “Issuer Covered Person”) is subject to any of the “Bad Actor” disqualifications described in Rule 506(d)(1)(i) to (viii) under the 1933 Act (a “Disqualification Event”), except for a Disqualification Event covered by Rule 506(d)(2) or (d)(3). The Company has exercised reasonable care to determine whether any Issuer Covered Person is subject to a Disqualification Event.</w:t>
      </w:r>
    </w:p>
    <w:p>
      <w:pPr>
        <w:spacing w:after="0" w:line="2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-130175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14" w:name="page15"/>
    <w:bookmarkEnd w:id="14"/>
    <w:p>
      <w:pPr>
        <w:ind w:left="660"/>
        <w:spacing w:after="0"/>
        <w:tabs>
          <w:tab w:leader="none" w:pos="15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u w:val="single" w:color="auto"/>
          <w:color w:val="auto"/>
        </w:rPr>
        <w:t>Representations and Warranties of the Purchasers</w:t>
      </w:r>
    </w:p>
    <w:p>
      <w:pPr>
        <w:spacing w:after="0" w:line="225" w:lineRule="exact"/>
        <w:rPr>
          <w:sz w:val="20"/>
          <w:szCs w:val="20"/>
          <w:color w:val="auto"/>
        </w:rPr>
      </w:pPr>
    </w:p>
    <w:p>
      <w:pPr>
        <w:ind w:firstLine="8"/>
        <w:spacing w:after="0" w:line="277" w:lineRule="auto"/>
        <w:tabs>
          <w:tab w:leader="none" w:pos="1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Purchaser, for itself and for no other Purchaser, hereby represents and warrants as of the date hereof and as of the Closing Date to the Company as follows:</w:t>
      </w:r>
    </w:p>
    <w:p>
      <w:pPr>
        <w:spacing w:after="0" w:line="170" w:lineRule="exact"/>
        <w:rPr>
          <w:rFonts w:ascii="Arial" w:cs="Arial" w:eastAsia="Arial" w:hAnsi="Arial"/>
          <w:sz w:val="18"/>
          <w:szCs w:val="18"/>
          <w:color w:val="auto"/>
        </w:rPr>
      </w:pPr>
    </w:p>
    <w:p>
      <w:pPr>
        <w:jc w:val="both"/>
        <w:ind w:left="660" w:firstLine="645"/>
        <w:spacing w:after="0" w:line="270" w:lineRule="auto"/>
        <w:tabs>
          <w:tab w:leader="none" w:pos="2350" w:val="left"/>
        </w:tabs>
        <w:numPr>
          <w:ilvl w:val="1"/>
          <w:numId w:val="14"/>
        </w:numPr>
        <w:rPr>
          <w:rFonts w:ascii="Arial" w:cs="Arial" w:eastAsia="Arial" w:hAnsi="Arial"/>
          <w:sz w:val="17"/>
          <w:szCs w:val="17"/>
          <w:color w:val="auto"/>
        </w:rPr>
      </w:pPr>
      <w:r>
        <w:rPr>
          <w:rFonts w:ascii="Arial" w:cs="Arial" w:eastAsia="Arial" w:hAnsi="Arial"/>
          <w:sz w:val="17"/>
          <w:szCs w:val="17"/>
          <w:u w:val="single" w:color="auto"/>
          <w:color w:val="auto"/>
        </w:rPr>
        <w:t>Organization; Authority</w:t>
      </w:r>
      <w:r>
        <w:rPr>
          <w:rFonts w:ascii="Arial" w:cs="Arial" w:eastAsia="Arial" w:hAnsi="Arial"/>
          <w:sz w:val="17"/>
          <w:szCs w:val="17"/>
          <w:color w:val="auto"/>
        </w:rPr>
        <w:t>. Such Purchaser is an entity duly organized, validly existing and in good standing under the laws of the jurisdiction of its organization with full right, corporate or partnership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or similar action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77" w:lineRule="exact"/>
        <w:rPr>
          <w:rFonts w:ascii="Arial" w:cs="Arial" w:eastAsia="Arial" w:hAnsi="Arial"/>
          <w:sz w:val="17"/>
          <w:szCs w:val="17"/>
          <w:color w:val="auto"/>
        </w:rPr>
      </w:pPr>
    </w:p>
    <w:p>
      <w:pPr>
        <w:jc w:val="both"/>
        <w:ind w:left="660" w:firstLine="645"/>
        <w:spacing w:after="0" w:line="254" w:lineRule="auto"/>
        <w:tabs>
          <w:tab w:leader="none" w:pos="2342"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Own Account</w:t>
      </w:r>
      <w:r>
        <w:rPr>
          <w:rFonts w:ascii="Arial" w:cs="Arial" w:eastAsia="Arial" w:hAnsi="Arial"/>
          <w:sz w:val="18"/>
          <w:szCs w:val="18"/>
          <w:color w:val="auto"/>
        </w:rPr>
        <w:t>. Such Purchaser understands that the Shares are “restricted securities” and have not been registered under the Securities Act or any applicable state securities law and is acquiring the Shares as principal for its own account and not with a view to or for distributing or reselling such Shares or any part thereof in violation of the Securities Act or any applicable state securities law, has no present intention of distributing any of such Shares in violation of the Securities Act or any applicable state securities law and has no direct or indirect arrangement or understandings with any other persons to distribute or regarding the distribution of such Shares (this representation and warranty not limiting such Purchaser’s right to sell the Shares pursuant to the Registration Statement or otherwise in compliance with applicable federal and state securities laws) in violation of the Securities Act or any applicable state securities law. Such Purchaser is acquiring the Shares hereunder in the ordinary course of its business.</w:t>
      </w:r>
    </w:p>
    <w:p>
      <w:pPr>
        <w:spacing w:after="0" w:line="192" w:lineRule="exact"/>
        <w:rPr>
          <w:rFonts w:ascii="Arial" w:cs="Arial" w:eastAsia="Arial" w:hAnsi="Arial"/>
          <w:sz w:val="18"/>
          <w:szCs w:val="18"/>
          <w:color w:val="auto"/>
        </w:rPr>
      </w:pPr>
    </w:p>
    <w:p>
      <w:pPr>
        <w:jc w:val="both"/>
        <w:ind w:left="660" w:firstLine="645"/>
        <w:spacing w:after="0" w:line="312" w:lineRule="auto"/>
        <w:tabs>
          <w:tab w:leader="none" w:pos="2228"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Purchaser Status</w:t>
      </w:r>
      <w:r>
        <w:rPr>
          <w:rFonts w:ascii="Arial" w:cs="Arial" w:eastAsia="Arial" w:hAnsi="Arial"/>
          <w:sz w:val="16"/>
          <w:szCs w:val="16"/>
          <w:color w:val="auto"/>
        </w:rPr>
        <w:t>. At the time such Purchaser was offered the Shares, it was, and at the date hereof it is either: (i) an “accredited investor” as defined in Rule 501(a)(1), (a)(2), (a)(3), (a)(7) or (a)(8) under the Securities Act or (ii) a “qualified institutional buyer” as defined in Rule 144A(a) under the Securities Act. Such Purchaser is not required to be registered as a broker-dealer under Section 15 of the Exchange Act.</w:t>
      </w:r>
    </w:p>
    <w:p>
      <w:pPr>
        <w:spacing w:after="0" w:line="146" w:lineRule="exact"/>
        <w:rPr>
          <w:rFonts w:ascii="Arial" w:cs="Arial" w:eastAsia="Arial" w:hAnsi="Arial"/>
          <w:sz w:val="16"/>
          <w:szCs w:val="16"/>
          <w:color w:val="auto"/>
        </w:rPr>
      </w:pPr>
    </w:p>
    <w:p>
      <w:pPr>
        <w:jc w:val="both"/>
        <w:ind w:left="660" w:firstLine="645"/>
        <w:spacing w:after="0" w:line="259" w:lineRule="auto"/>
        <w:tabs>
          <w:tab w:leader="none" w:pos="2598"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Experience of Such Purchaser</w:t>
      </w:r>
      <w:r>
        <w:rPr>
          <w:rFonts w:ascii="Arial" w:cs="Arial" w:eastAsia="Arial" w:hAnsi="Arial"/>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Shares, and has so evaluated the merits and risks of such investment. Such Purchaser is able to bear the economic risk of an investment in the Shares and, at the present time, is able to afford a complete loss of such investment.</w:t>
      </w:r>
    </w:p>
    <w:p>
      <w:pPr>
        <w:spacing w:after="0" w:line="186" w:lineRule="exact"/>
        <w:rPr>
          <w:rFonts w:ascii="Arial" w:cs="Arial" w:eastAsia="Arial" w:hAnsi="Arial"/>
          <w:sz w:val="18"/>
          <w:szCs w:val="18"/>
          <w:color w:val="auto"/>
        </w:rPr>
      </w:pPr>
    </w:p>
    <w:p>
      <w:pPr>
        <w:jc w:val="both"/>
        <w:ind w:left="660" w:firstLine="645"/>
        <w:spacing w:after="0" w:line="264" w:lineRule="auto"/>
        <w:tabs>
          <w:tab w:leader="none" w:pos="2444"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General Solicitation</w:t>
      </w:r>
      <w:r>
        <w:rPr>
          <w:rFonts w:ascii="Arial" w:cs="Arial" w:eastAsia="Arial" w:hAnsi="Arial"/>
          <w:sz w:val="18"/>
          <w:szCs w:val="18"/>
          <w:color w:val="auto"/>
        </w:rPr>
        <w:t>. Such Purchaser is not purchasing the Shares as a result of any advertisement, article, notice or other communication regarding the Shares published in any newspaper, magazine or similar media or broadcast over television or radio or presented at any seminar or any other general solicitation or general advertisement.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 w:name="page16"/>
    <w:bookmarkEnd w:id="15"/>
    <w:p>
      <w:pPr>
        <w:jc w:val="both"/>
        <w:ind w:firstLine="645"/>
        <w:spacing w:after="0" w:line="288" w:lineRule="auto"/>
        <w:tabs>
          <w:tab w:leader="none" w:pos="1602"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Short Sales and Confidentiality Prior To The Date Hereof</w:t>
      </w:r>
      <w:r>
        <w:rPr>
          <w:rFonts w:ascii="Arial" w:cs="Arial" w:eastAsia="Arial" w:hAnsi="Arial"/>
          <w:sz w:val="16"/>
          <w:szCs w:val="16"/>
          <w:color w:val="auto"/>
        </w:rPr>
        <w:t xml:space="preserve">.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from the time that such Purchaser first received a term sheet (written or oral) from the Company or any other Person representing the Company setting forth the material terms of the transactions contemplated hereunder until the date hereof </w:t>
      </w:r>
      <w:r>
        <w:rPr>
          <w:rFonts w:ascii="Arial" w:cs="Arial" w:eastAsia="Arial" w:hAnsi="Arial"/>
          <w:sz w:val="16"/>
          <w:szCs w:val="16"/>
          <w:u w:val="single" w:color="auto"/>
          <w:color w:val="auto"/>
        </w:rPr>
        <w:t>(“Discussion Time”)</w:t>
      </w:r>
      <w:r>
        <w:rPr>
          <w:rFonts w:ascii="Arial" w:cs="Arial" w:eastAsia="Arial" w:hAnsi="Arial"/>
          <w:sz w:val="16"/>
          <w:szCs w:val="16"/>
          <w:color w:val="auto"/>
        </w:rPr>
        <w:t>.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Shares covered by this Agreement. Other than to other Persons party to this Agreement, such Purchaser has maintained the confidentiality of all disclosures made to it in connection with this transaction (including the existence and terms of this transaction).</w:t>
      </w:r>
    </w:p>
    <w:p>
      <w:pPr>
        <w:spacing w:after="0" w:line="169"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OTHER AGREEMENTS OF THE PARTIES</w:t>
      </w:r>
    </w:p>
    <w:p>
      <w:pPr>
        <w:spacing w:after="0" w:line="21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Transfer Restrictions.</w:t>
      </w:r>
    </w:p>
    <w:p>
      <w:pPr>
        <w:spacing w:after="0" w:line="225" w:lineRule="exact"/>
        <w:rPr>
          <w:sz w:val="20"/>
          <w:szCs w:val="20"/>
          <w:color w:val="auto"/>
        </w:rPr>
      </w:pPr>
    </w:p>
    <w:p>
      <w:pPr>
        <w:jc w:val="both"/>
        <w:ind w:firstLine="645"/>
        <w:spacing w:after="0" w:line="255" w:lineRule="auto"/>
        <w:tabs>
          <w:tab w:leader="none" w:pos="169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Shares may only be disposed of in compliance with state and federal securities laws. In connection with any transfer of Shares other than pursuant to an effective registration statement or Rule 144, to the Company or to an Affiliate of a Purchaser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Shares under the Securities Act. As a condition of transfer, any such transferee shall agree in writing to be bound by the terms of this Agreement and shall have the rights of a Purchaser under this Agreement and the Registration Rights Agreement.</w:t>
      </w:r>
    </w:p>
    <w:p>
      <w:pPr>
        <w:spacing w:after="0" w:line="189" w:lineRule="exact"/>
        <w:rPr>
          <w:rFonts w:ascii="Arial" w:cs="Arial" w:eastAsia="Arial" w:hAnsi="Arial"/>
          <w:sz w:val="18"/>
          <w:szCs w:val="18"/>
          <w:color w:val="auto"/>
        </w:rPr>
      </w:pPr>
    </w:p>
    <w:p>
      <w:pPr>
        <w:ind w:left="1740" w:hanging="1095"/>
        <w:spacing w:after="0"/>
        <w:tabs>
          <w:tab w:leader="none" w:pos="17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Purchasers agree to the imprinting, so long as is required by this Section 4.1, of a legend on any of the Shares in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following form:</w:t>
      </w:r>
    </w:p>
    <w:p>
      <w:pPr>
        <w:spacing w:after="0" w:line="211" w:lineRule="exact"/>
        <w:rPr>
          <w:sz w:val="20"/>
          <w:szCs w:val="20"/>
          <w:color w:val="auto"/>
        </w:rPr>
      </w:pPr>
    </w:p>
    <w:p>
      <w:pPr>
        <w:jc w:val="both"/>
        <w:ind w:left="640"/>
        <w:spacing w:after="0" w:line="253" w:lineRule="auto"/>
        <w:rPr>
          <w:sz w:val="20"/>
          <w:szCs w:val="20"/>
          <w:color w:val="auto"/>
        </w:rPr>
      </w:pPr>
      <w:r>
        <w:rPr>
          <w:rFonts w:ascii="Arial" w:cs="Arial" w:eastAsia="Arial" w:hAnsi="Arial"/>
          <w:sz w:val="18"/>
          <w:szCs w:val="18"/>
          <w:color w:val="auto"/>
        </w:rPr>
        <w:t>THE SECURITIES REPRESENTED BY THIS CERTIFICATE HAVE NOT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w:t>
      </w:r>
    </w:p>
    <w:p>
      <w:pPr>
        <w:spacing w:after="0" w:line="19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acknowledges and agrees that a Purchaser may from time to time pledge pursuant to a bona fide margin agreement with a registered broker-dealer or grant a security interest in some or all of the Shares to a financial institution that is an “accredited investor” as defined in Rule 501(a) under the Securities Act and who agrees to be bound by the provisions of this Agreement and the Registration Rights Agreement and, if required under the terms of such arrangement, such Purchaser may transfer pledged or secured Shares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Shares may reasonably request in connection with a pledge or transfer of the Shares, including, if the Shares are subject to registration pursuant to the Registration Rights Agreement, the preparation and filing of any required prospectus supplement under Rule 424(b)(3) under the Securities Act or other applicable provision of the Securities Act to appropriately amend the list of Selling Stockholders thereunder.</w:t>
      </w:r>
    </w:p>
    <w:p>
      <w:pPr>
        <w:spacing w:after="0" w:line="19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-130175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16" w:name="page17"/>
    <w:bookmarkEnd w:id="16"/>
    <w:p>
      <w:pPr>
        <w:jc w:val="both"/>
        <w:ind w:left="-540" w:firstLine="645"/>
        <w:spacing w:after="0" w:line="284" w:lineRule="auto"/>
        <w:tabs>
          <w:tab w:leader="none" w:pos="1109"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Removal of Legends</w:t>
      </w:r>
      <w:r>
        <w:rPr>
          <w:rFonts w:ascii="Arial" w:cs="Arial" w:eastAsia="Arial" w:hAnsi="Arial"/>
          <w:sz w:val="16"/>
          <w:szCs w:val="16"/>
          <w:color w:val="auto"/>
        </w:rPr>
        <w:t>. Certificates evidencing the Shares shall not be required to contain the legend set forth in Section 4.1(b) above or any other legend (i) while a registration covering the resale of such shares is effective under the Securities Act, (ii) following any sale of such Shares pursuant to Rule 144 (assuming the transferor is not an affiliate of the Company), (iii) if such Shares are eligible to be sold, assigned or transferred under Rule 144 (provided that a Purchaser provides the Company with reasonable assurances that such Shares are eligible for sale, assignment or transfer under Rule 144, which shall not include an opinion of counsel), (iv) in connection with a sale, assignment or other transfer (other than under Rule 144), provided that such Purchaser provides the Company with an opinion of counsel to such Purchaser, in a generally acceptable form, to the effect that such sale, assignment or transfer of the Shares may be made without registration under the applicable requirements of the Securities Act or (v) if such legend is not required under applicable requirements of the Securities Act (including, without limitation, controlling judicial interpretations and pronouncements issued by the SEC). If a legend is not required pursuant to the foregoing, the Company shall no later than three (3) Trading Days following the delivery by a Purchaser to the Company or the transfer agent (with notice to the Company) of a legended certificate representing such Shares (endorsed or with stock powers attached, signatures guaranteed, and otherwise in form necessary to affect the reissuance and/or transfer, if applicable), together with any other deliveries from such Purchaser as may be required above in this Section 4.1(c), as directed by such Purchaser, either: (A) provided that the Company’s transfer agent is participating in the Depostory Trust Company (“DTC”) Fast Automated Securities Transfer Program, credit the aggregate number of shares of Common Stock to which such Purchaser shall be entitled to such Purchaser’s or its designee’s balance account with DTC through its Deposit/Withdrawal at Custodian system or (B) if the Company’s transfer agent is not participating in the DTC Fast Automated Securities Transfer Program, issue and deliver at the Company’s expense (via reputable overnight courier) to such Purchaser, a certificate representing such Shares that is free from all restrictive and other legends, registered in the name of such Purchaser or its designee (the date by which such credit is so required to be made to the balance account of such Purchaser’s or such Purchaser’s nominee with DTC or such certificate is required to be delivered to such Purchaser pursuant to the foregoing is referred to herein as the “Required Delivery Date”). The Company shall be responsible for any transfer agent fees or DTC fees with respect to any issuance of such Shares or the removal of any legends with respect to any Shares in accordance herewith.</w:t>
      </w:r>
    </w:p>
    <w:p>
      <w:pPr>
        <w:spacing w:after="0" w:line="181" w:lineRule="exact"/>
        <w:rPr>
          <w:rFonts w:ascii="Arial" w:cs="Arial" w:eastAsia="Arial" w:hAnsi="Arial"/>
          <w:sz w:val="16"/>
          <w:szCs w:val="16"/>
          <w:color w:val="auto"/>
        </w:rPr>
      </w:pPr>
    </w:p>
    <w:p>
      <w:pPr>
        <w:jc w:val="both"/>
        <w:ind w:left="-540" w:firstLine="645"/>
        <w:spacing w:after="0" w:line="285" w:lineRule="auto"/>
        <w:tabs>
          <w:tab w:leader="none" w:pos="1034"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Failure to Timely Deliver; Buy-In</w:t>
      </w:r>
      <w:r>
        <w:rPr>
          <w:rFonts w:ascii="Arial" w:cs="Arial" w:eastAsia="Arial" w:hAnsi="Arial"/>
          <w:sz w:val="16"/>
          <w:szCs w:val="16"/>
          <w:color w:val="auto"/>
        </w:rPr>
        <w:t>. If the Company fails to (i) issue and deliver (or cause to be delivered) to a Purchaser by the Required Delivery Date a certificate representing the Shares so delivered to the Company by such Purchaser that is free from all restrictive and other legends or (ii) credit the balance account of such Purchaser’s or such Purchaser’s nominee with DTC for such number of such Shares so delivered to the Company, and if on or after the Required Delivery Date such Purchaser (or any other Person in respect, or on behalf, of such Purchaser) purchases (in an open market transaction or otherwise) shares of Common Stock to deliver in satisfaction of a sale by such Purchaser of all or any portion of the number of shares of Common Stock, or a sale of a number of shares of Common Stock equal to all or any portion of the number of shares of Common Stock, that such Purchaser so anticipated receiving from the Company without any restrictive legend, then, in addition to all other remedies available to such Purchaser, the Company shall, within three (3) Trading Days after such Purchaser’s request and in such Purchaser’s sole discretion, either (i) pay cash to such Purchaser in an amount equal to such Purchaser’s total purchase price (including brokerage commissions and other out-of-pocket expenses, if any) for the shares of Common Stock so purchased (including brokerage commissions and other out-of-pocket expenses, if any) (the “Buy-In Price”), at which point the Company’s obligation to so deliver such certificate or credit such Purchaser’s balance account shall terminate and such shares shall be cancelled, or (ii) promptly honor its obligation to so deliver to such Purchaser a certificate or certificates or credit such Purchaser’s DTC account representing such number of shares of Common Stock that would have been so delivered if the Company timely complied with its obligations hereunder and pay cash to such Purchaser in an amount equal to the excess (if any) of the Buy-In Price over the product of (A) such number of shares of Common Stock (as the case may be) that the Company was required to deliver to such Purchaser by the Required Delivery Date multiplied by (B) the lowest closing sale price of the Common Stock on any Trading Day during the period commencing on the date of the delivery by such Purchaser to the Company of the applicable shares of Common Stock and ending on the date of such delivery and payment under this clause (ii).</w:t>
      </w:r>
    </w:p>
    <w:p>
      <w:pPr>
        <w:spacing w:after="0" w:line="200" w:lineRule="exact"/>
        <w:rPr>
          <w:sz w:val="20"/>
          <w:szCs w:val="20"/>
          <w:color w:val="auto"/>
        </w:rPr>
      </w:pPr>
    </w:p>
    <w:p>
      <w:pPr>
        <w:spacing w:after="0" w:line="20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-130175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17" w:name="page18"/>
    <w:bookmarkEnd w:id="17"/>
    <w:p>
      <w:pPr>
        <w:ind w:left="660"/>
        <w:spacing w:after="0"/>
        <w:tabs>
          <w:tab w:leader="none" w:pos="15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Furnishing of Information</w:t>
      </w:r>
    </w:p>
    <w:p>
      <w:pPr>
        <w:spacing w:after="0" w:line="225" w:lineRule="exact"/>
        <w:rPr>
          <w:sz w:val="20"/>
          <w:szCs w:val="20"/>
          <w:color w:val="auto"/>
        </w:rPr>
      </w:pPr>
    </w:p>
    <w:p>
      <w:pPr>
        <w:jc w:val="both"/>
        <w:ind w:firstLine="8"/>
        <w:spacing w:after="0" w:line="255" w:lineRule="auto"/>
        <w:tabs>
          <w:tab w:leader="none" w:pos="101"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Until the time that no Purchaser owns Shares, the Company covenants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 As long as any Purchaser owns Shares, if the Company is not required to file reports pursuant to the Exchange Act, it will prepare and furnish to the Purchasers and make publicly available in accordance with Rule 144(c) such information as is required for the Purchasers to sell the Shares under Rule 144. The Company further covenants that it will take such further action as any holder of Shares may reasonably request, to the extent required from time to time to enable such Person to sell such Shares without registration under the Securities Act within the requirements of the exemption provided by Rule 144.</w:t>
      </w:r>
    </w:p>
    <w:p>
      <w:pPr>
        <w:spacing w:after="0" w:line="189"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Integration</w:t>
      </w:r>
    </w:p>
    <w:p>
      <w:pPr>
        <w:spacing w:after="0" w:line="225" w:lineRule="exact"/>
        <w:rPr>
          <w:sz w:val="20"/>
          <w:szCs w:val="20"/>
          <w:color w:val="auto"/>
        </w:rPr>
      </w:pPr>
    </w:p>
    <w:p>
      <w:pPr>
        <w:jc w:val="both"/>
        <w:ind w:firstLine="8"/>
        <w:spacing w:after="0" w:line="257" w:lineRule="auto"/>
        <w:tabs>
          <w:tab w:leader="none" w:pos="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shall not sell, offer for sale or solicit offers to buy or otherwise negotiate in respect of any security (as defined in Section 2 of the Securities Act) that would be integrated with the offer or sale of the Shares in a manner that would require the registration under the Securities Act of the sale of the Shares to the Purchasers or that would be integrated with the offer or sale of the Shares to the Purchasers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Securities Laws Disclosure; Publicity.</w:t>
      </w:r>
      <w:r>
        <w:rPr>
          <w:rFonts w:ascii="Arial" w:cs="Arial" w:eastAsia="Arial" w:hAnsi="Arial"/>
          <w:sz w:val="17"/>
          <w:szCs w:val="17"/>
          <w:color w:val="auto"/>
        </w:rPr>
        <w:t xml:space="preserve"> The Company shall, by 8:30 a.m. (New York City time) on the Trading Day immediately following the date hereof, issue a Current Report on Form 8-K, disclosing the material terms of the transactions contemplated hereby, and filing the Transaction Documents as exhibits thereto. From and after the issuance of the filing of such Current Report on Form 8-K, the Company shall have disclosed all material, non-public information (if any) regarding the Company or any of its Subsidiaries delivered to any of the Purchasers by the Company or any of its Subsidiaries, or any of their respective officers, directors, employees or agents in connection with the transactions contemplated by the Transaction Documents. The Company and each Purchaser shall consult with each other in issuing any other press releases with respect to the transactions contemplated hereby, and neither the Company nor any Purchaser shall issue any such press release 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(i) as required by federal securities law in connection with (A) any registration statement contemplated by the Registration Rights Agreement and (B) the filing of final Transaction Documents (including signature pages thereto) with the Commission and (ii) to the extent such disclosure is required by law or Trading Market regulations, in which case the Company shall provide the Purchasers with prior notice of such disclosure permitted under this clause (ii).</w:t>
      </w:r>
    </w:p>
    <w:p>
      <w:pPr>
        <w:spacing w:after="0" w:line="1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Non-Public Information</w:t>
      </w:r>
      <w:r>
        <w:rPr>
          <w:rFonts w:ascii="Arial" w:cs="Arial" w:eastAsia="Arial" w:hAnsi="Arial"/>
          <w:sz w:val="18"/>
          <w:szCs w:val="18"/>
          <w:color w:val="auto"/>
        </w:rPr>
        <w:t>. Except with respect to the material terms and conditions of the transactions contemplated by the Transaction Documents, the Company covenants and agrees that neither it nor any other Person acting on its behalf will provide any Purchaser or its agents or counsel with any information that the Company believes constitutes material non-public information, unless prior thereto such Purchaser shall have executed a written agreement regarding the confidentiality and use of such information. The Company understands and confirms that each Purchaser shall be relying on the foregoing covenant in effecting transactions in securities of the Company.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8" w:name="page19"/>
    <w:bookmarkEnd w:id="18"/>
    <w:p>
      <w:pPr>
        <w:jc w:val="both"/>
        <w:ind w:firstLine="648"/>
        <w:spacing w:after="0" w:line="259"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Use of Proceeds</w:t>
      </w:r>
      <w:r>
        <w:rPr>
          <w:rFonts w:ascii="Arial" w:cs="Arial" w:eastAsia="Arial" w:hAnsi="Arial"/>
          <w:sz w:val="18"/>
          <w:szCs w:val="18"/>
          <w:color w:val="auto"/>
        </w:rPr>
        <w:t xml:space="preserve">. The Company shall use the net proceeds from the sale of the Shares hereunder (i) to consummate the transactions with Vicis Capital Master Fund as set forth on </w:t>
      </w:r>
      <w:r>
        <w:rPr>
          <w:rFonts w:ascii="Arial" w:cs="Arial" w:eastAsia="Arial" w:hAnsi="Arial"/>
          <w:sz w:val="18"/>
          <w:szCs w:val="18"/>
          <w:u w:val="single" w:color="auto"/>
          <w:color w:val="auto"/>
        </w:rPr>
        <w:t>Schedule 4.6</w:t>
      </w:r>
      <w:r>
        <w:rPr>
          <w:rFonts w:ascii="Arial" w:cs="Arial" w:eastAsia="Arial" w:hAnsi="Arial"/>
          <w:sz w:val="18"/>
          <w:szCs w:val="18"/>
          <w:color w:val="auto"/>
        </w:rPr>
        <w:t xml:space="preserve"> attached hereto and (ii) for working capital purposes and shall not use such proceeds for the satisfaction of any portion of the Company’s debt (other than payment of trade payables in the ordinary course of the Company’s business and prior practices).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Reservation of Common Stock</w:t>
      </w:r>
      <w:r>
        <w:rPr>
          <w:rFonts w:ascii="Arial" w:cs="Arial" w:eastAsia="Arial" w:hAnsi="Arial"/>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Listing of Common Stock</w:t>
      </w:r>
      <w:r>
        <w:rPr>
          <w:rFonts w:ascii="Arial" w:cs="Arial" w:eastAsia="Arial" w:hAnsi="Arial"/>
          <w:sz w:val="18"/>
          <w:szCs w:val="18"/>
          <w:color w:val="auto"/>
        </w:rPr>
        <w:t>.(a) The Company hereby agrees to use best efforts to maintain the listing of the Common Stock on a Trading Market, and as soon as reasonably practicable following the Closing (but not later than the earlier of the Effective Date and the first anniversary of the Closing Date) to list all of the Shares on such Trading Market. The Company further agrees, if the Company applies to have the Common Stock traded on any other Trading Market, it will include in such application all of the Shares, and will take such other action as is necessary to cause all of the Shares to be listed on such other Trading Market as promptly as possible. The Company will take all action reasonably necessary to continue the listing and trading of its Common Stock on a Trading Market and will comply in all respects with the Company’s reporting, filing and other obligations under the bylaws or rules of the Trading Market.</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Equal Treatment of Purchasers</w:t>
      </w:r>
      <w:r>
        <w:rPr>
          <w:rFonts w:ascii="Arial" w:cs="Arial" w:eastAsia="Arial" w:hAnsi="Arial"/>
          <w:sz w:val="18"/>
          <w:szCs w:val="18"/>
          <w:color w:val="auto"/>
        </w:rPr>
        <w:t>. No consideration shall be offered or paid to any Person to amend or consent to a waiver or modification of any provision of any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Shares or otherwise.</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4.10 </w:t>
      </w:r>
      <w:r>
        <w:rPr>
          <w:rFonts w:ascii="Arial" w:cs="Arial" w:eastAsia="Arial" w:hAnsi="Arial"/>
          <w:sz w:val="17"/>
          <w:szCs w:val="17"/>
          <w:u w:val="single" w:color="auto"/>
          <w:color w:val="auto"/>
        </w:rPr>
        <w:t>Short Sales and Confidentiality After The Date Hereof</w:t>
      </w:r>
      <w:r>
        <w:rPr>
          <w:rFonts w:ascii="Arial" w:cs="Arial" w:eastAsia="Arial" w:hAnsi="Arial"/>
          <w:sz w:val="17"/>
          <w:szCs w:val="17"/>
          <w:color w:val="auto"/>
        </w:rPr>
        <w:t>. Each Purchaser, severally and not jointly with the other Purchasers, covenants that neither it nor any Affiliate acting on its behalf or pursuant to any understanding with it will execute any Short Sales during the period commencing at the Discussion Time and ending at the time that the transactions contemplated by this Agreement are first publicly announced as described in Section 4.4. Each Purchaser, severally and not jointly with the other Purchasers, covenants that until such time as the transactions contemplated by this Agreement are publicly disclosed by the Company as described in Section 4.4, such Purchaser will maintain the confidentiality of the existence and terms of this transaction and the information included in the Disclosure Schedules. Notwithstanding the foregoing, no Purchaser makes any representation, warranty or covenant hereby that it will not engage in Short Sales in the securities of the Company after the time that the transactions contemplated by this Agreement are first publicly announced as described in Section 4.4.</w:t>
      </w:r>
    </w:p>
    <w:p>
      <w:pPr>
        <w:spacing w:after="0" w:line="1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Delivery of Shares After Closing</w:t>
      </w:r>
      <w:r>
        <w:rPr>
          <w:rFonts w:ascii="Arial" w:cs="Arial" w:eastAsia="Arial" w:hAnsi="Arial"/>
          <w:sz w:val="18"/>
          <w:szCs w:val="18"/>
          <w:color w:val="auto"/>
        </w:rPr>
        <w:t>. The Company shall deliver, or cause to be delivered, the respective Shares purchased by each Purchaser to such Purchaser within 3 Trading Days of the Closing Date.</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4.12 </w:t>
      </w:r>
      <w:r>
        <w:rPr>
          <w:rFonts w:ascii="Arial" w:cs="Arial" w:eastAsia="Arial" w:hAnsi="Arial"/>
          <w:sz w:val="17"/>
          <w:szCs w:val="17"/>
          <w:u w:val="single" w:color="auto"/>
          <w:color w:val="auto"/>
        </w:rPr>
        <w:t>Form D; Blue Sky Filings</w:t>
      </w:r>
      <w:r>
        <w:rPr>
          <w:rFonts w:ascii="Arial" w:cs="Arial" w:eastAsia="Arial" w:hAnsi="Arial"/>
          <w:sz w:val="17"/>
          <w:szCs w:val="17"/>
          <w:color w:val="auto"/>
        </w:rPr>
        <w:t>. The Company agrees to timely file a Form D with respect to the Shares as required under Regulation D and to provide a copy thereof, promptly upon request of any Purchaser. The Company shall take such action as the Company shall reasonably determine is necessary in order to obtain an exemption for, or to qualify the Shares for, sale to the Purchasers at the Closing under applicable securities or “Blue Sky” laws of the states of the United States, and shall provide evidence of such actions promptly upon request of any Purchaser.</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0180" w:type="dxa"/>
            <w:vAlign w:val="bottom"/>
          </w:tcPr>
          <w:p>
            <w:pPr>
              <w:jc w:val="center"/>
              <w:ind w:right="1150"/>
              <w:spacing w:after="0"/>
              <w:rPr>
                <w:sz w:val="20"/>
                <w:szCs w:val="20"/>
                <w:color w:val="auto"/>
              </w:rPr>
            </w:pPr>
            <w:r>
              <w:rPr>
                <w:rFonts w:ascii="Arial" w:cs="Arial" w:eastAsia="Arial" w:hAnsi="Arial"/>
                <w:sz w:val="18"/>
                <w:szCs w:val="18"/>
                <w:color w:val="auto"/>
                <w:w w:val="95"/>
              </w:rPr>
              <w:t>ARTICLE V.</w:t>
            </w:r>
          </w:p>
        </w:tc>
      </w:tr>
      <w:tr>
        <w:trPr>
          <w:trHeight w:val="230"/>
        </w:trPr>
        <w:tc>
          <w:tcPr>
            <w:tcW w:w="580" w:type="dxa"/>
            <w:vAlign w:val="bottom"/>
          </w:tcPr>
          <w:p>
            <w:pPr>
              <w:spacing w:after="0"/>
              <w:rPr>
                <w:sz w:val="20"/>
                <w:szCs w:val="20"/>
                <w:color w:val="auto"/>
              </w:rPr>
            </w:pPr>
          </w:p>
        </w:tc>
        <w:tc>
          <w:tcPr>
            <w:tcW w:w="10180" w:type="dxa"/>
            <w:vAlign w:val="bottom"/>
          </w:tcPr>
          <w:p>
            <w:pPr>
              <w:jc w:val="center"/>
              <w:ind w:right="1150"/>
              <w:spacing w:after="0"/>
              <w:rPr>
                <w:sz w:val="20"/>
                <w:szCs w:val="20"/>
                <w:color w:val="auto"/>
              </w:rPr>
            </w:pPr>
            <w:r>
              <w:rPr>
                <w:rFonts w:ascii="Arial" w:cs="Arial" w:eastAsia="Arial" w:hAnsi="Arial"/>
                <w:sz w:val="18"/>
                <w:szCs w:val="18"/>
                <w:color w:val="auto"/>
                <w:w w:val="97"/>
              </w:rPr>
              <w:t>MISCELLANEOUS</w:t>
            </w:r>
          </w:p>
        </w:tc>
      </w:tr>
      <w:tr>
        <w:trPr>
          <w:trHeight w:val="432"/>
        </w:trPr>
        <w:tc>
          <w:tcPr>
            <w:tcW w:w="580" w:type="dxa"/>
            <w:vAlign w:val="bottom"/>
          </w:tcPr>
          <w:p>
            <w:pPr>
              <w:jc w:val="right"/>
              <w:ind w:right="270"/>
              <w:spacing w:after="0"/>
              <w:rPr>
                <w:sz w:val="20"/>
                <w:szCs w:val="20"/>
                <w:color w:val="auto"/>
              </w:rPr>
            </w:pPr>
            <w:r>
              <w:rPr>
                <w:rFonts w:ascii="Arial" w:cs="Arial" w:eastAsia="Arial" w:hAnsi="Arial"/>
                <w:sz w:val="18"/>
                <w:szCs w:val="18"/>
                <w:color w:val="auto"/>
                <w:w w:val="79"/>
              </w:rPr>
              <w:t>5.1</w:t>
            </w:r>
          </w:p>
        </w:tc>
        <w:tc>
          <w:tcPr>
            <w:tcW w:w="10180" w:type="dxa"/>
            <w:vAlign w:val="bottom"/>
          </w:tcPr>
          <w:p>
            <w:pPr>
              <w:ind w:left="360"/>
              <w:spacing w:after="0"/>
              <w:rPr>
                <w:sz w:val="20"/>
                <w:szCs w:val="20"/>
                <w:color w:val="auto"/>
              </w:rPr>
            </w:pPr>
            <w:r>
              <w:rPr>
                <w:rFonts w:ascii="Arial" w:cs="Arial" w:eastAsia="Arial" w:hAnsi="Arial"/>
                <w:sz w:val="18"/>
                <w:szCs w:val="18"/>
                <w:u w:val="single" w:color="auto"/>
                <w:color w:val="auto"/>
                <w:w w:val="91"/>
              </w:rPr>
              <w:t>Termination</w:t>
            </w:r>
            <w:r>
              <w:rPr>
                <w:rFonts w:ascii="Arial" w:cs="Arial" w:eastAsia="Arial" w:hAnsi="Arial"/>
                <w:sz w:val="18"/>
                <w:szCs w:val="18"/>
                <w:color w:val="auto"/>
                <w:w w:val="91"/>
              </w:rPr>
              <w:t>. This Agreement may be terminated by any Purchaser, as to such Purchaser’s obligations hereunder only and without any</w:t>
            </w:r>
          </w:p>
        </w:tc>
      </w:tr>
    </w:tbl>
    <w:p>
      <w:pPr>
        <w:jc w:val="both"/>
        <w:spacing w:after="0" w:line="255" w:lineRule="auto"/>
        <w:rPr>
          <w:sz w:val="20"/>
          <w:szCs w:val="20"/>
          <w:color w:val="auto"/>
        </w:rPr>
      </w:pPr>
      <w:r>
        <w:rPr>
          <w:rFonts w:ascii="Arial" w:cs="Arial" w:eastAsia="Arial" w:hAnsi="Arial"/>
          <w:sz w:val="18"/>
          <w:szCs w:val="18"/>
          <w:color w:val="auto"/>
        </w:rPr>
        <w:t xml:space="preserve">effect whatsoever on the obligations between the Company and the other Purchasers, by written notice to the other parties, if the Closing has not been consummated on or before March 31, 2014;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termination will affect the right of any party to sue for any breach by the other party (or parties).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9" w:name="page20"/>
    <w:bookmarkEnd w:id="19"/>
    <w:p>
      <w:pPr>
        <w:jc w:val="both"/>
        <w:ind w:firstLine="648"/>
        <w:spacing w:after="0" w:line="25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Fees and Expenses</w:t>
      </w:r>
      <w:r>
        <w:rPr>
          <w:rFonts w:ascii="Arial" w:cs="Arial" w:eastAsia="Arial" w:hAnsi="Arial"/>
          <w:sz w:val="18"/>
          <w:szCs w:val="18"/>
          <w:color w:val="auto"/>
        </w:rPr>
        <w:t>. Except as expressly set forth in the Transaction Documents to the contrary, and except with respect to a $5,000 legal retainer payable by the Company to Purchaser’s counsel, the law firm of Greenberg Traurig, LLP,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stamp taxes and other taxes and duties levied in connection with the delivery of any Shares to the Purchasers.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The Transaction Documents, together with the exhibits and schedules thereto, contain the entire understanding of the parties with respect to the subject matter hereof and supersede all prior agreements and understandings, oral or written, with respect to such matters, which the parties acknowledge have been merged into such documents, exhibits and schedules.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Notices</w:t>
      </w:r>
      <w:r>
        <w:rPr>
          <w:rFonts w:ascii="Arial" w:cs="Arial" w:eastAsia="Arial" w:hAnsi="Arial"/>
          <w:sz w:val="16"/>
          <w:szCs w:val="16"/>
          <w:color w:val="auto"/>
        </w:rPr>
        <w:t>. Any and all notices or other communications or deliveries required or permitted to be provided hereunder shall be in writing and shall be deemed given and effective on the earliest of (a) the date of transmission, if such notice or communication is delivered via facsimile at the facsimile number set forth on the signature pages attached hereto prior to 5:30 p.m. (New York City time) on a Trading Day, (b) the next Trading Day after the date of transmission, if such notice or communication is delivered via facsimile at the facsimile number set forth on the signature pages attached hereto on a day that</w:t>
      </w:r>
    </w:p>
    <w:p>
      <w:pPr>
        <w:spacing w:after="0" w:line="2"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is not a Trading Day or later than 5:30 p.m. (New York City time) on any Trading Day, (c)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20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Amendments; Waivers.</w:t>
      </w:r>
      <w:r>
        <w:rPr>
          <w:rFonts w:ascii="Arial" w:cs="Arial" w:eastAsia="Arial" w:hAnsi="Arial"/>
          <w:sz w:val="18"/>
          <w:szCs w:val="18"/>
          <w:color w:val="auto"/>
        </w:rPr>
        <w:t xml:space="preserve"> No provision of this Agreement may be waived or amended except in a written instrument signed, in the case of an amendment, by the Company and the Purchasers of at least 51% of the Shares still held by the Purchasers or, in the case of a waiver, by the party against whom enforcement of any such waived provision is sought; provided that in no event shall any amendment adversely affect a Purchaser's rights and obligations hereunder in a manner different from any other Purchaser without such Purchaser's prior written consent.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tcPr>
          <w:p>
            <w:pPr>
              <w:jc w:val="right"/>
              <w:ind w:right="630"/>
              <w:spacing w:after="0"/>
              <w:rPr>
                <w:sz w:val="20"/>
                <w:szCs w:val="20"/>
                <w:color w:val="auto"/>
              </w:rPr>
            </w:pPr>
            <w:r>
              <w:rPr>
                <w:rFonts w:ascii="Arial" w:cs="Arial" w:eastAsia="Arial" w:hAnsi="Arial"/>
                <w:sz w:val="18"/>
                <w:szCs w:val="18"/>
                <w:color w:val="auto"/>
              </w:rPr>
              <w:t>5.6</w:t>
            </w:r>
          </w:p>
        </w:tc>
        <w:tc>
          <w:tcPr>
            <w:tcW w:w="9800" w:type="dxa"/>
            <w:vAlign w:val="bottom"/>
            <w:gridSpan w:val="3"/>
          </w:tcPr>
          <w:p>
            <w:pPr>
              <w:jc w:val="right"/>
              <w:spacing w:after="0"/>
              <w:rPr>
                <w:sz w:val="20"/>
                <w:szCs w:val="20"/>
                <w:color w:val="auto"/>
              </w:rPr>
            </w:pPr>
            <w:r>
              <w:rPr>
                <w:rFonts w:ascii="Arial" w:cs="Arial" w:eastAsia="Arial" w:hAnsi="Arial"/>
                <w:sz w:val="18"/>
                <w:szCs w:val="18"/>
                <w:color w:val="auto"/>
                <w:w w:val="91"/>
              </w:rPr>
              <w:t>Headings. The headings herein are for convenience only, do not constitute a part of this Agreement and shall not be deemed to limit or</w:t>
            </w:r>
          </w:p>
        </w:tc>
      </w:tr>
      <w:tr>
        <w:trPr>
          <w:trHeight w:val="20"/>
        </w:trPr>
        <w:tc>
          <w:tcPr>
            <w:tcW w:w="1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r>
        <w:trPr>
          <w:trHeight w:val="237"/>
        </w:trPr>
        <w:tc>
          <w:tcPr>
            <w:tcW w:w="11400" w:type="dxa"/>
            <w:vAlign w:val="bottom"/>
            <w:gridSpan w:val="4"/>
          </w:tcPr>
          <w:p>
            <w:pPr>
              <w:jc w:val="right"/>
              <w:ind w:right="8880"/>
              <w:spacing w:after="0"/>
              <w:rPr>
                <w:sz w:val="20"/>
                <w:szCs w:val="20"/>
                <w:color w:val="auto"/>
              </w:rPr>
            </w:pPr>
            <w:r>
              <w:rPr>
                <w:rFonts w:ascii="Arial" w:cs="Arial" w:eastAsia="Arial" w:hAnsi="Arial"/>
                <w:sz w:val="18"/>
                <w:szCs w:val="18"/>
                <w:color w:val="auto"/>
                <w:w w:val="90"/>
              </w:rPr>
              <w:t>affect any of the provisions hereof.</w:t>
            </w:r>
          </w:p>
        </w:tc>
      </w:tr>
      <w:tr>
        <w:trPr>
          <w:trHeight w:val="392"/>
        </w:trPr>
        <w:tc>
          <w:tcPr>
            <w:tcW w:w="1600" w:type="dxa"/>
            <w:vAlign w:val="bottom"/>
          </w:tcPr>
          <w:p>
            <w:pPr>
              <w:jc w:val="right"/>
              <w:ind w:right="630"/>
              <w:spacing w:after="0"/>
              <w:rPr>
                <w:sz w:val="20"/>
                <w:szCs w:val="20"/>
                <w:color w:val="auto"/>
              </w:rPr>
            </w:pPr>
            <w:r>
              <w:rPr>
                <w:rFonts w:ascii="Arial" w:cs="Arial" w:eastAsia="Arial" w:hAnsi="Arial"/>
                <w:sz w:val="18"/>
                <w:szCs w:val="18"/>
                <w:color w:val="auto"/>
              </w:rPr>
              <w:t>5.7</w:t>
            </w:r>
          </w:p>
        </w:tc>
        <w:tc>
          <w:tcPr>
            <w:tcW w:w="9800" w:type="dxa"/>
            <w:vAlign w:val="bottom"/>
            <w:gridSpan w:val="3"/>
          </w:tcPr>
          <w:p>
            <w:pPr>
              <w:jc w:val="right"/>
              <w:spacing w:after="0"/>
              <w:rPr>
                <w:sz w:val="20"/>
                <w:szCs w:val="20"/>
                <w:color w:val="auto"/>
              </w:rPr>
            </w:pPr>
            <w:r>
              <w:rPr>
                <w:rFonts w:ascii="Arial" w:cs="Arial" w:eastAsia="Arial" w:hAnsi="Arial"/>
                <w:sz w:val="18"/>
                <w:szCs w:val="18"/>
                <w:color w:val="auto"/>
                <w:w w:val="89"/>
              </w:rPr>
              <w:t>Successors and Assigns. This Agreement shall be binding upon and inure to the benefit of the parties and their successors and permitted</w:t>
            </w:r>
          </w:p>
        </w:tc>
      </w:tr>
      <w:tr>
        <w:trPr>
          <w:trHeight w:val="20"/>
        </w:trPr>
        <w:tc>
          <w:tcPr>
            <w:tcW w:w="160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Shares, provided such transferee agrees in writing to be bound, with respect to the transferred Shares, by the provisions of the Transaction Documents that apply to the “Purchasers.”</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No Third-Party Beneficiaries</w:t>
      </w:r>
      <w:r>
        <w:rPr>
          <w:rFonts w:ascii="Arial" w:cs="Arial" w:eastAsia="Arial" w:hAnsi="Arial"/>
          <w:sz w:val="17"/>
          <w:szCs w:val="17"/>
          <w:color w:val="auto"/>
        </w:rPr>
        <w:t>. This Agreement is intended for the benefit of the parties hereto and their respective successors and permitted assigns and is not for the benefit of, nor may any provision hereof be enforced by, any other Person, except as otherwise set forth in Section 4.8.</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0" w:name="page21"/>
    <w:bookmarkEnd w:id="20"/>
    <w:p>
      <w:pPr>
        <w:jc w:val="both"/>
        <w:ind w:firstLine="648"/>
        <w:spacing w:after="0" w:line="286"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u w:val="single" w:color="auto"/>
          <w:color w:val="auto"/>
        </w:rPr>
        <w:t>Governing Law</w:t>
      </w:r>
      <w:r>
        <w:rPr>
          <w:rFonts w:ascii="Arial" w:cs="Arial" w:eastAsia="Arial" w:hAnsi="Arial"/>
          <w:sz w:val="16"/>
          <w:szCs w:val="16"/>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employees or agents) shall be commenced exclusively in the state and federal courts sitting in the City of New York. Each party hereby irrevocably submits to the exclusive jurisdiction of the state and federal courts sitting in the City of New York,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either party shall commence an action or proceeding to enforce any provisions of the Transaction Documents, then the prevailing party in such action or proceeding shall be reimbursed by the other party for its reasonable attorneys’ fees and other costs and expenses incurred with the investigation, preparation and prosecution of such action or proceeding.</w:t>
      </w:r>
    </w:p>
    <w:p>
      <w:pPr>
        <w:spacing w:after="0" w:line="169"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6"/>
          <w:szCs w:val="16"/>
          <w:u w:val="single" w:color="auto"/>
          <w:color w:val="auto"/>
        </w:rPr>
        <w:t>Survival</w:t>
      </w:r>
      <w:r>
        <w:rPr>
          <w:rFonts w:ascii="Arial" w:cs="Arial" w:eastAsia="Arial" w:hAnsi="Arial"/>
          <w:sz w:val="16"/>
          <w:szCs w:val="16"/>
          <w:color w:val="auto"/>
        </w:rPr>
        <w:t>. The representations and warranties contained herein shall survive the Closing and the delivery of the Shares.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Execution</w:t>
      </w:r>
      <w:r>
        <w:rPr>
          <w:rFonts w:ascii="Arial" w:cs="Arial" w:eastAsia="Arial" w:hAnsi="Arial"/>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Replacement of Shares</w:t>
      </w:r>
      <w:r>
        <w:rPr>
          <w:rFonts w:ascii="Arial" w:cs="Arial" w:eastAsia="Arial" w:hAnsi="Arial"/>
          <w:sz w:val="18"/>
          <w:szCs w:val="18"/>
          <w:color w:val="auto"/>
        </w:rPr>
        <w:t>. If any certificate or instrument evidencing any Shares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Shares.</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5.14 </w:t>
      </w:r>
      <w:r>
        <w:rPr>
          <w:rFonts w:ascii="Arial" w:cs="Arial" w:eastAsia="Arial" w:hAnsi="Arial"/>
          <w:sz w:val="16"/>
          <w:szCs w:val="16"/>
          <w:u w:val="single" w:color="auto"/>
          <w:color w:val="auto"/>
        </w:rPr>
        <w:t>Independent Nature of Purchasers’ Obligations and Rights</w:t>
      </w:r>
      <w:r>
        <w:rPr>
          <w:rFonts w:ascii="Arial" w:cs="Arial" w:eastAsia="Arial" w:hAnsi="Arial"/>
          <w:sz w:val="16"/>
          <w:szCs w:val="16"/>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their review and negotiation of the Transaction Documents. Other than the Investor Agreement, the Company has elected to provide all Purchasers with the same terms and Transaction Documents for the convenience of the Company and not because it was required or requested to do so by the Purchasers.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1" w:name="page22"/>
    <w:bookmarkEnd w:id="21"/>
    <w:p>
      <w:pPr>
        <w:jc w:val="both"/>
        <w:ind w:right="20" w:firstLine="648"/>
        <w:spacing w:after="0" w:line="308" w:lineRule="auto"/>
        <w:rPr>
          <w:sz w:val="20"/>
          <w:szCs w:val="20"/>
          <w:color w:val="auto"/>
        </w:rPr>
      </w:pPr>
      <w:r>
        <w:rPr>
          <w:rFonts w:ascii="Arial" w:cs="Arial" w:eastAsia="Arial" w:hAnsi="Arial"/>
          <w:sz w:val="17"/>
          <w:szCs w:val="17"/>
          <w:color w:val="auto"/>
        </w:rPr>
        <w:t xml:space="preserve">5.15 </w:t>
      </w:r>
      <w:r>
        <w:rPr>
          <w:rFonts w:ascii="Arial" w:cs="Arial" w:eastAsia="Arial" w:hAnsi="Arial"/>
          <w:sz w:val="17"/>
          <w:szCs w:val="17"/>
          <w:u w:val="single" w:color="auto"/>
          <w:color w:val="auto"/>
        </w:rPr>
        <w:t>Saturdays, Sundays, Holidays, etc.</w:t>
      </w:r>
      <w:r>
        <w:rPr>
          <w:rFonts w:ascii="Arial" w:cs="Arial" w:eastAsia="Arial" w:hAnsi="Arial"/>
          <w:sz w:val="17"/>
          <w:szCs w:val="17"/>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u w:val="single" w:color="auto"/>
          <w:color w:val="auto"/>
        </w:rPr>
        <w:t>Construction</w:t>
      </w:r>
      <w:r>
        <w:rPr>
          <w:rFonts w:ascii="Arial" w:cs="Arial" w:eastAsia="Arial" w:hAnsi="Arial"/>
          <w:sz w:val="18"/>
          <w:szCs w:val="18"/>
          <w:color w:val="auto"/>
        </w:rPr>
        <w:t>. The parties agree that each of them and/or their respective counsel has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hereto.</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5.17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2" w:name="page23"/>
    <w:bookmarkEnd w:id="22"/>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Securities Purchase Agreement to be duly executed by their respective authorized signatories as of the date first indicated above.</w:t>
      </w:r>
    </w:p>
    <w:p>
      <w:pPr>
        <w:spacing w:after="0" w:line="369"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7080" w:type="dxa"/>
            <w:vAlign w:val="bottom"/>
          </w:tcPr>
          <w:p>
            <w:pPr>
              <w:spacing w:after="0"/>
              <w:rPr>
                <w:sz w:val="20"/>
                <w:szCs w:val="20"/>
                <w:color w:val="auto"/>
              </w:rPr>
            </w:pPr>
            <w:r>
              <w:rPr>
                <w:rFonts w:ascii="Arial" w:cs="Arial" w:eastAsia="Arial" w:hAnsi="Arial"/>
                <w:sz w:val="18"/>
                <w:szCs w:val="18"/>
                <w:b w:val="1"/>
                <w:bCs w:val="1"/>
                <w:color w:val="auto"/>
              </w:rPr>
              <w:t>OPTIMIZERX CORP.</w:t>
            </w:r>
          </w:p>
        </w:tc>
        <w:tc>
          <w:tcPr>
            <w:tcW w:w="3580" w:type="dxa"/>
            <w:vAlign w:val="bottom"/>
            <w:gridSpan w:val="2"/>
          </w:tcPr>
          <w:p>
            <w:pPr>
              <w:spacing w:after="0"/>
              <w:rPr>
                <w:sz w:val="20"/>
                <w:szCs w:val="20"/>
                <w:color w:val="auto"/>
              </w:rPr>
            </w:pPr>
            <w:r>
              <w:rPr>
                <w:rFonts w:ascii="Arial" w:cs="Arial" w:eastAsia="Arial" w:hAnsi="Arial"/>
                <w:sz w:val="18"/>
                <w:szCs w:val="18"/>
                <w:color w:val="auto"/>
              </w:rPr>
              <w:t>Address for Notice:</w:t>
            </w:r>
          </w:p>
        </w:tc>
      </w:tr>
      <w:tr>
        <w:trPr>
          <w:trHeight w:val="20"/>
        </w:trPr>
        <w:tc>
          <w:tcPr>
            <w:tcW w:w="70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37"/>
        </w:trPr>
        <w:tc>
          <w:tcPr>
            <w:tcW w:w="7080" w:type="dxa"/>
            <w:vAlign w:val="bottom"/>
          </w:tcPr>
          <w:p>
            <w:pPr>
              <w:spacing w:after="0"/>
              <w:rPr>
                <w:sz w:val="20"/>
                <w:szCs w:val="20"/>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w w:val="89"/>
              </w:rPr>
              <w:t>400 Water Street, Suite 200, Rochester, MI 48307</w:t>
            </w:r>
          </w:p>
        </w:tc>
      </w:tr>
      <w:tr>
        <w:trPr>
          <w:trHeight w:val="418"/>
        </w:trPr>
        <w:tc>
          <w:tcPr>
            <w:tcW w:w="7080" w:type="dxa"/>
            <w:vAlign w:val="bottom"/>
          </w:tcPr>
          <w:p>
            <w:pPr>
              <w:spacing w:after="0"/>
              <w:rPr>
                <w:sz w:val="20"/>
                <w:szCs w:val="20"/>
                <w:color w:val="auto"/>
              </w:rPr>
            </w:pPr>
            <w:r>
              <w:rPr>
                <w:rFonts w:ascii="Arial" w:cs="Arial" w:eastAsia="Arial" w:hAnsi="Arial"/>
                <w:sz w:val="18"/>
                <w:szCs w:val="18"/>
                <w:color w:val="auto"/>
              </w:rPr>
              <w:t>By:__________________________________________</w:t>
            </w:r>
          </w:p>
        </w:tc>
        <w:tc>
          <w:tcPr>
            <w:tcW w:w="3580" w:type="dxa"/>
            <w:vAlign w:val="bottom"/>
            <w:gridSpan w:val="2"/>
          </w:tcPr>
          <w:p>
            <w:pPr>
              <w:spacing w:after="0"/>
              <w:rPr>
                <w:sz w:val="20"/>
                <w:szCs w:val="20"/>
                <w:color w:val="auto"/>
              </w:rPr>
            </w:pPr>
            <w:r>
              <w:rPr>
                <w:rFonts w:ascii="Arial" w:cs="Arial" w:eastAsia="Arial" w:hAnsi="Arial"/>
                <w:sz w:val="18"/>
                <w:szCs w:val="18"/>
                <w:color w:val="auto"/>
              </w:rPr>
              <w:t>Fax:</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Name:</w:t>
            </w:r>
          </w:p>
        </w:tc>
        <w:tc>
          <w:tcPr>
            <w:tcW w:w="1420" w:type="dxa"/>
            <w:vAlign w:val="bottom"/>
          </w:tcPr>
          <w:p>
            <w:pPr>
              <w:spacing w:after="0"/>
              <w:rPr>
                <w:sz w:val="20"/>
                <w:szCs w:val="20"/>
                <w:color w:val="auto"/>
              </w:rPr>
            </w:pPr>
            <w:r>
              <w:rPr>
                <w:rFonts w:ascii="Arial" w:cs="Arial" w:eastAsia="Arial" w:hAnsi="Arial"/>
                <w:sz w:val="18"/>
                <w:szCs w:val="18"/>
                <w:color w:val="auto"/>
              </w:rPr>
              <w:t>248-453-5529</w:t>
            </w:r>
          </w:p>
        </w:tc>
        <w:tc>
          <w:tcPr>
            <w:tcW w:w="2160" w:type="dxa"/>
            <w:vAlign w:val="bottom"/>
          </w:tcPr>
          <w:p>
            <w:pPr>
              <w:spacing w:after="0"/>
              <w:rPr>
                <w:sz w:val="18"/>
                <w:szCs w:val="18"/>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Title:</w:t>
            </w:r>
          </w:p>
        </w:tc>
        <w:tc>
          <w:tcPr>
            <w:tcW w:w="142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32"/>
        </w:trPr>
        <w:tc>
          <w:tcPr>
            <w:tcW w:w="7080" w:type="dxa"/>
            <w:vAlign w:val="bottom"/>
          </w:tcPr>
          <w:p>
            <w:pPr>
              <w:spacing w:after="0"/>
              <w:rPr>
                <w:sz w:val="20"/>
                <w:szCs w:val="20"/>
                <w:color w:val="auto"/>
              </w:rPr>
            </w:pPr>
            <w:r>
              <w:rPr>
                <w:rFonts w:ascii="Arial" w:cs="Arial" w:eastAsia="Arial" w:hAnsi="Arial"/>
                <w:sz w:val="18"/>
                <w:szCs w:val="18"/>
                <w:color w:val="auto"/>
              </w:rPr>
              <w:t>With a copy to (which shall not constitute notice):</w:t>
            </w:r>
          </w:p>
        </w:tc>
        <w:tc>
          <w:tcPr>
            <w:tcW w:w="14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418"/>
        </w:trPr>
        <w:tc>
          <w:tcPr>
            <w:tcW w:w="7080" w:type="dxa"/>
            <w:vAlign w:val="bottom"/>
          </w:tcPr>
          <w:p>
            <w:pPr>
              <w:spacing w:after="0"/>
              <w:rPr>
                <w:sz w:val="20"/>
                <w:szCs w:val="20"/>
                <w:color w:val="auto"/>
              </w:rPr>
            </w:pPr>
            <w:r>
              <w:rPr>
                <w:rFonts w:ascii="Arial" w:cs="Arial" w:eastAsia="Arial" w:hAnsi="Arial"/>
                <w:sz w:val="18"/>
                <w:szCs w:val="18"/>
                <w:color w:val="auto"/>
              </w:rPr>
              <w:t>Cane Clark, LLP</w:t>
            </w:r>
          </w:p>
        </w:tc>
        <w:tc>
          <w:tcPr>
            <w:tcW w:w="14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3273 E. Warm Springs, Rd.</w:t>
            </w:r>
          </w:p>
        </w:tc>
        <w:tc>
          <w:tcPr>
            <w:tcW w:w="142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Las Vegas, NV 89120</w:t>
            </w:r>
          </w:p>
        </w:tc>
        <w:tc>
          <w:tcPr>
            <w:tcW w:w="142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Fax: (702) 944-7100</w:t>
            </w:r>
          </w:p>
        </w:tc>
        <w:tc>
          <w:tcPr>
            <w:tcW w:w="1420" w:type="dxa"/>
            <w:vAlign w:val="bottom"/>
          </w:tcPr>
          <w:p>
            <w:pPr>
              <w:spacing w:after="0"/>
              <w:rPr>
                <w:sz w:val="20"/>
                <w:szCs w:val="20"/>
                <w:color w:val="auto"/>
              </w:rPr>
            </w:pPr>
          </w:p>
        </w:tc>
        <w:tc>
          <w:tcPr>
            <w:tcW w:w="21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FOR PURCHASER FOLLOWS]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25" w:right="25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color w:val="auto"/>
        </w:rPr>
        <w:t>[PURCHASER SIGNATURE PAGES TO SECURITIES PURCHASE 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undersigned have caused this Securities Purchase Agreement to be duly executed by their respective authorized signatories as of the date first indicated above.</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Name of Purchaser: ________________________________________________________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Purchaser</w:t>
      </w:r>
      <w:r>
        <w:rPr>
          <w:rFonts w:ascii="Arial" w:cs="Arial" w:eastAsia="Arial" w:hAnsi="Arial"/>
          <w:sz w:val="18"/>
          <w:szCs w:val="18"/>
          <w:color w:val="auto"/>
        </w:rPr>
        <w:t>: 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_____________________________________________________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Address of Purchaser:________________________________________________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Number of Purchaser: 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 of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Address for Delivery of Shares for Purchaser (if not same as address for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Subscription Amount: $_________________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Shares: _________________</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EIN Number: </w:t>
      </w:r>
      <w:r>
        <w:rPr>
          <w:rFonts w:ascii="Arial" w:cs="Arial" w:eastAsia="Arial" w:hAnsi="Arial"/>
          <w:sz w:val="18"/>
          <w:szCs w:val="18"/>
          <w:b w:val="1"/>
          <w:bCs w:val="1"/>
          <w:color w:val="auto"/>
        </w:rPr>
        <w:t>[PROVIDE THIS UNDER SEPARATE COVER]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25" w:right="259" w:bottom="1440" w:gutter="0" w:footer="0" w:header="0"/>
        </w:sectPr>
      </w:pPr>
    </w:p>
    <w:bookmarkStart w:id="24" w:name="page25"/>
    <w:bookmarkEnd w:id="24"/>
    <w:p>
      <w:pPr>
        <w:jc w:val="right"/>
        <w:ind w:right="3919"/>
        <w:spacing w:after="0"/>
        <w:rPr>
          <w:sz w:val="20"/>
          <w:szCs w:val="20"/>
          <w:color w:val="auto"/>
        </w:rPr>
      </w:pPr>
      <w:r>
        <w:rPr>
          <w:rFonts w:ascii="Arial" w:cs="Arial" w:eastAsia="Arial" w:hAnsi="Arial"/>
          <w:sz w:val="18"/>
          <w:szCs w:val="18"/>
          <w:b w:val="1"/>
          <w:bCs w:val="1"/>
          <w:color w:val="auto"/>
        </w:rPr>
        <w:t>Schedule 3.1(a)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 a Michigan corporation</w:t>
      </w:r>
    </w:p>
    <w:p>
      <w:pPr>
        <w:spacing w:after="0" w:line="2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21" w:right="1440"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Schedule 3.1(g)</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following table sets forth, as of February 7, 2014, the beneficial ownership of our common and preferred stock by each executive officer and director, by each person known by us to beneficially own more than 5% of the our common stock and by the executive officers and directors as a group. Unless otherwise noted, the address of each beneficial owner is located at 400 Water Street, Ste. 200, Rochester, MI 48307.</w:t>
      </w:r>
    </w:p>
    <w:tbl>
      <w:tblPr>
        <w:tblLayout w:type="fixed"/>
        <w:tblInd w:w="2300" w:type="dxa"/>
        <w:tblCellMar>
          <w:top w:w="0" w:type="dxa"/>
          <w:left w:w="0" w:type="dxa"/>
          <w:bottom w:w="0" w:type="dxa"/>
          <w:right w:w="0" w:type="dxa"/>
        </w:tblCellMar>
      </w:tblPr>
      <w:tr>
        <w:trPr>
          <w:trHeight w:val="396"/>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Title of</w:t>
            </w:r>
          </w:p>
        </w:tc>
        <w:tc>
          <w:tcPr>
            <w:tcW w:w="5120" w:type="dxa"/>
            <w:vAlign w:val="bottom"/>
            <w:gridSpan w:val="2"/>
          </w:tcPr>
          <w:p>
            <w:pPr>
              <w:ind w:left="60"/>
              <w:spacing w:after="0" w:line="395" w:lineRule="exact"/>
              <w:rPr>
                <w:sz w:val="20"/>
                <w:szCs w:val="20"/>
                <w:color w:val="auto"/>
              </w:rPr>
            </w:pPr>
            <w:r>
              <w:rPr>
                <w:rFonts w:ascii="Arial" w:cs="Arial" w:eastAsia="Arial" w:hAnsi="Arial"/>
                <w:sz w:val="18"/>
                <w:szCs w:val="18"/>
                <w:b w:val="1"/>
                <w:bCs w:val="1"/>
                <w:color w:val="auto"/>
                <w:w w:val="84"/>
              </w:rPr>
              <w:t xml:space="preserve">Name and address of beneficial owner </w:t>
            </w:r>
            <w:r>
              <w:rPr>
                <w:rFonts w:ascii="Arial" w:cs="Arial" w:eastAsia="Arial" w:hAnsi="Arial"/>
                <w:sz w:val="30"/>
                <w:szCs w:val="30"/>
                <w:b w:val="1"/>
                <w:bCs w:val="1"/>
                <w:color w:val="auto"/>
                <w:w w:val="84"/>
                <w:vertAlign w:val="superscript"/>
              </w:rPr>
              <w:t>(1)</w:t>
            </w:r>
            <w:r>
              <w:rPr>
                <w:rFonts w:ascii="Arial" w:cs="Arial" w:eastAsia="Arial" w:hAnsi="Arial"/>
                <w:sz w:val="18"/>
                <w:szCs w:val="18"/>
                <w:b w:val="1"/>
                <w:bCs w:val="1"/>
                <w:color w:val="auto"/>
                <w:w w:val="84"/>
              </w:rPr>
              <w:t xml:space="preserve"> </w:t>
            </w:r>
            <w:r>
              <w:rPr>
                <w:rFonts w:ascii="Arial" w:cs="Arial" w:eastAsia="Arial" w:hAnsi="Arial"/>
                <w:sz w:val="36"/>
                <w:szCs w:val="36"/>
                <w:b w:val="1"/>
                <w:bCs w:val="1"/>
                <w:color w:val="auto"/>
                <w:w w:val="84"/>
                <w:vertAlign w:val="superscript"/>
              </w:rPr>
              <w:t>Amount of beneficial</w:t>
            </w:r>
          </w:p>
        </w:tc>
        <w:tc>
          <w:tcPr>
            <w:tcW w:w="960" w:type="dxa"/>
            <w:vAlign w:val="bottom"/>
          </w:tcPr>
          <w:p>
            <w:pPr>
              <w:ind w:left="280"/>
              <w:spacing w:after="0"/>
              <w:rPr>
                <w:sz w:val="20"/>
                <w:szCs w:val="20"/>
                <w:color w:val="auto"/>
              </w:rPr>
            </w:pPr>
            <w:r>
              <w:rPr>
                <w:rFonts w:ascii="Arial" w:cs="Arial" w:eastAsia="Arial" w:hAnsi="Arial"/>
                <w:sz w:val="18"/>
                <w:szCs w:val="18"/>
                <w:b w:val="1"/>
                <w:bCs w:val="1"/>
                <w:color w:val="auto"/>
                <w:w w:val="99"/>
              </w:rPr>
              <w:t>Percent</w:t>
            </w:r>
          </w:p>
        </w:tc>
        <w:tc>
          <w:tcPr>
            <w:tcW w:w="0" w:type="dxa"/>
            <w:vAlign w:val="bottom"/>
          </w:tcPr>
          <w:p>
            <w:pPr>
              <w:spacing w:after="0"/>
              <w:rPr>
                <w:sz w:val="1"/>
                <w:szCs w:val="1"/>
                <w:color w:val="auto"/>
              </w:rPr>
            </w:pPr>
          </w:p>
        </w:tc>
      </w:tr>
      <w:tr>
        <w:trPr>
          <w:trHeight w:val="188"/>
        </w:trPr>
        <w:tc>
          <w:tcPr>
            <w:tcW w:w="760" w:type="dxa"/>
            <w:vAlign w:val="bottom"/>
            <w:gridSpan w:val="2"/>
          </w:tcPr>
          <w:p>
            <w:pPr>
              <w:spacing w:after="0" w:line="188" w:lineRule="exact"/>
              <w:rPr>
                <w:sz w:val="20"/>
                <w:szCs w:val="20"/>
                <w:color w:val="auto"/>
              </w:rPr>
            </w:pPr>
            <w:r>
              <w:rPr>
                <w:rFonts w:ascii="Arial" w:cs="Arial" w:eastAsia="Arial" w:hAnsi="Arial"/>
                <w:sz w:val="18"/>
                <w:szCs w:val="18"/>
                <w:b w:val="1"/>
                <w:bCs w:val="1"/>
                <w:color w:val="auto"/>
              </w:rPr>
              <w:t>class</w:t>
            </w:r>
          </w:p>
        </w:tc>
        <w:tc>
          <w:tcPr>
            <w:tcW w:w="2960" w:type="dxa"/>
            <w:vAlign w:val="bottom"/>
          </w:tcPr>
          <w:p>
            <w:pPr>
              <w:spacing w:after="0"/>
              <w:rPr>
                <w:sz w:val="16"/>
                <w:szCs w:val="16"/>
                <w:color w:val="auto"/>
              </w:rPr>
            </w:pPr>
          </w:p>
        </w:tc>
        <w:tc>
          <w:tcPr>
            <w:tcW w:w="2160" w:type="dxa"/>
            <w:vAlign w:val="bottom"/>
          </w:tcPr>
          <w:p>
            <w:pPr>
              <w:ind w:left="260"/>
              <w:spacing w:after="0" w:line="188" w:lineRule="exact"/>
              <w:rPr>
                <w:sz w:val="20"/>
                <w:szCs w:val="20"/>
                <w:color w:val="auto"/>
              </w:rPr>
            </w:pPr>
            <w:r>
              <w:rPr>
                <w:rFonts w:ascii="Arial" w:cs="Arial" w:eastAsia="Arial" w:hAnsi="Arial"/>
                <w:sz w:val="18"/>
                <w:szCs w:val="18"/>
                <w:b w:val="1"/>
                <w:bCs w:val="1"/>
                <w:color w:val="auto"/>
              </w:rPr>
              <w:t>ownership</w:t>
            </w:r>
          </w:p>
        </w:tc>
        <w:tc>
          <w:tcPr>
            <w:tcW w:w="960" w:type="dxa"/>
            <w:vAlign w:val="bottom"/>
          </w:tcPr>
          <w:p>
            <w:pPr>
              <w:ind w:left="280"/>
              <w:spacing w:after="0" w:line="188" w:lineRule="exact"/>
              <w:rPr>
                <w:sz w:val="20"/>
                <w:szCs w:val="20"/>
                <w:color w:val="auto"/>
              </w:rPr>
            </w:pPr>
            <w:r>
              <w:rPr>
                <w:rFonts w:ascii="Arial" w:cs="Arial" w:eastAsia="Arial" w:hAnsi="Arial"/>
                <w:sz w:val="18"/>
                <w:szCs w:val="18"/>
                <w:b w:val="1"/>
                <w:bCs w:val="1"/>
                <w:color w:val="auto"/>
                <w:w w:val="98"/>
              </w:rPr>
              <w:t>of class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Arial" w:cs="Arial" w:eastAsia="Arial" w:hAnsi="Arial"/>
                <w:sz w:val="15"/>
                <w:szCs w:val="15"/>
                <w:b w:val="1"/>
                <w:bCs w:val="1"/>
                <w:color w:val="auto"/>
              </w:rPr>
              <w:t>(2)</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0" w:type="dxa"/>
            <w:vAlign w:val="bottom"/>
            <w:shd w:val="clear" w:color="auto" w:fill="B6DDE8"/>
          </w:tcPr>
          <w:p>
            <w:pPr>
              <w:spacing w:after="0"/>
              <w:rPr>
                <w:sz w:val="20"/>
                <w:szCs w:val="20"/>
                <w:color w:val="auto"/>
              </w:rPr>
            </w:pPr>
            <w:r>
              <w:rPr>
                <w:rFonts w:ascii="Arial" w:cs="Arial" w:eastAsia="Arial" w:hAnsi="Arial"/>
                <w:sz w:val="18"/>
                <w:szCs w:val="18"/>
                <w:color w:val="auto"/>
                <w:w w:val="98"/>
              </w:rPr>
              <w:t>Common</w:t>
            </w:r>
          </w:p>
        </w:tc>
        <w:tc>
          <w:tcPr>
            <w:tcW w:w="2960" w:type="dxa"/>
            <w:vAlign w:val="bottom"/>
            <w:shd w:val="clear" w:color="auto" w:fill="B6DDE8"/>
          </w:tcPr>
          <w:p>
            <w:pPr>
              <w:ind w:left="60"/>
              <w:spacing w:after="0" w:line="256" w:lineRule="exact"/>
              <w:rPr>
                <w:sz w:val="20"/>
                <w:szCs w:val="20"/>
                <w:color w:val="auto"/>
              </w:rPr>
            </w:pPr>
            <w:r>
              <w:rPr>
                <w:rFonts w:ascii="Arial" w:cs="Arial" w:eastAsia="Arial" w:hAnsi="Arial"/>
                <w:sz w:val="18"/>
                <w:szCs w:val="18"/>
                <w:color w:val="auto"/>
              </w:rPr>
              <w:t>David Lester</w:t>
            </w:r>
            <w:r>
              <w:rPr>
                <w:rFonts w:ascii="Arial" w:cs="Arial" w:eastAsia="Arial" w:hAnsi="Arial"/>
                <w:sz w:val="29"/>
                <w:szCs w:val="29"/>
                <w:color w:val="auto"/>
                <w:vertAlign w:val="superscript"/>
              </w:rPr>
              <w:t>(3)</w:t>
            </w:r>
          </w:p>
        </w:tc>
        <w:tc>
          <w:tcPr>
            <w:tcW w:w="2160" w:type="dxa"/>
            <w:vAlign w:val="bottom"/>
            <w:shd w:val="clear" w:color="auto" w:fill="B6DDE8"/>
          </w:tcPr>
          <w:p>
            <w:pPr>
              <w:ind w:left="260"/>
              <w:spacing w:after="0"/>
              <w:rPr>
                <w:sz w:val="20"/>
                <w:szCs w:val="20"/>
                <w:color w:val="auto"/>
              </w:rPr>
            </w:pPr>
            <w:r>
              <w:rPr>
                <w:rFonts w:ascii="Arial" w:cs="Arial" w:eastAsia="Arial" w:hAnsi="Arial"/>
                <w:sz w:val="18"/>
                <w:szCs w:val="18"/>
                <w:color w:val="auto"/>
              </w:rPr>
              <w:t>483,348</w:t>
            </w:r>
          </w:p>
        </w:tc>
        <w:tc>
          <w:tcPr>
            <w:tcW w:w="960" w:type="dxa"/>
            <w:vAlign w:val="bottom"/>
            <w:shd w:val="clear" w:color="auto" w:fill="B6DDE8"/>
          </w:tcPr>
          <w:p>
            <w:pPr>
              <w:ind w:left="2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0" w:type="dxa"/>
            <w:vAlign w:val="bottom"/>
          </w:tcPr>
          <w:p>
            <w:pPr>
              <w:spacing w:after="0"/>
              <w:rPr>
                <w:sz w:val="20"/>
                <w:szCs w:val="20"/>
                <w:color w:val="auto"/>
              </w:rPr>
            </w:pPr>
            <w:r>
              <w:rPr>
                <w:rFonts w:ascii="Arial" w:cs="Arial" w:eastAsia="Arial" w:hAnsi="Arial"/>
                <w:sz w:val="18"/>
                <w:szCs w:val="18"/>
                <w:color w:val="auto"/>
                <w:w w:val="98"/>
              </w:rPr>
              <w:t>Common</w:t>
            </w:r>
          </w:p>
        </w:tc>
        <w:tc>
          <w:tcPr>
            <w:tcW w:w="2960" w:type="dxa"/>
            <w:vAlign w:val="bottom"/>
          </w:tcPr>
          <w:p>
            <w:pPr>
              <w:ind w:left="60"/>
              <w:spacing w:after="0" w:line="256" w:lineRule="exact"/>
              <w:rPr>
                <w:sz w:val="20"/>
                <w:szCs w:val="20"/>
                <w:color w:val="auto"/>
              </w:rPr>
            </w:pPr>
            <w:r>
              <w:rPr>
                <w:rFonts w:ascii="Arial" w:cs="Arial" w:eastAsia="Arial" w:hAnsi="Arial"/>
                <w:sz w:val="18"/>
                <w:szCs w:val="18"/>
                <w:color w:val="auto"/>
              </w:rPr>
              <w:t>David Harrell</w:t>
            </w:r>
            <w:r>
              <w:rPr>
                <w:rFonts w:ascii="Arial" w:cs="Arial" w:eastAsia="Arial" w:hAnsi="Arial"/>
                <w:sz w:val="29"/>
                <w:szCs w:val="29"/>
                <w:color w:val="auto"/>
                <w:vertAlign w:val="superscript"/>
              </w:rPr>
              <w:t>(4)</w:t>
            </w:r>
          </w:p>
        </w:tc>
        <w:tc>
          <w:tcPr>
            <w:tcW w:w="2160" w:type="dxa"/>
            <w:vAlign w:val="bottom"/>
          </w:tcPr>
          <w:p>
            <w:pPr>
              <w:ind w:left="260"/>
              <w:spacing w:after="0"/>
              <w:rPr>
                <w:sz w:val="20"/>
                <w:szCs w:val="20"/>
                <w:color w:val="auto"/>
              </w:rPr>
            </w:pPr>
            <w:r>
              <w:rPr>
                <w:rFonts w:ascii="Arial" w:cs="Arial" w:eastAsia="Arial" w:hAnsi="Arial"/>
                <w:sz w:val="18"/>
                <w:szCs w:val="18"/>
                <w:color w:val="auto"/>
              </w:rPr>
              <w:t>3,538,750</w:t>
            </w:r>
          </w:p>
        </w:tc>
        <w:tc>
          <w:tcPr>
            <w:tcW w:w="960" w:type="dxa"/>
            <w:vAlign w:val="bottom"/>
          </w:tcPr>
          <w:p>
            <w:pPr>
              <w:ind w:left="28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0" w:type="dxa"/>
            <w:vAlign w:val="bottom"/>
            <w:shd w:val="clear" w:color="auto" w:fill="B6DDE8"/>
          </w:tcPr>
          <w:p>
            <w:pPr>
              <w:spacing w:after="0"/>
              <w:rPr>
                <w:sz w:val="20"/>
                <w:szCs w:val="20"/>
                <w:color w:val="auto"/>
              </w:rPr>
            </w:pPr>
            <w:r>
              <w:rPr>
                <w:rFonts w:ascii="Arial" w:cs="Arial" w:eastAsia="Arial" w:hAnsi="Arial"/>
                <w:sz w:val="18"/>
                <w:szCs w:val="18"/>
                <w:color w:val="auto"/>
                <w:w w:val="98"/>
              </w:rPr>
              <w:t>Common</w:t>
            </w:r>
          </w:p>
        </w:tc>
        <w:tc>
          <w:tcPr>
            <w:tcW w:w="2960" w:type="dxa"/>
            <w:vAlign w:val="bottom"/>
            <w:shd w:val="clear" w:color="auto" w:fill="B6DDE8"/>
          </w:tcPr>
          <w:p>
            <w:pPr>
              <w:ind w:left="60"/>
              <w:spacing w:after="0" w:line="256" w:lineRule="exact"/>
              <w:rPr>
                <w:sz w:val="20"/>
                <w:szCs w:val="20"/>
                <w:color w:val="auto"/>
              </w:rPr>
            </w:pPr>
            <w:r>
              <w:rPr>
                <w:rFonts w:ascii="Arial" w:cs="Arial" w:eastAsia="Arial" w:hAnsi="Arial"/>
                <w:sz w:val="18"/>
                <w:szCs w:val="18"/>
                <w:color w:val="auto"/>
              </w:rPr>
              <w:t>Terence J. Hamilton</w:t>
            </w:r>
            <w:r>
              <w:rPr>
                <w:rFonts w:ascii="Arial" w:cs="Arial" w:eastAsia="Arial" w:hAnsi="Arial"/>
                <w:sz w:val="29"/>
                <w:szCs w:val="29"/>
                <w:color w:val="auto"/>
                <w:vertAlign w:val="superscript"/>
              </w:rPr>
              <w:t>(5)</w:t>
            </w:r>
          </w:p>
        </w:tc>
        <w:tc>
          <w:tcPr>
            <w:tcW w:w="2160" w:type="dxa"/>
            <w:vAlign w:val="bottom"/>
            <w:shd w:val="clear" w:color="auto" w:fill="B6DDE8"/>
          </w:tcPr>
          <w:p>
            <w:pPr>
              <w:ind w:left="260"/>
              <w:spacing w:after="0"/>
              <w:rPr>
                <w:sz w:val="20"/>
                <w:szCs w:val="20"/>
                <w:color w:val="auto"/>
              </w:rPr>
            </w:pPr>
            <w:r>
              <w:rPr>
                <w:rFonts w:ascii="Arial" w:cs="Arial" w:eastAsia="Arial" w:hAnsi="Arial"/>
                <w:sz w:val="18"/>
                <w:szCs w:val="18"/>
                <w:color w:val="auto"/>
              </w:rPr>
              <w:t>974,500</w:t>
            </w:r>
          </w:p>
        </w:tc>
        <w:tc>
          <w:tcPr>
            <w:tcW w:w="960" w:type="dxa"/>
            <w:vAlign w:val="bottom"/>
            <w:shd w:val="clear" w:color="auto" w:fill="B6DDE8"/>
          </w:tcPr>
          <w:p>
            <w:pPr>
              <w:ind w:left="2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shd w:val="clear" w:color="auto" w:fill="B6DDE8"/>
          </w:tcPr>
          <w:p>
            <w:pPr>
              <w:spacing w:after="0" w:line="202" w:lineRule="exact"/>
              <w:rPr>
                <w:sz w:val="20"/>
                <w:szCs w:val="20"/>
                <w:color w:val="auto"/>
              </w:rPr>
            </w:pPr>
            <w:r>
              <w:rPr>
                <w:rFonts w:ascii="Arial" w:cs="Arial" w:eastAsia="Arial" w:hAnsi="Arial"/>
                <w:sz w:val="18"/>
                <w:szCs w:val="18"/>
                <w:b w:val="1"/>
                <w:bCs w:val="1"/>
                <w:color w:val="auto"/>
                <w:w w:val="96"/>
              </w:rPr>
              <w:t>Total of All Directors and Executive Officers:</w:t>
            </w:r>
          </w:p>
        </w:tc>
        <w:tc>
          <w:tcPr>
            <w:tcW w:w="2160" w:type="dxa"/>
            <w:vAlign w:val="bottom"/>
            <w:shd w:val="clear" w:color="auto" w:fill="B6DDE8"/>
          </w:tcPr>
          <w:p>
            <w:pPr>
              <w:ind w:left="260"/>
              <w:spacing w:after="0" w:line="202" w:lineRule="exact"/>
              <w:rPr>
                <w:sz w:val="20"/>
                <w:szCs w:val="20"/>
                <w:color w:val="auto"/>
              </w:rPr>
            </w:pPr>
            <w:r>
              <w:rPr>
                <w:rFonts w:ascii="Arial" w:cs="Arial" w:eastAsia="Arial" w:hAnsi="Arial"/>
                <w:sz w:val="18"/>
                <w:szCs w:val="18"/>
                <w:color w:val="auto"/>
              </w:rPr>
              <w:t>4,996,598</w:t>
            </w:r>
          </w:p>
        </w:tc>
        <w:tc>
          <w:tcPr>
            <w:tcW w:w="960" w:type="dxa"/>
            <w:vAlign w:val="bottom"/>
            <w:shd w:val="clear" w:color="auto" w:fill="B6DDE8"/>
          </w:tcPr>
          <w:p>
            <w:pPr>
              <w:ind w:left="28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32"/>
        </w:trPr>
        <w:tc>
          <w:tcPr>
            <w:tcW w:w="3720" w:type="dxa"/>
            <w:vAlign w:val="bottom"/>
            <w:gridSpan w:val="3"/>
          </w:tcPr>
          <w:p>
            <w:pPr>
              <w:spacing w:after="0"/>
              <w:rPr>
                <w:sz w:val="20"/>
                <w:szCs w:val="20"/>
                <w:color w:val="auto"/>
              </w:rPr>
            </w:pPr>
            <w:r>
              <w:rPr>
                <w:rFonts w:ascii="Arial" w:cs="Arial" w:eastAsia="Arial" w:hAnsi="Arial"/>
                <w:sz w:val="18"/>
                <w:szCs w:val="18"/>
                <w:b w:val="1"/>
                <w:bCs w:val="1"/>
                <w:color w:val="auto"/>
              </w:rPr>
              <w:t>More Than 5% Beneficial Owners:</w:t>
            </w:r>
          </w:p>
        </w:tc>
        <w:tc>
          <w:tcPr>
            <w:tcW w:w="2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B6DDE8"/>
          </w:tcPr>
          <w:p>
            <w:pPr>
              <w:spacing w:after="0" w:line="202" w:lineRule="exact"/>
              <w:rPr>
                <w:sz w:val="20"/>
                <w:szCs w:val="20"/>
                <w:color w:val="auto"/>
              </w:rPr>
            </w:pPr>
            <w:r>
              <w:rPr>
                <w:rFonts w:ascii="Arial" w:cs="Arial" w:eastAsia="Arial" w:hAnsi="Arial"/>
                <w:sz w:val="18"/>
                <w:szCs w:val="18"/>
                <w:color w:val="auto"/>
                <w:w w:val="92"/>
              </w:rPr>
              <w:t>Common/</w:t>
            </w:r>
          </w:p>
        </w:tc>
        <w:tc>
          <w:tcPr>
            <w:tcW w:w="2960" w:type="dxa"/>
            <w:vAlign w:val="bottom"/>
            <w:shd w:val="clear" w:color="auto" w:fill="B6DDE8"/>
          </w:tcPr>
          <w:p>
            <w:pPr>
              <w:ind w:left="60"/>
              <w:spacing w:after="0" w:line="202" w:lineRule="exact"/>
              <w:rPr>
                <w:sz w:val="20"/>
                <w:szCs w:val="20"/>
                <w:color w:val="auto"/>
              </w:rPr>
            </w:pPr>
            <w:r>
              <w:rPr>
                <w:rFonts w:ascii="Arial" w:cs="Arial" w:eastAsia="Arial" w:hAnsi="Arial"/>
                <w:sz w:val="15"/>
                <w:szCs w:val="15"/>
                <w:color w:val="auto"/>
              </w:rPr>
              <w:t>Vicis Capital Master Fund</w:t>
            </w:r>
            <w:r>
              <w:rPr>
                <w:rFonts w:ascii="Arial" w:cs="Arial" w:eastAsia="Arial" w:hAnsi="Arial"/>
                <w:sz w:val="23"/>
                <w:szCs w:val="23"/>
                <w:color w:val="auto"/>
                <w:vertAlign w:val="superscript"/>
              </w:rPr>
              <w:t>(6)</w:t>
            </w:r>
          </w:p>
        </w:tc>
        <w:tc>
          <w:tcPr>
            <w:tcW w:w="2160" w:type="dxa"/>
            <w:vAlign w:val="bottom"/>
            <w:shd w:val="clear" w:color="auto" w:fill="B6DDE8"/>
          </w:tcPr>
          <w:p>
            <w:pPr>
              <w:ind w:left="260"/>
              <w:spacing w:after="0" w:line="202" w:lineRule="exact"/>
              <w:rPr>
                <w:sz w:val="20"/>
                <w:szCs w:val="20"/>
                <w:color w:val="auto"/>
              </w:rPr>
            </w:pPr>
            <w:r>
              <w:rPr>
                <w:rFonts w:ascii="Arial" w:cs="Arial" w:eastAsia="Arial" w:hAnsi="Arial"/>
                <w:sz w:val="18"/>
                <w:szCs w:val="18"/>
                <w:color w:val="auto"/>
              </w:rPr>
              <w:t>16,386,350</w:t>
            </w:r>
          </w:p>
        </w:tc>
        <w:tc>
          <w:tcPr>
            <w:tcW w:w="960" w:type="dxa"/>
            <w:vAlign w:val="bottom"/>
            <w:shd w:val="clear" w:color="auto" w:fill="B6DDE8"/>
          </w:tcPr>
          <w:p>
            <w:pPr>
              <w:ind w:left="280"/>
              <w:spacing w:after="0" w:line="20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shd w:val="clear" w:color="auto" w:fill="B6DDE8"/>
          </w:tcPr>
          <w:p>
            <w:pPr>
              <w:spacing w:after="0"/>
              <w:rPr>
                <w:sz w:val="20"/>
                <w:szCs w:val="20"/>
                <w:color w:val="auto"/>
              </w:rPr>
            </w:pPr>
            <w:r>
              <w:rPr>
                <w:rFonts w:ascii="Arial" w:cs="Arial" w:eastAsia="Arial" w:hAnsi="Arial"/>
                <w:sz w:val="18"/>
                <w:szCs w:val="18"/>
                <w:color w:val="auto"/>
                <w:w w:val="95"/>
              </w:rPr>
              <w:t>Preferred</w:t>
            </w:r>
          </w:p>
        </w:tc>
        <w:tc>
          <w:tcPr>
            <w:tcW w:w="2960" w:type="dxa"/>
            <w:vAlign w:val="bottom"/>
            <w:shd w:val="clear" w:color="auto" w:fill="B6DDE8"/>
          </w:tcPr>
          <w:p>
            <w:pPr>
              <w:spacing w:after="0"/>
              <w:rPr>
                <w:sz w:val="20"/>
                <w:szCs w:val="20"/>
                <w:color w:val="auto"/>
              </w:rPr>
            </w:pPr>
          </w:p>
        </w:tc>
        <w:tc>
          <w:tcPr>
            <w:tcW w:w="2160" w:type="dxa"/>
            <w:vAlign w:val="bottom"/>
            <w:shd w:val="clear" w:color="auto" w:fill="B6DDE8"/>
          </w:tcPr>
          <w:p>
            <w:pPr>
              <w:spacing w:after="0"/>
              <w:rPr>
                <w:sz w:val="20"/>
                <w:szCs w:val="20"/>
                <w:color w:val="auto"/>
              </w:rPr>
            </w:pPr>
          </w:p>
        </w:tc>
        <w:tc>
          <w:tcPr>
            <w:tcW w:w="960" w:type="dxa"/>
            <w:vAlign w:val="bottom"/>
            <w:shd w:val="clear" w:color="auto" w:fill="B6DDE8"/>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40" w:type="dxa"/>
            <w:vAlign w:val="bottom"/>
            <w:shd w:val="clear" w:color="auto" w:fill="B6DDE8"/>
          </w:tcPr>
          <w:p>
            <w:pPr>
              <w:spacing w:after="0"/>
              <w:rPr>
                <w:sz w:val="3"/>
                <w:szCs w:val="3"/>
                <w:color w:val="auto"/>
              </w:rPr>
            </w:pPr>
          </w:p>
        </w:tc>
        <w:tc>
          <w:tcPr>
            <w:tcW w:w="2960" w:type="dxa"/>
            <w:vAlign w:val="bottom"/>
            <w:shd w:val="clear" w:color="auto" w:fill="B6DDE8"/>
          </w:tcPr>
          <w:p>
            <w:pPr>
              <w:spacing w:after="0"/>
              <w:rPr>
                <w:sz w:val="3"/>
                <w:szCs w:val="3"/>
                <w:color w:val="auto"/>
              </w:rPr>
            </w:pPr>
          </w:p>
        </w:tc>
        <w:tc>
          <w:tcPr>
            <w:tcW w:w="2160" w:type="dxa"/>
            <w:vAlign w:val="bottom"/>
            <w:shd w:val="clear" w:color="auto" w:fill="B6DDE8"/>
          </w:tcPr>
          <w:p>
            <w:pPr>
              <w:spacing w:after="0"/>
              <w:rPr>
                <w:sz w:val="3"/>
                <w:szCs w:val="3"/>
                <w:color w:val="auto"/>
              </w:rPr>
            </w:pPr>
          </w:p>
        </w:tc>
        <w:tc>
          <w:tcPr>
            <w:tcW w:w="960" w:type="dxa"/>
            <w:vAlign w:val="bottom"/>
            <w:shd w:val="clear" w:color="auto" w:fill="B6DDE8"/>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20" w:right="180" w:hanging="912"/>
        <w:spacing w:after="0" w:line="239" w:lineRule="auto"/>
        <w:tabs>
          <w:tab w:leader="none" w:pos="920" w:val="left"/>
        </w:tabs>
        <w:numPr>
          <w:ilvl w:val="0"/>
          <w:numId w:val="20"/>
        </w:numPr>
        <w:rPr>
          <w:rFonts w:ascii="Arial" w:cs="Arial" w:eastAsia="Arial" w:hAnsi="Arial"/>
          <w:sz w:val="15"/>
          <w:szCs w:val="15"/>
          <w:color w:val="auto"/>
        </w:rPr>
      </w:pPr>
      <w:r>
        <w:rPr>
          <w:rFonts w:ascii="Arial" w:cs="Arial" w:eastAsia="Arial" w:hAnsi="Arial"/>
          <w:sz w:val="18"/>
          <w:szCs w:val="18"/>
          <w:color w:val="auto"/>
        </w:rPr>
        <w:t>As used in this table, "beneficial ownership" means the sole or shared power to vote, or to direct the voting of, a security, or the sole or shared investment power with respect to a security (i.e., the power to dispose of, or to direct the disposition of, a security). In addition, for purposes of this table, a person is deemed, as of any date, to have "beneficial ownership" of any security that such person has the right to acquire within 60 days after such date.</w:t>
      </w:r>
    </w:p>
    <w:p>
      <w:pPr>
        <w:spacing w:after="0" w:line="1" w:lineRule="exact"/>
        <w:rPr>
          <w:rFonts w:ascii="Arial" w:cs="Arial" w:eastAsia="Arial" w:hAnsi="Arial"/>
          <w:sz w:val="15"/>
          <w:szCs w:val="15"/>
          <w:color w:val="auto"/>
        </w:rPr>
      </w:pPr>
    </w:p>
    <w:p>
      <w:pPr>
        <w:ind w:left="920" w:right="40" w:hanging="912"/>
        <w:spacing w:after="0" w:line="248" w:lineRule="auto"/>
        <w:tabs>
          <w:tab w:leader="none" w:pos="920" w:val="left"/>
        </w:tabs>
        <w:numPr>
          <w:ilvl w:val="0"/>
          <w:numId w:val="20"/>
        </w:numPr>
        <w:rPr>
          <w:rFonts w:ascii="Arial" w:cs="Arial" w:eastAsia="Arial" w:hAnsi="Arial"/>
          <w:sz w:val="14"/>
          <w:szCs w:val="14"/>
          <w:color w:val="auto"/>
        </w:rPr>
      </w:pPr>
      <w:r>
        <w:rPr>
          <w:rFonts w:ascii="Arial" w:cs="Arial" w:eastAsia="Arial" w:hAnsi="Arial"/>
          <w:sz w:val="17"/>
          <w:szCs w:val="17"/>
          <w:color w:val="auto"/>
        </w:rPr>
        <w:t>The percent of class is based on 20,663,884 voting shares as of February 7, 2014, comprised of 15,163,874 shares of the Company’s common stock issued and outstanding as of February 7, 2014, 35 shares of the Company’s Series A Convertible Preferred Stock issued and outstanding as of February 7, 2014, which has the power to vote 3,500,000 shares, and 30 shares of the Company’s Series B Convertible Preferred Stock issued and outstanding as of June 14, 2013, which has the power to vote 2,000,010 shares.</w:t>
      </w:r>
    </w:p>
    <w:p>
      <w:pPr>
        <w:spacing w:after="0" w:line="2" w:lineRule="exact"/>
        <w:rPr>
          <w:rFonts w:ascii="Arial" w:cs="Arial" w:eastAsia="Arial" w:hAnsi="Arial"/>
          <w:sz w:val="14"/>
          <w:szCs w:val="14"/>
          <w:color w:val="auto"/>
        </w:rPr>
      </w:pPr>
    </w:p>
    <w:p>
      <w:pPr>
        <w:ind w:left="920" w:hanging="912"/>
        <w:spacing w:after="0"/>
        <w:tabs>
          <w:tab w:leader="none" w:pos="920" w:val="left"/>
        </w:tabs>
        <w:numPr>
          <w:ilvl w:val="0"/>
          <w:numId w:val="20"/>
        </w:numPr>
        <w:rPr>
          <w:rFonts w:ascii="Arial" w:cs="Arial" w:eastAsia="Arial" w:hAnsi="Arial"/>
          <w:sz w:val="15"/>
          <w:szCs w:val="15"/>
          <w:color w:val="auto"/>
        </w:rPr>
      </w:pPr>
      <w:r>
        <w:rPr>
          <w:rFonts w:ascii="Arial" w:cs="Arial" w:eastAsia="Arial" w:hAnsi="Arial"/>
          <w:sz w:val="18"/>
          <w:szCs w:val="18"/>
          <w:color w:val="auto"/>
        </w:rPr>
        <w:t>Includes 428,348 shares held in his name, and options to purchase 55,000 shares of common stock at $1.00 per share.</w:t>
      </w:r>
    </w:p>
    <w:p>
      <w:pPr>
        <w:spacing w:after="0" w:line="7" w:lineRule="exact"/>
        <w:rPr>
          <w:rFonts w:ascii="Arial" w:cs="Arial" w:eastAsia="Arial" w:hAnsi="Arial"/>
          <w:sz w:val="15"/>
          <w:szCs w:val="15"/>
          <w:color w:val="auto"/>
        </w:rPr>
      </w:pPr>
    </w:p>
    <w:p>
      <w:pPr>
        <w:ind w:left="920" w:right="280" w:hanging="912"/>
        <w:spacing w:after="0" w:line="235" w:lineRule="auto"/>
        <w:tabs>
          <w:tab w:leader="none" w:pos="920" w:val="left"/>
        </w:tabs>
        <w:numPr>
          <w:ilvl w:val="0"/>
          <w:numId w:val="20"/>
        </w:numPr>
        <w:rPr>
          <w:rFonts w:ascii="Arial" w:cs="Arial" w:eastAsia="Arial" w:hAnsi="Arial"/>
          <w:sz w:val="15"/>
          <w:szCs w:val="15"/>
          <w:color w:val="auto"/>
        </w:rPr>
      </w:pPr>
      <w:r>
        <w:rPr>
          <w:rFonts w:ascii="Arial" w:cs="Arial" w:eastAsia="Arial" w:hAnsi="Arial"/>
          <w:sz w:val="18"/>
          <w:szCs w:val="18"/>
          <w:color w:val="auto"/>
        </w:rPr>
        <w:t>Includes 3,136,250 shares held in his name, options to purchase 402,500 shares of common stock at prices ranging from of $1.00 to $1.81 per share.</w:t>
      </w:r>
    </w:p>
    <w:p>
      <w:pPr>
        <w:spacing w:after="0" w:line="1" w:lineRule="exact"/>
        <w:rPr>
          <w:rFonts w:ascii="Arial" w:cs="Arial" w:eastAsia="Arial" w:hAnsi="Arial"/>
          <w:sz w:val="15"/>
          <w:szCs w:val="15"/>
          <w:color w:val="auto"/>
        </w:rPr>
      </w:pPr>
    </w:p>
    <w:p>
      <w:pPr>
        <w:ind w:left="920" w:hanging="912"/>
        <w:spacing w:after="0"/>
        <w:tabs>
          <w:tab w:leader="none" w:pos="920" w:val="left"/>
        </w:tabs>
        <w:numPr>
          <w:ilvl w:val="0"/>
          <w:numId w:val="20"/>
        </w:numPr>
        <w:rPr>
          <w:rFonts w:ascii="Arial" w:cs="Arial" w:eastAsia="Arial" w:hAnsi="Arial"/>
          <w:sz w:val="15"/>
          <w:szCs w:val="15"/>
          <w:color w:val="auto"/>
        </w:rPr>
      </w:pPr>
      <w:r>
        <w:rPr>
          <w:rFonts w:ascii="Arial" w:cs="Arial" w:eastAsia="Arial" w:hAnsi="Arial"/>
          <w:sz w:val="18"/>
          <w:szCs w:val="18"/>
          <w:color w:val="auto"/>
        </w:rPr>
        <w:t>Includes 697,000 shares held in his name and options to purchase 277,500 shares of common stock at a price of $1.00 per share.</w:t>
      </w:r>
    </w:p>
    <w:p>
      <w:pPr>
        <w:spacing w:after="0" w:line="7" w:lineRule="exact"/>
        <w:rPr>
          <w:rFonts w:ascii="Arial" w:cs="Arial" w:eastAsia="Arial" w:hAnsi="Arial"/>
          <w:sz w:val="15"/>
          <w:szCs w:val="15"/>
          <w:color w:val="auto"/>
        </w:rPr>
      </w:pPr>
    </w:p>
    <w:p>
      <w:pPr>
        <w:ind w:left="920" w:hanging="912"/>
        <w:spacing w:after="0" w:line="261" w:lineRule="auto"/>
        <w:tabs>
          <w:tab w:leader="none" w:pos="920" w:val="left"/>
        </w:tabs>
        <w:numPr>
          <w:ilvl w:val="0"/>
          <w:numId w:val="20"/>
        </w:numPr>
        <w:rPr>
          <w:rFonts w:ascii="Arial" w:cs="Arial" w:eastAsia="Arial" w:hAnsi="Arial"/>
          <w:sz w:val="14"/>
          <w:szCs w:val="14"/>
          <w:color w:val="auto"/>
        </w:rPr>
      </w:pPr>
      <w:r>
        <w:rPr>
          <w:rFonts w:ascii="Arial" w:cs="Arial" w:eastAsia="Arial" w:hAnsi="Arial"/>
          <w:sz w:val="17"/>
          <w:szCs w:val="17"/>
          <w:color w:val="auto"/>
        </w:rPr>
        <w:t>Includes 886,370 shares of common stock held in its name, 35 shares of the Company’s Series A Convertible Preferred Stock, which has the power to vote 3,500,000 shares, 30 shares of the Company’s Series B Convertible Preferred Stock, which has the power to vote 2,000,010 shares, and warrants to purchase 10,000,000 shares of common stock at strike prices ranging from $2.00 to $3.00 per share.</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37" w:right="2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2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60" w:type="dxa"/>
            <w:vAlign w:val="bottom"/>
            <w:gridSpan w:val="5"/>
          </w:tcPr>
          <w:p>
            <w:pPr>
              <w:ind w:left="60"/>
              <w:spacing w:after="0"/>
              <w:rPr>
                <w:sz w:val="20"/>
                <w:szCs w:val="20"/>
                <w:color w:val="auto"/>
              </w:rPr>
            </w:pPr>
            <w:r>
              <w:rPr>
                <w:rFonts w:ascii="Arial" w:cs="Arial" w:eastAsia="Arial" w:hAnsi="Arial"/>
                <w:sz w:val="18"/>
                <w:szCs w:val="18"/>
                <w:b w:val="1"/>
                <w:bCs w:val="1"/>
                <w:color w:val="auto"/>
              </w:rPr>
              <w:t>Schedule 3.1(g) cont.</w:t>
            </w: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53"/>
        </w:trPr>
        <w:tc>
          <w:tcPr>
            <w:tcW w:w="4860" w:type="dxa"/>
            <w:vAlign w:val="bottom"/>
            <w:gridSpan w:val="6"/>
          </w:tcPr>
          <w:p>
            <w:pPr>
              <w:spacing w:after="0"/>
              <w:rPr>
                <w:sz w:val="20"/>
                <w:szCs w:val="20"/>
                <w:color w:val="auto"/>
              </w:rPr>
            </w:pPr>
            <w:r>
              <w:rPr>
                <w:rFonts w:ascii="Arial" w:cs="Arial" w:eastAsia="Arial" w:hAnsi="Arial"/>
                <w:sz w:val="18"/>
                <w:szCs w:val="18"/>
                <w:color w:val="auto"/>
                <w:w w:val="91"/>
              </w:rPr>
              <w:t>The Company has the following warrants and options outstanding:</w:t>
            </w:r>
          </w:p>
        </w:tc>
        <w:tc>
          <w:tcPr>
            <w:tcW w:w="6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5"/>
        </w:trPr>
        <w:tc>
          <w:tcPr>
            <w:tcW w:w="2040" w:type="dxa"/>
            <w:vAlign w:val="bottom"/>
          </w:tcPr>
          <w:p>
            <w:pPr>
              <w:spacing w:after="0"/>
              <w:rPr>
                <w:sz w:val="24"/>
                <w:szCs w:val="24"/>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Number</w:t>
            </w:r>
          </w:p>
        </w:tc>
        <w:tc>
          <w:tcPr>
            <w:tcW w:w="640" w:type="dxa"/>
            <w:vAlign w:val="bottom"/>
          </w:tcPr>
          <w:p>
            <w:pPr>
              <w:spacing w:after="0"/>
              <w:rPr>
                <w:sz w:val="24"/>
                <w:szCs w:val="24"/>
                <w:color w:val="auto"/>
              </w:rPr>
            </w:pPr>
          </w:p>
        </w:tc>
        <w:tc>
          <w:tcPr>
            <w:tcW w:w="1080" w:type="dxa"/>
            <w:vAlign w:val="bottom"/>
            <w:gridSpan w:val="2"/>
          </w:tcPr>
          <w:p>
            <w:pPr>
              <w:jc w:val="center"/>
              <w:ind w:right="720"/>
              <w:spacing w:after="0"/>
              <w:rPr>
                <w:sz w:val="20"/>
                <w:szCs w:val="20"/>
                <w:color w:val="auto"/>
              </w:rPr>
            </w:pPr>
            <w:r>
              <w:rPr>
                <w:rFonts w:ascii="Arial" w:cs="Arial" w:eastAsia="Arial" w:hAnsi="Arial"/>
                <w:sz w:val="18"/>
                <w:szCs w:val="18"/>
                <w:color w:val="auto"/>
                <w:w w:val="89"/>
              </w:rPr>
              <w:t>Type</w:t>
            </w:r>
          </w:p>
        </w:tc>
        <w:tc>
          <w:tcPr>
            <w:tcW w:w="60" w:type="dxa"/>
            <w:vAlign w:val="bottom"/>
          </w:tcPr>
          <w:p>
            <w:pPr>
              <w:spacing w:after="0"/>
              <w:rPr>
                <w:sz w:val="24"/>
                <w:szCs w:val="24"/>
                <w:color w:val="auto"/>
              </w:rPr>
            </w:pPr>
          </w:p>
        </w:tc>
        <w:tc>
          <w:tcPr>
            <w:tcW w:w="3600" w:type="dxa"/>
            <w:vAlign w:val="bottom"/>
            <w:gridSpan w:val="4"/>
          </w:tcPr>
          <w:p>
            <w:pPr>
              <w:jc w:val="center"/>
              <w:ind w:left="210"/>
              <w:spacing w:after="0"/>
              <w:rPr>
                <w:sz w:val="20"/>
                <w:szCs w:val="20"/>
                <w:color w:val="auto"/>
              </w:rPr>
            </w:pPr>
            <w:r>
              <w:rPr>
                <w:rFonts w:ascii="Arial" w:cs="Arial" w:eastAsia="Arial" w:hAnsi="Arial"/>
                <w:sz w:val="18"/>
                <w:szCs w:val="18"/>
                <w:color w:val="auto"/>
                <w:w w:val="91"/>
              </w:rPr>
              <w:t xml:space="preserve">Exercise </w:t>
            </w:r>
            <w:r>
              <w:rPr>
                <w:rFonts w:ascii="Arial" w:cs="Arial" w:eastAsia="Arial" w:hAnsi="Arial"/>
                <w:sz w:val="18"/>
                <w:szCs w:val="18"/>
                <w:u w:val="single" w:color="auto"/>
                <w:color w:val="auto"/>
                <w:w w:val="91"/>
              </w:rPr>
              <w:t>Price($</w:t>
            </w:r>
            <w:r>
              <w:rPr>
                <w:rFonts w:ascii="Arial" w:cs="Arial" w:eastAsia="Arial" w:hAnsi="Arial"/>
                <w:sz w:val="18"/>
                <w:szCs w:val="18"/>
                <w:color w:val="auto"/>
                <w:w w:val="91"/>
              </w:rPr>
              <w:t>)</w:t>
            </w:r>
          </w:p>
        </w:tc>
        <w:tc>
          <w:tcPr>
            <w:tcW w:w="1820" w:type="dxa"/>
            <w:vAlign w:val="bottom"/>
            <w:gridSpan w:val="3"/>
          </w:tcPr>
          <w:p>
            <w:pPr>
              <w:ind w:left="112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8"/>
                <w:szCs w:val="18"/>
                <w:u w:val="single" w:color="auto"/>
                <w:color w:val="auto"/>
              </w:rPr>
              <w:t>($</w:t>
            </w:r>
            <w:r>
              <w:rPr>
                <w:rFonts w:ascii="Arial" w:cs="Arial" w:eastAsia="Arial" w:hAnsi="Arial"/>
                <w:sz w:val="18"/>
                <w:szCs w:val="18"/>
                <w:color w:val="auto"/>
              </w:rPr>
              <w:t>)</w:t>
            </w:r>
          </w:p>
        </w:tc>
      </w:tr>
      <w:tr>
        <w:trPr>
          <w:trHeight w:val="20"/>
        </w:trPr>
        <w:tc>
          <w:tcPr>
            <w:tcW w:w="20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4"/>
        </w:trPr>
        <w:tc>
          <w:tcPr>
            <w:tcW w:w="2620" w:type="dxa"/>
            <w:vAlign w:val="bottom"/>
            <w:gridSpan w:val="2"/>
          </w:tcPr>
          <w:p>
            <w:pPr>
              <w:jc w:val="right"/>
              <w:spacing w:after="0"/>
              <w:rPr>
                <w:sz w:val="20"/>
                <w:szCs w:val="20"/>
                <w:color w:val="auto"/>
              </w:rPr>
            </w:pPr>
            <w:r>
              <w:rPr>
                <w:rFonts w:ascii="Arial" w:cs="Arial" w:eastAsia="Arial" w:hAnsi="Arial"/>
                <w:sz w:val="18"/>
                <w:szCs w:val="18"/>
                <w:color w:val="auto"/>
              </w:rPr>
              <w:t>9,000,000</w:t>
            </w:r>
            <w:r>
              <w:rPr>
                <w:rFonts w:ascii="Arial" w:cs="Arial" w:eastAsia="Arial" w:hAnsi="Arial"/>
                <w:sz w:val="30"/>
                <w:szCs w:val="30"/>
                <w:color w:val="auto"/>
                <w:vertAlign w:val="superscript"/>
              </w:rPr>
              <w:t>(1)</w:t>
            </w:r>
          </w:p>
        </w:tc>
        <w:tc>
          <w:tcPr>
            <w:tcW w:w="520" w:type="dxa"/>
            <w:vAlign w:val="bottom"/>
          </w:tcPr>
          <w:p>
            <w:pPr>
              <w:spacing w:after="0"/>
              <w:rPr>
                <w:sz w:val="24"/>
                <w:szCs w:val="24"/>
                <w:color w:val="auto"/>
              </w:rPr>
            </w:pPr>
          </w:p>
        </w:tc>
        <w:tc>
          <w:tcPr>
            <w:tcW w:w="1720" w:type="dxa"/>
            <w:vAlign w:val="bottom"/>
            <w:gridSpan w:val="3"/>
          </w:tcPr>
          <w:p>
            <w:pPr>
              <w:jc w:val="center"/>
              <w:ind w:right="80"/>
              <w:spacing w:after="0"/>
              <w:rPr>
                <w:sz w:val="20"/>
                <w:szCs w:val="20"/>
                <w:color w:val="auto"/>
              </w:rPr>
            </w:pPr>
            <w:r>
              <w:rPr>
                <w:rFonts w:ascii="Arial" w:cs="Arial" w:eastAsia="Arial" w:hAnsi="Arial"/>
                <w:sz w:val="18"/>
                <w:szCs w:val="18"/>
                <w:color w:val="auto"/>
                <w:w w:val="87"/>
              </w:rPr>
              <w:t>Warrants</w:t>
            </w:r>
          </w:p>
        </w:tc>
        <w:tc>
          <w:tcPr>
            <w:tcW w:w="2640" w:type="dxa"/>
            <w:vAlign w:val="bottom"/>
            <w:gridSpan w:val="4"/>
          </w:tcPr>
          <w:p>
            <w:pPr>
              <w:jc w:val="center"/>
              <w:ind w:left="1290"/>
              <w:spacing w:after="0"/>
              <w:rPr>
                <w:sz w:val="20"/>
                <w:szCs w:val="20"/>
                <w:color w:val="auto"/>
              </w:rPr>
            </w:pPr>
            <w:r>
              <w:rPr>
                <w:rFonts w:ascii="Arial" w:cs="Arial" w:eastAsia="Arial" w:hAnsi="Arial"/>
                <w:sz w:val="18"/>
                <w:szCs w:val="18"/>
                <w:color w:val="auto"/>
                <w:w w:val="85"/>
              </w:rPr>
              <w:t>1.50</w:t>
            </w:r>
          </w:p>
        </w:tc>
        <w:tc>
          <w:tcPr>
            <w:tcW w:w="1020" w:type="dxa"/>
            <w:vAlign w:val="bottom"/>
          </w:tcPr>
          <w:p>
            <w:pPr>
              <w:spacing w:after="0"/>
              <w:rPr>
                <w:sz w:val="24"/>
                <w:szCs w:val="24"/>
                <w:color w:val="auto"/>
              </w:rPr>
            </w:pPr>
          </w:p>
        </w:tc>
        <w:tc>
          <w:tcPr>
            <w:tcW w:w="1820" w:type="dxa"/>
            <w:vAlign w:val="bottom"/>
            <w:gridSpan w:val="3"/>
          </w:tcPr>
          <w:p>
            <w:pPr>
              <w:jc w:val="center"/>
              <w:ind w:left="930"/>
              <w:spacing w:after="0"/>
              <w:rPr>
                <w:sz w:val="20"/>
                <w:szCs w:val="20"/>
                <w:color w:val="auto"/>
              </w:rPr>
            </w:pPr>
            <w:r>
              <w:rPr>
                <w:rFonts w:ascii="Arial" w:cs="Arial" w:eastAsia="Arial" w:hAnsi="Arial"/>
                <w:sz w:val="18"/>
                <w:szCs w:val="18"/>
                <w:color w:val="auto"/>
                <w:w w:val="88"/>
              </w:rPr>
              <w:t>13,500,000</w:t>
            </w:r>
          </w:p>
        </w:tc>
      </w:tr>
      <w:tr>
        <w:trPr>
          <w:trHeight w:val="336"/>
        </w:trPr>
        <w:tc>
          <w:tcPr>
            <w:tcW w:w="3140" w:type="dxa"/>
            <w:vAlign w:val="bottom"/>
            <w:gridSpan w:val="3"/>
          </w:tcPr>
          <w:p>
            <w:pPr>
              <w:jc w:val="right"/>
              <w:ind w:right="520"/>
              <w:spacing w:after="0"/>
              <w:rPr>
                <w:sz w:val="20"/>
                <w:szCs w:val="20"/>
                <w:color w:val="auto"/>
              </w:rPr>
            </w:pPr>
            <w:r>
              <w:rPr>
                <w:rFonts w:ascii="Arial" w:cs="Arial" w:eastAsia="Arial" w:hAnsi="Arial"/>
                <w:sz w:val="18"/>
                <w:szCs w:val="18"/>
                <w:color w:val="auto"/>
              </w:rPr>
              <w:t>100,000</w:t>
            </w:r>
          </w:p>
        </w:tc>
        <w:tc>
          <w:tcPr>
            <w:tcW w:w="1720" w:type="dxa"/>
            <w:vAlign w:val="bottom"/>
            <w:gridSpan w:val="3"/>
          </w:tcPr>
          <w:p>
            <w:pPr>
              <w:jc w:val="center"/>
              <w:ind w:right="80"/>
              <w:spacing w:after="0"/>
              <w:rPr>
                <w:sz w:val="20"/>
                <w:szCs w:val="20"/>
                <w:color w:val="auto"/>
              </w:rPr>
            </w:pPr>
            <w:r>
              <w:rPr>
                <w:rFonts w:ascii="Arial" w:cs="Arial" w:eastAsia="Arial" w:hAnsi="Arial"/>
                <w:sz w:val="18"/>
                <w:szCs w:val="18"/>
                <w:color w:val="auto"/>
                <w:w w:val="87"/>
              </w:rPr>
              <w:t>Warrants</w:t>
            </w:r>
          </w:p>
        </w:tc>
        <w:tc>
          <w:tcPr>
            <w:tcW w:w="2640" w:type="dxa"/>
            <w:vAlign w:val="bottom"/>
            <w:gridSpan w:val="4"/>
          </w:tcPr>
          <w:p>
            <w:pPr>
              <w:jc w:val="center"/>
              <w:ind w:left="1290"/>
              <w:spacing w:after="0"/>
              <w:rPr>
                <w:sz w:val="20"/>
                <w:szCs w:val="20"/>
                <w:color w:val="auto"/>
              </w:rPr>
            </w:pPr>
            <w:r>
              <w:rPr>
                <w:rFonts w:ascii="Arial" w:cs="Arial" w:eastAsia="Arial" w:hAnsi="Arial"/>
                <w:sz w:val="18"/>
                <w:szCs w:val="18"/>
                <w:color w:val="auto"/>
                <w:w w:val="85"/>
              </w:rPr>
              <w:t>2.00</w:t>
            </w:r>
          </w:p>
        </w:tc>
        <w:tc>
          <w:tcPr>
            <w:tcW w:w="1020" w:type="dxa"/>
            <w:vAlign w:val="bottom"/>
          </w:tcPr>
          <w:p>
            <w:pPr>
              <w:spacing w:after="0"/>
              <w:rPr>
                <w:sz w:val="24"/>
                <w:szCs w:val="24"/>
                <w:color w:val="auto"/>
              </w:rPr>
            </w:pPr>
          </w:p>
        </w:tc>
        <w:tc>
          <w:tcPr>
            <w:tcW w:w="1740" w:type="dxa"/>
            <w:vAlign w:val="bottom"/>
            <w:gridSpan w:val="2"/>
          </w:tcPr>
          <w:p>
            <w:pPr>
              <w:jc w:val="center"/>
              <w:ind w:left="1010"/>
              <w:spacing w:after="0"/>
              <w:rPr>
                <w:sz w:val="20"/>
                <w:szCs w:val="20"/>
                <w:color w:val="auto"/>
              </w:rPr>
            </w:pPr>
            <w:r>
              <w:rPr>
                <w:rFonts w:ascii="Arial" w:cs="Arial" w:eastAsia="Arial" w:hAnsi="Arial"/>
                <w:sz w:val="18"/>
                <w:szCs w:val="18"/>
                <w:color w:val="auto"/>
                <w:w w:val="92"/>
              </w:rPr>
              <w:t>200,000</w:t>
            </w:r>
          </w:p>
        </w:tc>
        <w:tc>
          <w:tcPr>
            <w:tcW w:w="80" w:type="dxa"/>
            <w:vAlign w:val="bottom"/>
          </w:tcPr>
          <w:p>
            <w:pPr>
              <w:spacing w:after="0"/>
              <w:rPr>
                <w:sz w:val="24"/>
                <w:szCs w:val="24"/>
                <w:color w:val="auto"/>
              </w:rPr>
            </w:pPr>
          </w:p>
        </w:tc>
      </w:tr>
      <w:tr>
        <w:trPr>
          <w:trHeight w:val="459"/>
        </w:trPr>
        <w:tc>
          <w:tcPr>
            <w:tcW w:w="2620" w:type="dxa"/>
            <w:vAlign w:val="bottom"/>
            <w:gridSpan w:val="2"/>
          </w:tcPr>
          <w:p>
            <w:pPr>
              <w:jc w:val="right"/>
              <w:spacing w:after="0"/>
              <w:rPr>
                <w:sz w:val="20"/>
                <w:szCs w:val="20"/>
                <w:color w:val="auto"/>
              </w:rPr>
            </w:pPr>
            <w:r>
              <w:rPr>
                <w:rFonts w:ascii="Arial" w:cs="Arial" w:eastAsia="Arial" w:hAnsi="Arial"/>
                <w:sz w:val="18"/>
                <w:szCs w:val="18"/>
                <w:color w:val="auto"/>
              </w:rPr>
              <w:t>1,000,000</w:t>
            </w:r>
          </w:p>
        </w:tc>
        <w:tc>
          <w:tcPr>
            <w:tcW w:w="520" w:type="dxa"/>
            <w:vAlign w:val="bottom"/>
          </w:tcPr>
          <w:p>
            <w:pPr>
              <w:spacing w:after="0"/>
              <w:rPr>
                <w:sz w:val="24"/>
                <w:szCs w:val="24"/>
                <w:color w:val="auto"/>
              </w:rPr>
            </w:pPr>
          </w:p>
        </w:tc>
        <w:tc>
          <w:tcPr>
            <w:tcW w:w="1720" w:type="dxa"/>
            <w:vAlign w:val="bottom"/>
            <w:gridSpan w:val="3"/>
          </w:tcPr>
          <w:p>
            <w:pPr>
              <w:jc w:val="center"/>
              <w:ind w:right="80"/>
              <w:spacing w:after="0"/>
              <w:rPr>
                <w:sz w:val="20"/>
                <w:szCs w:val="20"/>
                <w:color w:val="auto"/>
              </w:rPr>
            </w:pPr>
            <w:r>
              <w:rPr>
                <w:rFonts w:ascii="Arial" w:cs="Arial" w:eastAsia="Arial" w:hAnsi="Arial"/>
                <w:sz w:val="18"/>
                <w:szCs w:val="18"/>
                <w:color w:val="auto"/>
                <w:w w:val="87"/>
              </w:rPr>
              <w:t>Warrants</w:t>
            </w:r>
          </w:p>
        </w:tc>
        <w:tc>
          <w:tcPr>
            <w:tcW w:w="2640" w:type="dxa"/>
            <w:vAlign w:val="bottom"/>
            <w:gridSpan w:val="4"/>
          </w:tcPr>
          <w:p>
            <w:pPr>
              <w:jc w:val="center"/>
              <w:ind w:left="1290"/>
              <w:spacing w:after="0"/>
              <w:rPr>
                <w:sz w:val="20"/>
                <w:szCs w:val="20"/>
                <w:color w:val="auto"/>
              </w:rPr>
            </w:pPr>
            <w:r>
              <w:rPr>
                <w:rFonts w:ascii="Arial" w:cs="Arial" w:eastAsia="Arial" w:hAnsi="Arial"/>
                <w:sz w:val="18"/>
                <w:szCs w:val="18"/>
                <w:color w:val="auto"/>
                <w:w w:val="85"/>
              </w:rPr>
              <w:t>2.25</w:t>
            </w:r>
          </w:p>
        </w:tc>
        <w:tc>
          <w:tcPr>
            <w:tcW w:w="1020" w:type="dxa"/>
            <w:vAlign w:val="bottom"/>
          </w:tcPr>
          <w:p>
            <w:pPr>
              <w:spacing w:after="0"/>
              <w:rPr>
                <w:sz w:val="24"/>
                <w:szCs w:val="24"/>
                <w:color w:val="auto"/>
              </w:rPr>
            </w:pPr>
          </w:p>
        </w:tc>
        <w:tc>
          <w:tcPr>
            <w:tcW w:w="1820" w:type="dxa"/>
            <w:vAlign w:val="bottom"/>
            <w:gridSpan w:val="3"/>
          </w:tcPr>
          <w:p>
            <w:pPr>
              <w:jc w:val="center"/>
              <w:ind w:left="930"/>
              <w:spacing w:after="0"/>
              <w:rPr>
                <w:sz w:val="20"/>
                <w:szCs w:val="20"/>
                <w:color w:val="auto"/>
              </w:rPr>
            </w:pPr>
            <w:r>
              <w:rPr>
                <w:rFonts w:ascii="Arial" w:cs="Arial" w:eastAsia="Arial" w:hAnsi="Arial"/>
                <w:sz w:val="18"/>
                <w:szCs w:val="18"/>
                <w:color w:val="auto"/>
                <w:w w:val="89"/>
              </w:rPr>
              <w:t>2,250,000</w:t>
            </w:r>
          </w:p>
        </w:tc>
      </w:tr>
      <w:tr>
        <w:trPr>
          <w:trHeight w:val="623"/>
        </w:trPr>
        <w:tc>
          <w:tcPr>
            <w:tcW w:w="2620" w:type="dxa"/>
            <w:vAlign w:val="bottom"/>
            <w:gridSpan w:val="2"/>
          </w:tcPr>
          <w:p>
            <w:pPr>
              <w:jc w:val="right"/>
              <w:spacing w:after="0"/>
              <w:rPr>
                <w:sz w:val="20"/>
                <w:szCs w:val="20"/>
                <w:color w:val="auto"/>
              </w:rPr>
            </w:pPr>
            <w:r>
              <w:rPr>
                <w:rFonts w:ascii="Arial" w:cs="Arial" w:eastAsia="Arial" w:hAnsi="Arial"/>
                <w:sz w:val="18"/>
                <w:szCs w:val="18"/>
                <w:color w:val="auto"/>
              </w:rPr>
              <w:t>1,000,000</w:t>
            </w:r>
            <w:r>
              <w:rPr>
                <w:rFonts w:ascii="Arial" w:cs="Arial" w:eastAsia="Arial" w:hAnsi="Arial"/>
                <w:sz w:val="30"/>
                <w:szCs w:val="30"/>
                <w:color w:val="auto"/>
                <w:vertAlign w:val="superscript"/>
              </w:rPr>
              <w:t>(1)</w:t>
            </w:r>
          </w:p>
        </w:tc>
        <w:tc>
          <w:tcPr>
            <w:tcW w:w="520" w:type="dxa"/>
            <w:vAlign w:val="bottom"/>
          </w:tcPr>
          <w:p>
            <w:pPr>
              <w:spacing w:after="0"/>
              <w:rPr>
                <w:sz w:val="24"/>
                <w:szCs w:val="24"/>
                <w:color w:val="auto"/>
              </w:rPr>
            </w:pPr>
          </w:p>
        </w:tc>
        <w:tc>
          <w:tcPr>
            <w:tcW w:w="1720" w:type="dxa"/>
            <w:vAlign w:val="bottom"/>
            <w:gridSpan w:val="3"/>
          </w:tcPr>
          <w:p>
            <w:pPr>
              <w:jc w:val="center"/>
              <w:ind w:right="80"/>
              <w:spacing w:after="0"/>
              <w:rPr>
                <w:sz w:val="20"/>
                <w:szCs w:val="20"/>
                <w:color w:val="auto"/>
              </w:rPr>
            </w:pPr>
            <w:r>
              <w:rPr>
                <w:rFonts w:ascii="Arial" w:cs="Arial" w:eastAsia="Arial" w:hAnsi="Arial"/>
                <w:sz w:val="18"/>
                <w:szCs w:val="18"/>
                <w:color w:val="auto"/>
                <w:w w:val="87"/>
              </w:rPr>
              <w:t>Warrants</w:t>
            </w:r>
          </w:p>
        </w:tc>
        <w:tc>
          <w:tcPr>
            <w:tcW w:w="2640" w:type="dxa"/>
            <w:vAlign w:val="bottom"/>
            <w:gridSpan w:val="4"/>
          </w:tcPr>
          <w:p>
            <w:pPr>
              <w:jc w:val="center"/>
              <w:ind w:left="1290"/>
              <w:spacing w:after="0"/>
              <w:rPr>
                <w:sz w:val="20"/>
                <w:szCs w:val="20"/>
                <w:color w:val="auto"/>
              </w:rPr>
            </w:pPr>
            <w:r>
              <w:rPr>
                <w:rFonts w:ascii="Arial" w:cs="Arial" w:eastAsia="Arial" w:hAnsi="Arial"/>
                <w:sz w:val="18"/>
                <w:szCs w:val="18"/>
                <w:color w:val="auto"/>
                <w:w w:val="85"/>
              </w:rPr>
              <w:t>3.00</w:t>
            </w:r>
          </w:p>
        </w:tc>
        <w:tc>
          <w:tcPr>
            <w:tcW w:w="1020" w:type="dxa"/>
            <w:vAlign w:val="bottom"/>
          </w:tcPr>
          <w:p>
            <w:pPr>
              <w:spacing w:after="0"/>
              <w:rPr>
                <w:sz w:val="24"/>
                <w:szCs w:val="24"/>
                <w:color w:val="auto"/>
              </w:rPr>
            </w:pPr>
          </w:p>
        </w:tc>
        <w:tc>
          <w:tcPr>
            <w:tcW w:w="1820" w:type="dxa"/>
            <w:vAlign w:val="bottom"/>
            <w:gridSpan w:val="3"/>
          </w:tcPr>
          <w:p>
            <w:pPr>
              <w:jc w:val="center"/>
              <w:ind w:left="930"/>
              <w:spacing w:after="0"/>
              <w:rPr>
                <w:sz w:val="20"/>
                <w:szCs w:val="20"/>
                <w:color w:val="auto"/>
              </w:rPr>
            </w:pPr>
            <w:r>
              <w:rPr>
                <w:rFonts w:ascii="Arial" w:cs="Arial" w:eastAsia="Arial" w:hAnsi="Arial"/>
                <w:sz w:val="18"/>
                <w:szCs w:val="18"/>
                <w:color w:val="auto"/>
                <w:w w:val="89"/>
              </w:rPr>
              <w:t>3,000,000</w:t>
            </w:r>
          </w:p>
        </w:tc>
      </w:tr>
      <w:tr>
        <w:trPr>
          <w:trHeight w:val="336"/>
        </w:trPr>
        <w:tc>
          <w:tcPr>
            <w:tcW w:w="3140" w:type="dxa"/>
            <w:vAlign w:val="bottom"/>
            <w:gridSpan w:val="3"/>
          </w:tcPr>
          <w:p>
            <w:pPr>
              <w:jc w:val="right"/>
              <w:ind w:right="520"/>
              <w:spacing w:after="0"/>
              <w:rPr>
                <w:sz w:val="20"/>
                <w:szCs w:val="20"/>
                <w:color w:val="auto"/>
              </w:rPr>
            </w:pPr>
            <w:r>
              <w:rPr>
                <w:rFonts w:ascii="Arial" w:cs="Arial" w:eastAsia="Arial" w:hAnsi="Arial"/>
                <w:sz w:val="18"/>
                <w:szCs w:val="18"/>
                <w:color w:val="auto"/>
              </w:rPr>
              <w:t>10,000</w:t>
            </w:r>
          </w:p>
        </w:tc>
        <w:tc>
          <w:tcPr>
            <w:tcW w:w="172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Options</w:t>
            </w:r>
          </w:p>
        </w:tc>
        <w:tc>
          <w:tcPr>
            <w:tcW w:w="2640" w:type="dxa"/>
            <w:vAlign w:val="bottom"/>
            <w:gridSpan w:val="4"/>
          </w:tcPr>
          <w:p>
            <w:pPr>
              <w:jc w:val="center"/>
              <w:ind w:left="1290"/>
              <w:spacing w:after="0"/>
              <w:rPr>
                <w:sz w:val="20"/>
                <w:szCs w:val="20"/>
                <w:color w:val="auto"/>
              </w:rPr>
            </w:pPr>
            <w:r>
              <w:rPr>
                <w:rFonts w:ascii="Arial" w:cs="Arial" w:eastAsia="Arial" w:hAnsi="Arial"/>
                <w:sz w:val="18"/>
                <w:szCs w:val="18"/>
                <w:color w:val="auto"/>
                <w:w w:val="85"/>
              </w:rPr>
              <w:t>1.85</w:t>
            </w:r>
          </w:p>
        </w:tc>
        <w:tc>
          <w:tcPr>
            <w:tcW w:w="1020" w:type="dxa"/>
            <w:vAlign w:val="bottom"/>
          </w:tcPr>
          <w:p>
            <w:pPr>
              <w:spacing w:after="0"/>
              <w:rPr>
                <w:sz w:val="24"/>
                <w:szCs w:val="24"/>
                <w:color w:val="auto"/>
              </w:rPr>
            </w:pPr>
          </w:p>
        </w:tc>
        <w:tc>
          <w:tcPr>
            <w:tcW w:w="1740" w:type="dxa"/>
            <w:vAlign w:val="bottom"/>
            <w:gridSpan w:val="2"/>
          </w:tcPr>
          <w:p>
            <w:pPr>
              <w:jc w:val="center"/>
              <w:ind w:left="1010"/>
              <w:spacing w:after="0"/>
              <w:rPr>
                <w:sz w:val="20"/>
                <w:szCs w:val="20"/>
                <w:color w:val="auto"/>
              </w:rPr>
            </w:pPr>
            <w:r>
              <w:rPr>
                <w:rFonts w:ascii="Arial" w:cs="Arial" w:eastAsia="Arial" w:hAnsi="Arial"/>
                <w:sz w:val="18"/>
                <w:szCs w:val="18"/>
                <w:color w:val="auto"/>
                <w:w w:val="87"/>
              </w:rPr>
              <w:t>18,500</w:t>
            </w:r>
          </w:p>
        </w:tc>
        <w:tc>
          <w:tcPr>
            <w:tcW w:w="80" w:type="dxa"/>
            <w:vAlign w:val="bottom"/>
          </w:tcPr>
          <w:p>
            <w:pPr>
              <w:spacing w:after="0"/>
              <w:rPr>
                <w:sz w:val="24"/>
                <w:szCs w:val="24"/>
                <w:color w:val="auto"/>
              </w:rPr>
            </w:pPr>
          </w:p>
        </w:tc>
      </w:tr>
      <w:tr>
        <w:trPr>
          <w:trHeight w:val="459"/>
        </w:trPr>
        <w:tc>
          <w:tcPr>
            <w:tcW w:w="3140" w:type="dxa"/>
            <w:vAlign w:val="bottom"/>
            <w:gridSpan w:val="3"/>
          </w:tcPr>
          <w:p>
            <w:pPr>
              <w:jc w:val="right"/>
              <w:ind w:right="520"/>
              <w:spacing w:after="0"/>
              <w:rPr>
                <w:sz w:val="20"/>
                <w:szCs w:val="20"/>
                <w:color w:val="auto"/>
              </w:rPr>
            </w:pPr>
            <w:r>
              <w:rPr>
                <w:rFonts w:ascii="Arial" w:cs="Arial" w:eastAsia="Arial" w:hAnsi="Arial"/>
                <w:sz w:val="18"/>
                <w:szCs w:val="18"/>
                <w:color w:val="auto"/>
              </w:rPr>
              <w:t>250,000</w:t>
            </w:r>
          </w:p>
        </w:tc>
        <w:tc>
          <w:tcPr>
            <w:tcW w:w="172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Options</w:t>
            </w:r>
          </w:p>
        </w:tc>
        <w:tc>
          <w:tcPr>
            <w:tcW w:w="2640" w:type="dxa"/>
            <w:vAlign w:val="bottom"/>
            <w:gridSpan w:val="4"/>
          </w:tcPr>
          <w:p>
            <w:pPr>
              <w:jc w:val="center"/>
              <w:ind w:left="1290"/>
              <w:spacing w:after="0"/>
              <w:rPr>
                <w:sz w:val="20"/>
                <w:szCs w:val="20"/>
                <w:color w:val="auto"/>
              </w:rPr>
            </w:pPr>
            <w:r>
              <w:rPr>
                <w:rFonts w:ascii="Arial" w:cs="Arial" w:eastAsia="Arial" w:hAnsi="Arial"/>
                <w:sz w:val="18"/>
                <w:szCs w:val="18"/>
                <w:color w:val="auto"/>
                <w:w w:val="85"/>
              </w:rPr>
              <w:t>0.35</w:t>
            </w:r>
          </w:p>
        </w:tc>
        <w:tc>
          <w:tcPr>
            <w:tcW w:w="1020" w:type="dxa"/>
            <w:vAlign w:val="bottom"/>
          </w:tcPr>
          <w:p>
            <w:pPr>
              <w:spacing w:after="0"/>
              <w:rPr>
                <w:sz w:val="24"/>
                <w:szCs w:val="24"/>
                <w:color w:val="auto"/>
              </w:rPr>
            </w:pPr>
          </w:p>
        </w:tc>
        <w:tc>
          <w:tcPr>
            <w:tcW w:w="1740" w:type="dxa"/>
            <w:vAlign w:val="bottom"/>
            <w:gridSpan w:val="2"/>
          </w:tcPr>
          <w:p>
            <w:pPr>
              <w:jc w:val="center"/>
              <w:ind w:left="1010"/>
              <w:spacing w:after="0"/>
              <w:rPr>
                <w:sz w:val="20"/>
                <w:szCs w:val="20"/>
                <w:color w:val="auto"/>
              </w:rPr>
            </w:pPr>
            <w:r>
              <w:rPr>
                <w:rFonts w:ascii="Arial" w:cs="Arial" w:eastAsia="Arial" w:hAnsi="Arial"/>
                <w:sz w:val="18"/>
                <w:szCs w:val="18"/>
                <w:color w:val="auto"/>
                <w:w w:val="87"/>
              </w:rPr>
              <w:t>87,500</w:t>
            </w:r>
          </w:p>
        </w:tc>
        <w:tc>
          <w:tcPr>
            <w:tcW w:w="80" w:type="dxa"/>
            <w:vAlign w:val="bottom"/>
          </w:tcPr>
          <w:p>
            <w:pPr>
              <w:spacing w:after="0"/>
              <w:rPr>
                <w:sz w:val="24"/>
                <w:szCs w:val="24"/>
                <w:color w:val="auto"/>
              </w:rPr>
            </w:pPr>
          </w:p>
        </w:tc>
      </w:tr>
      <w:tr>
        <w:trPr>
          <w:trHeight w:val="459"/>
        </w:trPr>
        <w:tc>
          <w:tcPr>
            <w:tcW w:w="3140" w:type="dxa"/>
            <w:vAlign w:val="bottom"/>
            <w:gridSpan w:val="3"/>
          </w:tcPr>
          <w:p>
            <w:pPr>
              <w:jc w:val="right"/>
              <w:ind w:right="520"/>
              <w:spacing w:after="0"/>
              <w:rPr>
                <w:sz w:val="20"/>
                <w:szCs w:val="20"/>
                <w:color w:val="auto"/>
              </w:rPr>
            </w:pPr>
            <w:r>
              <w:rPr>
                <w:rFonts w:ascii="Arial" w:cs="Arial" w:eastAsia="Arial" w:hAnsi="Arial"/>
                <w:sz w:val="18"/>
                <w:szCs w:val="18"/>
                <w:color w:val="auto"/>
              </w:rPr>
              <w:t>100,000</w:t>
            </w:r>
          </w:p>
        </w:tc>
        <w:tc>
          <w:tcPr>
            <w:tcW w:w="1720" w:type="dxa"/>
            <w:vAlign w:val="bottom"/>
            <w:gridSpan w:val="3"/>
          </w:tcPr>
          <w:p>
            <w:pPr>
              <w:jc w:val="center"/>
              <w:ind w:right="80"/>
              <w:spacing w:after="0"/>
              <w:rPr>
                <w:sz w:val="20"/>
                <w:szCs w:val="20"/>
                <w:color w:val="auto"/>
              </w:rPr>
            </w:pPr>
            <w:r>
              <w:rPr>
                <w:rFonts w:ascii="Arial" w:cs="Arial" w:eastAsia="Arial" w:hAnsi="Arial"/>
                <w:sz w:val="18"/>
                <w:szCs w:val="18"/>
                <w:color w:val="auto"/>
                <w:w w:val="87"/>
              </w:rPr>
              <w:t>Warrants</w:t>
            </w:r>
          </w:p>
        </w:tc>
        <w:tc>
          <w:tcPr>
            <w:tcW w:w="2640" w:type="dxa"/>
            <w:vAlign w:val="bottom"/>
            <w:gridSpan w:val="4"/>
          </w:tcPr>
          <w:p>
            <w:pPr>
              <w:jc w:val="center"/>
              <w:ind w:left="1290"/>
              <w:spacing w:after="0"/>
              <w:rPr>
                <w:sz w:val="20"/>
                <w:szCs w:val="20"/>
                <w:color w:val="auto"/>
              </w:rPr>
            </w:pPr>
            <w:r>
              <w:rPr>
                <w:rFonts w:ascii="Arial" w:cs="Arial" w:eastAsia="Arial" w:hAnsi="Arial"/>
                <w:sz w:val="18"/>
                <w:szCs w:val="18"/>
                <w:color w:val="auto"/>
                <w:w w:val="85"/>
              </w:rPr>
              <w:t>0.35</w:t>
            </w:r>
          </w:p>
        </w:tc>
        <w:tc>
          <w:tcPr>
            <w:tcW w:w="1020" w:type="dxa"/>
            <w:vAlign w:val="bottom"/>
          </w:tcPr>
          <w:p>
            <w:pPr>
              <w:spacing w:after="0"/>
              <w:rPr>
                <w:sz w:val="24"/>
                <w:szCs w:val="24"/>
                <w:color w:val="auto"/>
              </w:rPr>
            </w:pPr>
          </w:p>
        </w:tc>
        <w:tc>
          <w:tcPr>
            <w:tcW w:w="1740" w:type="dxa"/>
            <w:vAlign w:val="bottom"/>
            <w:gridSpan w:val="2"/>
          </w:tcPr>
          <w:p>
            <w:pPr>
              <w:jc w:val="center"/>
              <w:ind w:left="1010"/>
              <w:spacing w:after="0"/>
              <w:rPr>
                <w:sz w:val="20"/>
                <w:szCs w:val="20"/>
                <w:color w:val="auto"/>
              </w:rPr>
            </w:pPr>
            <w:r>
              <w:rPr>
                <w:rFonts w:ascii="Arial" w:cs="Arial" w:eastAsia="Arial" w:hAnsi="Arial"/>
                <w:sz w:val="18"/>
                <w:szCs w:val="18"/>
                <w:color w:val="auto"/>
                <w:w w:val="87"/>
              </w:rPr>
              <w:t>35,000</w:t>
            </w:r>
          </w:p>
        </w:tc>
        <w:tc>
          <w:tcPr>
            <w:tcW w:w="80" w:type="dxa"/>
            <w:vAlign w:val="bottom"/>
          </w:tcPr>
          <w:p>
            <w:pPr>
              <w:spacing w:after="0"/>
              <w:rPr>
                <w:sz w:val="24"/>
                <w:szCs w:val="24"/>
                <w:color w:val="auto"/>
              </w:rPr>
            </w:pPr>
          </w:p>
        </w:tc>
      </w:tr>
      <w:tr>
        <w:trPr>
          <w:trHeight w:val="459"/>
        </w:trPr>
        <w:tc>
          <w:tcPr>
            <w:tcW w:w="3140" w:type="dxa"/>
            <w:vAlign w:val="bottom"/>
            <w:gridSpan w:val="3"/>
          </w:tcPr>
          <w:p>
            <w:pPr>
              <w:jc w:val="right"/>
              <w:ind w:right="520"/>
              <w:spacing w:after="0"/>
              <w:rPr>
                <w:sz w:val="20"/>
                <w:szCs w:val="20"/>
                <w:color w:val="auto"/>
              </w:rPr>
            </w:pPr>
            <w:r>
              <w:rPr>
                <w:rFonts w:ascii="Arial" w:cs="Arial" w:eastAsia="Arial" w:hAnsi="Arial"/>
                <w:sz w:val="18"/>
                <w:szCs w:val="18"/>
                <w:color w:val="auto"/>
              </w:rPr>
              <w:t>200,000</w:t>
            </w:r>
          </w:p>
        </w:tc>
        <w:tc>
          <w:tcPr>
            <w:tcW w:w="172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Options</w:t>
            </w:r>
          </w:p>
        </w:tc>
        <w:tc>
          <w:tcPr>
            <w:tcW w:w="2640" w:type="dxa"/>
            <w:vAlign w:val="bottom"/>
            <w:gridSpan w:val="4"/>
          </w:tcPr>
          <w:p>
            <w:pPr>
              <w:jc w:val="center"/>
              <w:ind w:left="1290"/>
              <w:spacing w:after="0"/>
              <w:rPr>
                <w:sz w:val="20"/>
                <w:szCs w:val="20"/>
                <w:color w:val="auto"/>
              </w:rPr>
            </w:pPr>
            <w:r>
              <w:rPr>
                <w:rFonts w:ascii="Arial" w:cs="Arial" w:eastAsia="Arial" w:hAnsi="Arial"/>
                <w:sz w:val="18"/>
                <w:szCs w:val="18"/>
                <w:color w:val="auto"/>
                <w:w w:val="85"/>
              </w:rPr>
              <w:t>1.81</w:t>
            </w:r>
          </w:p>
        </w:tc>
        <w:tc>
          <w:tcPr>
            <w:tcW w:w="1020" w:type="dxa"/>
            <w:vAlign w:val="bottom"/>
          </w:tcPr>
          <w:p>
            <w:pPr>
              <w:spacing w:after="0"/>
              <w:rPr>
                <w:sz w:val="24"/>
                <w:szCs w:val="24"/>
                <w:color w:val="auto"/>
              </w:rPr>
            </w:pPr>
          </w:p>
        </w:tc>
        <w:tc>
          <w:tcPr>
            <w:tcW w:w="1740" w:type="dxa"/>
            <w:vAlign w:val="bottom"/>
            <w:gridSpan w:val="2"/>
          </w:tcPr>
          <w:p>
            <w:pPr>
              <w:jc w:val="center"/>
              <w:ind w:left="1010"/>
              <w:spacing w:after="0"/>
              <w:rPr>
                <w:sz w:val="20"/>
                <w:szCs w:val="20"/>
                <w:color w:val="auto"/>
              </w:rPr>
            </w:pPr>
            <w:r>
              <w:rPr>
                <w:rFonts w:ascii="Arial" w:cs="Arial" w:eastAsia="Arial" w:hAnsi="Arial"/>
                <w:sz w:val="18"/>
                <w:szCs w:val="18"/>
                <w:color w:val="auto"/>
                <w:w w:val="92"/>
              </w:rPr>
              <w:t>362,000</w:t>
            </w:r>
          </w:p>
        </w:tc>
        <w:tc>
          <w:tcPr>
            <w:tcW w:w="80" w:type="dxa"/>
            <w:vAlign w:val="bottom"/>
          </w:tcPr>
          <w:p>
            <w:pPr>
              <w:spacing w:after="0"/>
              <w:rPr>
                <w:sz w:val="24"/>
                <w:szCs w:val="24"/>
                <w:color w:val="auto"/>
              </w:rPr>
            </w:pPr>
          </w:p>
        </w:tc>
      </w:tr>
      <w:tr>
        <w:trPr>
          <w:trHeight w:val="459"/>
        </w:trPr>
        <w:tc>
          <w:tcPr>
            <w:tcW w:w="3140" w:type="dxa"/>
            <w:vAlign w:val="bottom"/>
            <w:gridSpan w:val="3"/>
          </w:tcPr>
          <w:p>
            <w:pPr>
              <w:jc w:val="right"/>
              <w:ind w:right="520"/>
              <w:spacing w:after="0"/>
              <w:rPr>
                <w:sz w:val="20"/>
                <w:szCs w:val="20"/>
                <w:color w:val="auto"/>
              </w:rPr>
            </w:pPr>
            <w:r>
              <w:rPr>
                <w:rFonts w:ascii="Arial" w:cs="Arial" w:eastAsia="Arial" w:hAnsi="Arial"/>
                <w:sz w:val="18"/>
                <w:szCs w:val="18"/>
                <w:color w:val="auto"/>
              </w:rPr>
              <w:t>25,000</w:t>
            </w:r>
          </w:p>
        </w:tc>
        <w:tc>
          <w:tcPr>
            <w:tcW w:w="172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Options</w:t>
            </w:r>
          </w:p>
        </w:tc>
        <w:tc>
          <w:tcPr>
            <w:tcW w:w="2640" w:type="dxa"/>
            <w:vAlign w:val="bottom"/>
            <w:gridSpan w:val="4"/>
          </w:tcPr>
          <w:p>
            <w:pPr>
              <w:jc w:val="center"/>
              <w:ind w:left="1290"/>
              <w:spacing w:after="0"/>
              <w:rPr>
                <w:sz w:val="20"/>
                <w:szCs w:val="20"/>
                <w:color w:val="auto"/>
              </w:rPr>
            </w:pPr>
            <w:r>
              <w:rPr>
                <w:rFonts w:ascii="Arial" w:cs="Arial" w:eastAsia="Arial" w:hAnsi="Arial"/>
                <w:sz w:val="18"/>
                <w:szCs w:val="18"/>
                <w:color w:val="auto"/>
                <w:w w:val="85"/>
              </w:rPr>
              <w:t>1.12</w:t>
            </w:r>
          </w:p>
        </w:tc>
        <w:tc>
          <w:tcPr>
            <w:tcW w:w="1020" w:type="dxa"/>
            <w:vAlign w:val="bottom"/>
          </w:tcPr>
          <w:p>
            <w:pPr>
              <w:spacing w:after="0"/>
              <w:rPr>
                <w:sz w:val="24"/>
                <w:szCs w:val="24"/>
                <w:color w:val="auto"/>
              </w:rPr>
            </w:pPr>
          </w:p>
        </w:tc>
        <w:tc>
          <w:tcPr>
            <w:tcW w:w="1740" w:type="dxa"/>
            <w:vAlign w:val="bottom"/>
            <w:gridSpan w:val="2"/>
          </w:tcPr>
          <w:p>
            <w:pPr>
              <w:jc w:val="center"/>
              <w:ind w:left="1010"/>
              <w:spacing w:after="0"/>
              <w:rPr>
                <w:sz w:val="20"/>
                <w:szCs w:val="20"/>
                <w:color w:val="auto"/>
              </w:rPr>
            </w:pPr>
            <w:r>
              <w:rPr>
                <w:rFonts w:ascii="Arial" w:cs="Arial" w:eastAsia="Arial" w:hAnsi="Arial"/>
                <w:sz w:val="18"/>
                <w:szCs w:val="18"/>
                <w:color w:val="auto"/>
                <w:w w:val="87"/>
              </w:rPr>
              <w:t>28,000</w:t>
            </w:r>
          </w:p>
        </w:tc>
        <w:tc>
          <w:tcPr>
            <w:tcW w:w="80" w:type="dxa"/>
            <w:vAlign w:val="bottom"/>
          </w:tcPr>
          <w:p>
            <w:pPr>
              <w:spacing w:after="0"/>
              <w:rPr>
                <w:sz w:val="24"/>
                <w:szCs w:val="24"/>
                <w:color w:val="auto"/>
              </w:rPr>
            </w:pPr>
          </w:p>
        </w:tc>
      </w:tr>
      <w:tr>
        <w:trPr>
          <w:trHeight w:val="459"/>
        </w:trPr>
        <w:tc>
          <w:tcPr>
            <w:tcW w:w="3140" w:type="dxa"/>
            <w:vAlign w:val="bottom"/>
            <w:gridSpan w:val="3"/>
          </w:tcPr>
          <w:p>
            <w:pPr>
              <w:jc w:val="right"/>
              <w:ind w:right="520"/>
              <w:spacing w:after="0"/>
              <w:rPr>
                <w:sz w:val="20"/>
                <w:szCs w:val="20"/>
                <w:color w:val="auto"/>
              </w:rPr>
            </w:pPr>
            <w:r>
              <w:rPr>
                <w:rFonts w:ascii="Arial" w:cs="Arial" w:eastAsia="Arial" w:hAnsi="Arial"/>
                <w:sz w:val="18"/>
                <w:szCs w:val="18"/>
                <w:color w:val="auto"/>
              </w:rPr>
              <w:t>430,000</w:t>
            </w:r>
          </w:p>
        </w:tc>
        <w:tc>
          <w:tcPr>
            <w:tcW w:w="172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Options</w:t>
            </w:r>
          </w:p>
        </w:tc>
        <w:tc>
          <w:tcPr>
            <w:tcW w:w="2640" w:type="dxa"/>
            <w:vAlign w:val="bottom"/>
            <w:gridSpan w:val="4"/>
          </w:tcPr>
          <w:p>
            <w:pPr>
              <w:jc w:val="center"/>
              <w:ind w:left="1290"/>
              <w:spacing w:after="0"/>
              <w:rPr>
                <w:sz w:val="20"/>
                <w:szCs w:val="20"/>
                <w:color w:val="auto"/>
              </w:rPr>
            </w:pPr>
            <w:r>
              <w:rPr>
                <w:rFonts w:ascii="Arial" w:cs="Arial" w:eastAsia="Arial" w:hAnsi="Arial"/>
                <w:sz w:val="18"/>
                <w:szCs w:val="18"/>
                <w:color w:val="auto"/>
                <w:w w:val="85"/>
              </w:rPr>
              <w:t>1.00</w:t>
            </w:r>
          </w:p>
        </w:tc>
        <w:tc>
          <w:tcPr>
            <w:tcW w:w="1020" w:type="dxa"/>
            <w:vAlign w:val="bottom"/>
          </w:tcPr>
          <w:p>
            <w:pPr>
              <w:spacing w:after="0"/>
              <w:rPr>
                <w:sz w:val="24"/>
                <w:szCs w:val="24"/>
                <w:color w:val="auto"/>
              </w:rPr>
            </w:pPr>
          </w:p>
        </w:tc>
        <w:tc>
          <w:tcPr>
            <w:tcW w:w="1740" w:type="dxa"/>
            <w:vAlign w:val="bottom"/>
            <w:gridSpan w:val="2"/>
          </w:tcPr>
          <w:p>
            <w:pPr>
              <w:jc w:val="center"/>
              <w:ind w:left="1010"/>
              <w:spacing w:after="0"/>
              <w:rPr>
                <w:sz w:val="20"/>
                <w:szCs w:val="20"/>
                <w:color w:val="auto"/>
              </w:rPr>
            </w:pPr>
            <w:r>
              <w:rPr>
                <w:rFonts w:ascii="Arial" w:cs="Arial" w:eastAsia="Arial" w:hAnsi="Arial"/>
                <w:sz w:val="18"/>
                <w:szCs w:val="18"/>
                <w:color w:val="auto"/>
                <w:w w:val="92"/>
              </w:rPr>
              <w:t>430,000</w:t>
            </w:r>
          </w:p>
        </w:tc>
        <w:tc>
          <w:tcPr>
            <w:tcW w:w="80" w:type="dxa"/>
            <w:vAlign w:val="bottom"/>
          </w:tcPr>
          <w:p>
            <w:pPr>
              <w:spacing w:after="0"/>
              <w:rPr>
                <w:sz w:val="24"/>
                <w:szCs w:val="24"/>
                <w:color w:val="auto"/>
              </w:rPr>
            </w:pPr>
          </w:p>
        </w:tc>
      </w:tr>
      <w:tr>
        <w:trPr>
          <w:trHeight w:val="459"/>
        </w:trPr>
        <w:tc>
          <w:tcPr>
            <w:tcW w:w="3140" w:type="dxa"/>
            <w:vAlign w:val="bottom"/>
            <w:gridSpan w:val="3"/>
          </w:tcPr>
          <w:p>
            <w:pPr>
              <w:jc w:val="right"/>
              <w:ind w:right="520"/>
              <w:spacing w:after="0"/>
              <w:rPr>
                <w:sz w:val="20"/>
                <w:szCs w:val="20"/>
                <w:color w:val="auto"/>
              </w:rPr>
            </w:pPr>
            <w:r>
              <w:rPr>
                <w:rFonts w:ascii="Arial" w:cs="Arial" w:eastAsia="Arial" w:hAnsi="Arial"/>
                <w:sz w:val="18"/>
                <w:szCs w:val="18"/>
                <w:color w:val="auto"/>
              </w:rPr>
              <w:t>200,000</w:t>
            </w:r>
          </w:p>
        </w:tc>
        <w:tc>
          <w:tcPr>
            <w:tcW w:w="172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Options</w:t>
            </w:r>
          </w:p>
        </w:tc>
        <w:tc>
          <w:tcPr>
            <w:tcW w:w="2640" w:type="dxa"/>
            <w:vAlign w:val="bottom"/>
            <w:gridSpan w:val="4"/>
          </w:tcPr>
          <w:p>
            <w:pPr>
              <w:jc w:val="center"/>
              <w:ind w:left="1290"/>
              <w:spacing w:after="0"/>
              <w:rPr>
                <w:sz w:val="20"/>
                <w:szCs w:val="20"/>
                <w:color w:val="auto"/>
              </w:rPr>
            </w:pPr>
            <w:r>
              <w:rPr>
                <w:rFonts w:ascii="Arial" w:cs="Arial" w:eastAsia="Arial" w:hAnsi="Arial"/>
                <w:sz w:val="18"/>
                <w:szCs w:val="18"/>
                <w:color w:val="auto"/>
                <w:w w:val="85"/>
              </w:rPr>
              <w:t>0.73</w:t>
            </w:r>
          </w:p>
        </w:tc>
        <w:tc>
          <w:tcPr>
            <w:tcW w:w="1020" w:type="dxa"/>
            <w:vAlign w:val="bottom"/>
          </w:tcPr>
          <w:p>
            <w:pPr>
              <w:spacing w:after="0"/>
              <w:rPr>
                <w:sz w:val="24"/>
                <w:szCs w:val="24"/>
                <w:color w:val="auto"/>
              </w:rPr>
            </w:pPr>
          </w:p>
        </w:tc>
        <w:tc>
          <w:tcPr>
            <w:tcW w:w="1740" w:type="dxa"/>
            <w:vAlign w:val="bottom"/>
            <w:gridSpan w:val="2"/>
          </w:tcPr>
          <w:p>
            <w:pPr>
              <w:jc w:val="center"/>
              <w:ind w:left="1010"/>
              <w:spacing w:after="0"/>
              <w:rPr>
                <w:sz w:val="20"/>
                <w:szCs w:val="20"/>
                <w:color w:val="auto"/>
              </w:rPr>
            </w:pPr>
            <w:r>
              <w:rPr>
                <w:rFonts w:ascii="Arial" w:cs="Arial" w:eastAsia="Arial" w:hAnsi="Arial"/>
                <w:sz w:val="18"/>
                <w:szCs w:val="18"/>
                <w:color w:val="auto"/>
                <w:w w:val="92"/>
              </w:rPr>
              <w:t>146,000</w:t>
            </w:r>
          </w:p>
        </w:tc>
        <w:tc>
          <w:tcPr>
            <w:tcW w:w="80" w:type="dxa"/>
            <w:vAlign w:val="bottom"/>
          </w:tcPr>
          <w:p>
            <w:pPr>
              <w:spacing w:after="0"/>
              <w:rPr>
                <w:sz w:val="24"/>
                <w:szCs w:val="24"/>
                <w:color w:val="auto"/>
              </w:rPr>
            </w:pPr>
          </w:p>
        </w:tc>
      </w:tr>
      <w:tr>
        <w:trPr>
          <w:trHeight w:val="459"/>
        </w:trPr>
        <w:tc>
          <w:tcPr>
            <w:tcW w:w="3140" w:type="dxa"/>
            <w:vAlign w:val="bottom"/>
            <w:gridSpan w:val="3"/>
          </w:tcPr>
          <w:p>
            <w:pPr>
              <w:jc w:val="right"/>
              <w:ind w:right="520"/>
              <w:spacing w:after="0"/>
              <w:rPr>
                <w:sz w:val="20"/>
                <w:szCs w:val="20"/>
                <w:color w:val="auto"/>
              </w:rPr>
            </w:pPr>
            <w:r>
              <w:rPr>
                <w:rFonts w:ascii="Arial" w:cs="Arial" w:eastAsia="Arial" w:hAnsi="Arial"/>
                <w:sz w:val="18"/>
                <w:szCs w:val="18"/>
                <w:color w:val="auto"/>
              </w:rPr>
              <w:t>50,000</w:t>
            </w:r>
          </w:p>
        </w:tc>
        <w:tc>
          <w:tcPr>
            <w:tcW w:w="1720" w:type="dxa"/>
            <w:vAlign w:val="bottom"/>
            <w:gridSpan w:val="3"/>
          </w:tcPr>
          <w:p>
            <w:pPr>
              <w:jc w:val="center"/>
              <w:ind w:right="80"/>
              <w:spacing w:after="0"/>
              <w:rPr>
                <w:sz w:val="20"/>
                <w:szCs w:val="20"/>
                <w:color w:val="auto"/>
              </w:rPr>
            </w:pPr>
            <w:r>
              <w:rPr>
                <w:rFonts w:ascii="Arial" w:cs="Arial" w:eastAsia="Arial" w:hAnsi="Arial"/>
                <w:sz w:val="18"/>
                <w:szCs w:val="18"/>
                <w:color w:val="auto"/>
                <w:w w:val="87"/>
              </w:rPr>
              <w:t>Warrants</w:t>
            </w:r>
          </w:p>
        </w:tc>
        <w:tc>
          <w:tcPr>
            <w:tcW w:w="2640" w:type="dxa"/>
            <w:vAlign w:val="bottom"/>
            <w:gridSpan w:val="4"/>
          </w:tcPr>
          <w:p>
            <w:pPr>
              <w:jc w:val="center"/>
              <w:ind w:left="1290"/>
              <w:spacing w:after="0"/>
              <w:rPr>
                <w:sz w:val="20"/>
                <w:szCs w:val="20"/>
                <w:color w:val="auto"/>
              </w:rPr>
            </w:pPr>
            <w:r>
              <w:rPr>
                <w:rFonts w:ascii="Arial" w:cs="Arial" w:eastAsia="Arial" w:hAnsi="Arial"/>
                <w:sz w:val="18"/>
                <w:szCs w:val="18"/>
                <w:color w:val="auto"/>
                <w:w w:val="85"/>
              </w:rPr>
              <w:t>0.89</w:t>
            </w:r>
          </w:p>
        </w:tc>
        <w:tc>
          <w:tcPr>
            <w:tcW w:w="1020" w:type="dxa"/>
            <w:vAlign w:val="bottom"/>
          </w:tcPr>
          <w:p>
            <w:pPr>
              <w:spacing w:after="0"/>
              <w:rPr>
                <w:sz w:val="24"/>
                <w:szCs w:val="24"/>
                <w:color w:val="auto"/>
              </w:rPr>
            </w:pPr>
          </w:p>
        </w:tc>
        <w:tc>
          <w:tcPr>
            <w:tcW w:w="1740" w:type="dxa"/>
            <w:vAlign w:val="bottom"/>
            <w:gridSpan w:val="2"/>
          </w:tcPr>
          <w:p>
            <w:pPr>
              <w:jc w:val="center"/>
              <w:ind w:left="1010"/>
              <w:spacing w:after="0"/>
              <w:rPr>
                <w:sz w:val="20"/>
                <w:szCs w:val="20"/>
                <w:color w:val="auto"/>
              </w:rPr>
            </w:pPr>
            <w:r>
              <w:rPr>
                <w:rFonts w:ascii="Arial" w:cs="Arial" w:eastAsia="Arial" w:hAnsi="Arial"/>
                <w:sz w:val="18"/>
                <w:szCs w:val="18"/>
                <w:color w:val="auto"/>
                <w:w w:val="87"/>
              </w:rPr>
              <w:t>44,500</w:t>
            </w:r>
          </w:p>
        </w:tc>
        <w:tc>
          <w:tcPr>
            <w:tcW w:w="80" w:type="dxa"/>
            <w:vAlign w:val="bottom"/>
          </w:tcPr>
          <w:p>
            <w:pPr>
              <w:spacing w:after="0"/>
              <w:rPr>
                <w:sz w:val="24"/>
                <w:szCs w:val="24"/>
                <w:color w:val="auto"/>
              </w:rPr>
            </w:pPr>
          </w:p>
        </w:tc>
      </w:tr>
      <w:tr>
        <w:trPr>
          <w:trHeight w:val="459"/>
        </w:trPr>
        <w:tc>
          <w:tcPr>
            <w:tcW w:w="3140" w:type="dxa"/>
            <w:vAlign w:val="bottom"/>
            <w:gridSpan w:val="3"/>
          </w:tcPr>
          <w:p>
            <w:pPr>
              <w:jc w:val="right"/>
              <w:ind w:right="520"/>
              <w:spacing w:after="0"/>
              <w:rPr>
                <w:sz w:val="20"/>
                <w:szCs w:val="20"/>
                <w:color w:val="auto"/>
              </w:rPr>
            </w:pPr>
            <w:r>
              <w:rPr>
                <w:rFonts w:ascii="Arial" w:cs="Arial" w:eastAsia="Arial" w:hAnsi="Arial"/>
                <w:sz w:val="18"/>
                <w:szCs w:val="18"/>
                <w:color w:val="auto"/>
              </w:rPr>
              <w:t>25,000</w:t>
            </w:r>
          </w:p>
        </w:tc>
        <w:tc>
          <w:tcPr>
            <w:tcW w:w="172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Options</w:t>
            </w:r>
          </w:p>
        </w:tc>
        <w:tc>
          <w:tcPr>
            <w:tcW w:w="2640" w:type="dxa"/>
            <w:vAlign w:val="bottom"/>
            <w:gridSpan w:val="4"/>
          </w:tcPr>
          <w:p>
            <w:pPr>
              <w:jc w:val="center"/>
              <w:ind w:left="1290"/>
              <w:spacing w:after="0"/>
              <w:rPr>
                <w:sz w:val="20"/>
                <w:szCs w:val="20"/>
                <w:color w:val="auto"/>
              </w:rPr>
            </w:pPr>
            <w:r>
              <w:rPr>
                <w:rFonts w:ascii="Arial" w:cs="Arial" w:eastAsia="Arial" w:hAnsi="Arial"/>
                <w:sz w:val="18"/>
                <w:szCs w:val="18"/>
                <w:color w:val="auto"/>
                <w:w w:val="85"/>
              </w:rPr>
              <w:t>1.58</w:t>
            </w:r>
          </w:p>
        </w:tc>
        <w:tc>
          <w:tcPr>
            <w:tcW w:w="1020" w:type="dxa"/>
            <w:vAlign w:val="bottom"/>
          </w:tcPr>
          <w:p>
            <w:pPr>
              <w:spacing w:after="0"/>
              <w:rPr>
                <w:sz w:val="24"/>
                <w:szCs w:val="24"/>
                <w:color w:val="auto"/>
              </w:rPr>
            </w:pPr>
          </w:p>
        </w:tc>
        <w:tc>
          <w:tcPr>
            <w:tcW w:w="1740" w:type="dxa"/>
            <w:vAlign w:val="bottom"/>
            <w:gridSpan w:val="2"/>
          </w:tcPr>
          <w:p>
            <w:pPr>
              <w:jc w:val="center"/>
              <w:ind w:left="1010"/>
              <w:spacing w:after="0"/>
              <w:rPr>
                <w:sz w:val="20"/>
                <w:szCs w:val="20"/>
                <w:color w:val="auto"/>
              </w:rPr>
            </w:pPr>
            <w:r>
              <w:rPr>
                <w:rFonts w:ascii="Arial" w:cs="Arial" w:eastAsia="Arial" w:hAnsi="Arial"/>
                <w:sz w:val="18"/>
                <w:szCs w:val="18"/>
                <w:color w:val="auto"/>
                <w:w w:val="87"/>
              </w:rPr>
              <w:t>39,500</w:t>
            </w:r>
          </w:p>
        </w:tc>
        <w:tc>
          <w:tcPr>
            <w:tcW w:w="80" w:type="dxa"/>
            <w:vAlign w:val="bottom"/>
          </w:tcPr>
          <w:p>
            <w:pPr>
              <w:spacing w:after="0"/>
              <w:rPr>
                <w:sz w:val="24"/>
                <w:szCs w:val="24"/>
                <w:color w:val="auto"/>
              </w:rPr>
            </w:pPr>
          </w:p>
        </w:tc>
      </w:tr>
      <w:tr>
        <w:trPr>
          <w:trHeight w:val="918"/>
        </w:trPr>
        <w:tc>
          <w:tcPr>
            <w:tcW w:w="3140" w:type="dxa"/>
            <w:vAlign w:val="bottom"/>
            <w:gridSpan w:val="3"/>
          </w:tcPr>
          <w:p>
            <w:pPr>
              <w:jc w:val="right"/>
              <w:ind w:right="520"/>
              <w:spacing w:after="0"/>
              <w:rPr>
                <w:sz w:val="20"/>
                <w:szCs w:val="20"/>
                <w:color w:val="auto"/>
              </w:rPr>
            </w:pPr>
            <w:r>
              <w:rPr>
                <w:rFonts w:ascii="Arial" w:cs="Arial" w:eastAsia="Arial" w:hAnsi="Arial"/>
                <w:sz w:val="18"/>
                <w:szCs w:val="18"/>
                <w:color w:val="auto"/>
              </w:rPr>
              <w:t>12,390,000</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20" w:type="dxa"/>
            <w:vAlign w:val="bottom"/>
            <w:gridSpan w:val="3"/>
          </w:tcPr>
          <w:p>
            <w:pPr>
              <w:jc w:val="center"/>
              <w:ind w:left="930"/>
              <w:spacing w:after="0"/>
              <w:rPr>
                <w:sz w:val="20"/>
                <w:szCs w:val="20"/>
                <w:color w:val="auto"/>
              </w:rPr>
            </w:pPr>
            <w:r>
              <w:rPr>
                <w:rFonts w:ascii="Arial" w:cs="Arial" w:eastAsia="Arial" w:hAnsi="Arial"/>
                <w:sz w:val="18"/>
                <w:szCs w:val="18"/>
                <w:color w:val="auto"/>
                <w:w w:val="88"/>
              </w:rPr>
              <w:t>20,141,000</w:t>
            </w:r>
          </w:p>
        </w:tc>
      </w:tr>
    </w:tbl>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Weighted Average Price $1.625585149</w:t>
      </w:r>
    </w:p>
    <w:p>
      <w:pPr>
        <w:spacing w:after="0" w:line="225" w:lineRule="exact"/>
        <w:rPr>
          <w:sz w:val="20"/>
          <w:szCs w:val="20"/>
          <w:color w:val="auto"/>
        </w:rPr>
      </w:pPr>
    </w:p>
    <w:p>
      <w:pPr>
        <w:ind w:left="660" w:right="68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These warrants are held by Vicis Capital Master Fund. Upon repurchase by the Company, the outstanding options and warrants to purchase 12,390,000 shares of the Company’s stock will be reduced to 2,390,000 shares of the Company’s stock.</w:t>
      </w: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608" w:right="29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auto"/>
        </w:rPr>
        <w:t>Schedule 3.1(g) cont.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Vicis Capital Master Fund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agreements qualify the representations made in Section 3.1(g) of the Agreement. The following agreements are exhibits to the Form 8-K filed by the Company on September 21, 2011 with the Commission.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Agreement and Release, dated September 16, 2011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Purchase Agreement, dated September 16,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Guarantee Agreement, dated September 16,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Amended and Restated Registration Rights Agreement, dated September 16,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Amended and Restated Security Agreement, dated September 16,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Amended and Restated Guarantor Security Agreement, dated September 16, 2011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agreements are exhibits to the Form 8-K filed by the Company on June 11, 2010 with the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Certificate of Designation – Series B Preferred Stock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dated June 4,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Purchase Agreement, dated June 4,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 dated June 4,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&amp; Restated Security Agreement, dated June 4,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Guaranty Agreement, dated June 4,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&amp; Restated Guarantor Security Agreement, June 4, 2010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agreements are exhibits to the Form S-1 filed by the Company on November 12, 2008 with the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Certificate of Designation, filed on September 5, 2008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Purchase Agreement, dated September 8,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 of Series A Warrant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 dated September 8,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Security Agreement, dated September 8,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Guaranty Agreement, dated September 8,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Guarantor Security Agreement, dated September 8, 2008</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u w:val="single" w:color="auto"/>
          <w:color w:val="auto"/>
        </w:rPr>
        <w:t>Schedule 3.1(i)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Business and Financial Condition</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Because we have historically experienced losses and only recently experienced profits, if we are unable to achieve profitability, our financial condition and company could suffer.</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Since the inception of our business we have historically incurred losses. We have only recently experienced profits and increased revenues. Our ability to maintain profitability depends on our ability to generate sales through our technology platform and advertising model while maintaining reasonable expense levels. In particular, although we intend to increase significantly our spending on marketing, these efforts may not be effective in promoting delivery. If we do not achieve sustainable profitability, we may not be able to continue our operations.</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Because we have recently learned that our financial statements have errors regarding revenue share expenses, our results of operations may be different than disclosed in our financial statements.</w:t>
      </w:r>
    </w:p>
    <w:p>
      <w:pPr>
        <w:spacing w:after="0" w:line="1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recently announced a needed adjustment to the accounting policy so that revenue share expenses are properly accrued each quarter and at the end of the year, versus when they are paid. The method of recording revenue share payments previously aligned with our contractual terms with our platform partners -- which generally required payment 30 days after we received the fees from our sponsored manufacturers in the following quarter. Therefore, for year-end 2012 and each quarter of 2013, there will be a journal entry needed to record the revenue share amounts due on an accrual basis rather than recording these as an expense when they are paid. We will likely disclosure the restated numbers for these periods in subsequent filings. As such, the financial numbers will be adjusted in our ongoing SEC filings and the results of operations may differ from what we have disclosed.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certain key sales and technology personnel for our success and currently need to expand our staff.</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success depends on the continued availability and contributions of members of our sales, and technology team and other key personnel. As such, our success depends in large measure on the continued service of these individuals in their respective positions. Furthermore, recruiting and retaining qualified personnel to expand the number of customers for which we manage delivery for will be critical to our success. The loss of members of our sales or technology team or our inability to attract or retain other qualified personnel could significantly weaken our team, harm our ability to compete effectively and harm our long-term business prospects.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obtain retain or attract additional customers could prevent us from successfully executing our business plan.</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currently work with many leading pharmaceutical companies, including Pfizer, Lilly and Novartis. Our failure to retain existing customers or expand additional customers could harmfully impact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support our technology to further scale our operations successfully.</w:t>
      </w:r>
    </w:p>
    <w:p>
      <w:pPr>
        <w:spacing w:after="0" w:line="22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Our plan is to grow rapidly through further integration of our technology in electronic platforms. Our growth will place significant demands on our management and technology development, as well as our financial, administrative and other resources. We cannot guarantee that any of the systems, procedures and controls we put in place will be adequate to support the commercialization of our operations. Our operating results will depend substantially on the ability of our officers and key employees to manage changing business conditions and to implement and improve our financial, administrative and other resources. If we are unable to respond to and manage changing business conditions, or the scale of our products, services and operations, then the quality of our services, our ability to retain key personnel and our business could be harmed.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maintain our contracts with electronic prescription platforms, our business will suffer.</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are reliant upon our contracts with leading electronic prescribing platforms, including Allscripts and DrFirst. We will need to maintain these relationships as well as diversify them. The inability to do so could adversely impact the Company’s business.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21" w:right="279" w:bottom="1440" w:gutter="0" w:footer="0" w:header="0"/>
        </w:sectPr>
      </w:pPr>
    </w:p>
    <w:bookmarkStart w:id="29" w:name="page30"/>
    <w:bookmarkEnd w:id="29"/>
    <w:p>
      <w:pPr>
        <w:ind w:right="40"/>
        <w:spacing w:after="0" w:line="308" w:lineRule="auto"/>
        <w:rPr>
          <w:sz w:val="20"/>
          <w:szCs w:val="20"/>
          <w:color w:val="auto"/>
        </w:rPr>
      </w:pPr>
      <w:r>
        <w:rPr>
          <w:rFonts w:ascii="Arial" w:cs="Arial" w:eastAsia="Arial" w:hAnsi="Arial"/>
          <w:sz w:val="17"/>
          <w:szCs w:val="17"/>
          <w:b w:val="1"/>
          <w:bCs w:val="1"/>
          <w:i w:val="1"/>
          <w:iCs w:val="1"/>
          <w:color w:val="auto"/>
        </w:rPr>
        <w:t>Developing and implementing new and updated applications, features and services for our public and private portals may be more difficult than expected, may take longer and cost more than expected and may not result in sufficient increases in revenue to justify the costs</w:t>
      </w:r>
    </w:p>
    <w:p>
      <w:pPr>
        <w:spacing w:after="0" w:line="147"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Attracting and retaining users of our public portals and clients for our private portals requires us to continue to improve the technology underlying those portals and to continue to develop new and updated applications, features and services for those portals. If we are unable to do so on a timely basis or if we are unable to implement new applications, features and services without disruption to our existing ones, we may lose potential users and clients.</w:t>
      </w:r>
    </w:p>
    <w:p>
      <w:pPr>
        <w:spacing w:after="0" w:line="147" w:lineRule="exact"/>
        <w:rPr>
          <w:sz w:val="20"/>
          <w:szCs w:val="20"/>
          <w:color w:val="auto"/>
        </w:rPr>
      </w:pPr>
    </w:p>
    <w:p>
      <w:pPr>
        <w:jc w:val="both"/>
        <w:ind w:right="60"/>
        <w:spacing w:after="0" w:line="288" w:lineRule="auto"/>
        <w:rPr>
          <w:sz w:val="20"/>
          <w:szCs w:val="20"/>
          <w:color w:val="auto"/>
        </w:rPr>
      </w:pPr>
      <w:r>
        <w:rPr>
          <w:rFonts w:ascii="Arial" w:cs="Arial" w:eastAsia="Arial" w:hAnsi="Arial"/>
          <w:sz w:val="16"/>
          <w:szCs w:val="16"/>
          <w:color w:val="auto"/>
        </w:rPr>
        <w:t>We rely on a combination of internal development, strategic relationships, licensing and acquisitions to develop our portals and related applications, features and services. Our development and/or implementation of new technologies, applications, features and services may cost more than expected, may take longer than originally expected, may require more testing than originally anticipated and may require the acquisition of additional personnel and other resources.</w:t>
      </w:r>
    </w:p>
    <w:p>
      <w:pPr>
        <w:ind w:right="320"/>
        <w:spacing w:after="0" w:line="261" w:lineRule="auto"/>
        <w:rPr>
          <w:sz w:val="20"/>
          <w:szCs w:val="20"/>
          <w:color w:val="auto"/>
        </w:rPr>
      </w:pPr>
      <w:r>
        <w:rPr>
          <w:rFonts w:ascii="Arial" w:cs="Arial" w:eastAsia="Arial" w:hAnsi="Arial"/>
          <w:sz w:val="18"/>
          <w:szCs w:val="18"/>
          <w:color w:val="auto"/>
        </w:rPr>
        <w:t>There can be no assurance that the revenue opportunities from any new or updated technologies, applications, features or services will justify the amounts spent.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adhere to the regulatory and competitive climate in which we operate, we could be materially and negatively impacted.</w:t>
      </w:r>
    </w:p>
    <w:p>
      <w:pPr>
        <w:spacing w:after="0" w:line="23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Do to the labyrinth of regulations in healthcare space, state and federal, as well as political sensitivity of healthcare delivery the proposed business model could be negatively impacted or fail.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markets in which we operate are intensely competitive, continually evolving and, in some cases, subject to rapid change.</w:t>
      </w:r>
    </w:p>
    <w:p>
      <w:pPr>
        <w:spacing w:after="0" w:line="225" w:lineRule="exact"/>
        <w:rPr>
          <w:sz w:val="20"/>
          <w:szCs w:val="20"/>
          <w:color w:val="auto"/>
        </w:rPr>
      </w:pPr>
    </w:p>
    <w:p>
      <w:pPr>
        <w:ind w:left="1160" w:right="140" w:hanging="571"/>
        <w:spacing w:after="0" w:line="253"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public portals face competition from numerous other companies, both in attracting users and in generating revenue from advertisers and sponsors. We compete for users with online services and Web sites that provide savings on medications and healthcare products, including both commercial sites and not-for-profit sites. We compete for advertisers and sponsors with: health-related web sites; general purpose consumer web sites that offer specialized health sub-channels; other high-traffic web sites that include both healthcare-related and non-healthcare-related content and services; search engines that provide specialized health search; and advertising networks that aggregate traffic from multiple sites.</w:t>
      </w:r>
    </w:p>
    <w:p>
      <w:pPr>
        <w:spacing w:after="0" w:line="1" w:lineRule="exact"/>
        <w:rPr>
          <w:rFonts w:ascii="Arial" w:cs="Arial" w:eastAsia="Arial" w:hAnsi="Arial"/>
          <w:sz w:val="18"/>
          <w:szCs w:val="18"/>
          <w:color w:val="auto"/>
        </w:rPr>
      </w:pPr>
    </w:p>
    <w:p>
      <w:pPr>
        <w:jc w:val="both"/>
        <w:ind w:left="1160" w:right="280" w:hanging="571"/>
        <w:spacing w:after="0" w:line="250"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private portals compete with: providers of healthcare decision-support tools and online health management applications; wellness and disease management vendors; and health information services and health management offerings of healthcare benefits companies and their affiliates.</w:t>
      </w:r>
    </w:p>
    <w:p>
      <w:pPr>
        <w:spacing w:after="0" w:line="1" w:lineRule="exact"/>
        <w:rPr>
          <w:rFonts w:ascii="Arial" w:cs="Arial" w:eastAsia="Arial" w:hAnsi="Arial"/>
          <w:sz w:val="18"/>
          <w:szCs w:val="18"/>
          <w:color w:val="auto"/>
        </w:rPr>
      </w:pPr>
    </w:p>
    <w:p>
      <w:pPr>
        <w:ind w:left="1160" w:right="220" w:hanging="571"/>
        <w:spacing w:after="0" w:line="290" w:lineRule="auto"/>
        <w:tabs>
          <w:tab w:leader="none" w:pos="11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Publishing and Other Services segment’s products and services compete with numerous other offline publications, some of which have better access to traditional distribution channels than we have, and also compete with online information sources.</w:t>
      </w:r>
    </w:p>
    <w:p>
      <w:pPr>
        <w:spacing w:after="0" w:line="1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Many of our competitors have greater financial, technical, product development, marketing and other resources than we do. These organizations may be better known than we are and have more customers or users than we do. We cannot provide assurance that we will be able to compete successfully against these organizations or any alliances they have formed or may form. Since there are no substantial barriers to entry into the markets in which our public portals participate, we expect that competitors will continue to enter these markets.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in the healthcare industry could adversely affect our business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Most of our revenue is derived from the healthcare industry and could be affected by changes affecting healthcare spending. We are particularly dependent on pharmaceutical, biotechnology and medical device companies for our advertising and sponsorship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General reductions in expenditures by healthcare industry participants could result from, among other things:</w:t>
      </w:r>
    </w:p>
    <w:p>
      <w:pPr>
        <w:spacing w:after="0" w:line="225" w:lineRule="exact"/>
        <w:rPr>
          <w:sz w:val="20"/>
          <w:szCs w:val="20"/>
          <w:color w:val="auto"/>
        </w:rPr>
      </w:pPr>
    </w:p>
    <w:p>
      <w:pPr>
        <w:ind w:left="1160" w:right="620" w:hanging="571"/>
        <w:spacing w:after="0" w:line="274" w:lineRule="auto"/>
        <w:tabs>
          <w:tab w:leader="none" w:pos="11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government regulation or private initiatives that affect the manner in which healthcare providers interact with patients, payers or other healthcare industry participants, including changes in pricing or means of delivery of healthcare products and services;</w:t>
      </w:r>
    </w:p>
    <w:p>
      <w:pPr>
        <w:ind w:left="1160" w:hanging="571"/>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consolidation of healthcare industry participants;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reductions in governmental funding for healthcare; and</w:t>
      </w:r>
    </w:p>
    <w:p>
      <w:pPr>
        <w:spacing w:after="0" w:line="9" w:lineRule="exact"/>
        <w:rPr>
          <w:rFonts w:ascii="Arial" w:cs="Arial" w:eastAsia="Arial" w:hAnsi="Arial"/>
          <w:sz w:val="18"/>
          <w:szCs w:val="18"/>
          <w:color w:val="auto"/>
        </w:rPr>
      </w:pPr>
    </w:p>
    <w:p>
      <w:pPr>
        <w:ind w:left="1160" w:right="500" w:hanging="571"/>
        <w:spacing w:after="0" w:line="261"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changes in business or economic conditions affecting healthcare payers or providers, pharmaceutical, biotechnology or medical device companies or other healthcare industry participants.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sectPr>
      </w:pPr>
    </w:p>
    <w:bookmarkStart w:id="30" w:name="page31"/>
    <w:bookmarkEnd w:id="30"/>
    <w:p>
      <w:pPr>
        <w:ind w:right="100"/>
        <w:spacing w:after="0" w:line="342" w:lineRule="auto"/>
        <w:rPr>
          <w:sz w:val="20"/>
          <w:szCs w:val="20"/>
          <w:color w:val="auto"/>
        </w:rPr>
      </w:pPr>
      <w:r>
        <w:rPr>
          <w:rFonts w:ascii="Arial" w:cs="Arial" w:eastAsia="Arial" w:hAnsi="Arial"/>
          <w:sz w:val="16"/>
          <w:szCs w:val="16"/>
          <w:color w:val="auto"/>
        </w:rPr>
        <w:t>Even if general expenditures by industry participants remain the same or increase, developments in the healthcare industry may result in reduced spending in some or all of the specific market segments that we serve or are planning to serve. For example, use of our products and services could be affected by:</w:t>
      </w:r>
    </w:p>
    <w:p>
      <w:pPr>
        <w:spacing w:after="0" w:line="124" w:lineRule="exact"/>
        <w:rPr>
          <w:sz w:val="20"/>
          <w:szCs w:val="20"/>
          <w:color w:val="auto"/>
        </w:rPr>
      </w:pPr>
    </w:p>
    <w:p>
      <w:pPr>
        <w:ind w:left="1160" w:hanging="571"/>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design of health insurance plans;</w:t>
      </w:r>
    </w:p>
    <w:p>
      <w:pPr>
        <w:spacing w:after="0" w:line="23" w:lineRule="exact"/>
        <w:rPr>
          <w:rFonts w:ascii="Arial" w:cs="Arial" w:eastAsia="Arial" w:hAnsi="Arial"/>
          <w:sz w:val="18"/>
          <w:szCs w:val="18"/>
          <w:color w:val="auto"/>
        </w:rPr>
      </w:pPr>
    </w:p>
    <w:p>
      <w:pPr>
        <w:ind w:left="1160" w:hanging="571"/>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decrease in the number of new drugs or medical devices coming to market; and</w:t>
      </w:r>
    </w:p>
    <w:p>
      <w:pPr>
        <w:spacing w:after="0" w:line="9" w:lineRule="exact"/>
        <w:rPr>
          <w:rFonts w:ascii="Arial" w:cs="Arial" w:eastAsia="Arial" w:hAnsi="Arial"/>
          <w:sz w:val="18"/>
          <w:szCs w:val="18"/>
          <w:color w:val="auto"/>
        </w:rPr>
      </w:pPr>
    </w:p>
    <w:p>
      <w:pPr>
        <w:ind w:left="1160" w:right="380" w:hanging="571"/>
        <w:spacing w:after="0" w:line="323" w:lineRule="auto"/>
        <w:tabs>
          <w:tab w:leader="none" w:pos="11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decreases in marketing expenditures by pharmaceutical or medical device companies, including as a result of governmental regulation or private initiatives that discourage or prohibit advertising or sponsorship activities by pharmaceutical or medical device companies.</w:t>
      </w:r>
    </w:p>
    <w:p>
      <w:pPr>
        <w:spacing w:after="0" w:line="13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addition, our customers’ expectations regarding pending or potential industry developments may also affect their budgeting processes and spending plans with respect to products and services of the types we provide.</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healthcare industry has changed significantly in recent years and we expect that significant changes will continue to occur. However, the timing and impact of developments in the healthcare industry are difficult to predict. We cannot assure you that the markets for our products and services will continue to exist at current levels or that we will have adequate technical, financial and marketing resources to react to changes in those markets.</w:t>
      </w:r>
    </w:p>
    <w:p>
      <w:pPr>
        <w:spacing w:after="0" w:line="16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Because we are embroiled in various lawsuits with uncertain consequences, the outcome of potential judgments may negatively affect our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are involved in the following lawsuits.</w:t>
      </w:r>
    </w:p>
    <w:p>
      <w:pPr>
        <w:spacing w:after="0" w:line="225"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On February 6, 2013, we filed a Complaint for Patent Infringement against Physicians Interactive Inc., Physicians Interactive Holdings,Inc. and Skyscape.com, in which we allege that one or more of those entities has infringed on United States Patent No. 8,341,015. As of September 30, 2013, the defendants responded denying the assertions made in our Complaint, and the matter is currently being litigated in federal court in Detroit, Michigan.</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recently learned of an action in New Jersey brought by Milton J. Wilpon and the Milton Wilpon 2000 Trust. Last November 2013, we were served notice that we would be added as an additional party to the case titled Mitlon Wilson et al. v. Continental Capital Corporation, C-289-06, in the Superior Court of New Jersey. There is an existing default judgment of roughly $700,000 plus fees and costs. We are uncertain of the substance of the allegations lodged against the existing defendants and now perhaps us, as we are likely now a party to the action. We intend to investigate and, if necessary, vigorously defend the matter. We hope to have more information in subsequent SEC filings.</w:t>
      </w:r>
    </w:p>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These lawsuits are ongoing, uncertain and involve a substantial degree of risk. If we are unable to successfully defend these actions, our financial condition and results of operations will suffer.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Our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receive subscriptions for $6,000,000, we will not be able to exercise our option and buy out Vicis.</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shares are being offered by the Company on a "best efforts" basis. We reserve the right to enter into agreements with one or more broker-dealers to sell the shares, with such broker-dealers receiving sales commissions of up to 10% of the price of the shares and other forms of compensation, including warrants. We can provide no assurance that this offering will be completely sold out. Our main purpose in this offering is to repurchase the securities held by Vicis so we have a better capital structure. If less than $6,000,000 is available to us, we will not be able to exercise our option and buy out Vicis.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25"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If a market for our common stock does not develop, shareholders may be unable to sell their shares.</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common stock is publicly traded under the symbol “OPRX” on the OTCQB operated by OTC Markets Group, Inc, an electronic inter-dealer quotation medium for equity securities. We do not currently have an active trading market. There can be no assurance that an active and liquid trading market will develop or, if developed, that it will be sustained.</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Because we will be subject to the “Penny Stock” rules once our shares are quoted on the over-the-counter bulletin board, the level of trading activity in our stock may be reduced.</w:t>
      </w:r>
    </w:p>
    <w:p>
      <w:pPr>
        <w:spacing w:after="0" w:line="17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Securities and Exchange Commission has adopted regulations which generally define "penny stock" to be any listed, trading equity security that has a market price less than $5.00 per share or an exercise price of less than $5.00 per share, subject to certain exemptions. The penny stock rules require a broker-dealer, prior to a transaction in a penny stock not otherwise exempt from the rules, to deliver a standardized risk disclosure document that provides information about penny stocks and the risks in the penny stock market. The broker-dealer must also provide the customer with current bid and offer quotations for the penny stock, the compensation of the broker-dealer and its salesperson in the transaction, and monthly account statements showing the market value of each penny stock held in the customer’s account. In addition, the penny stock rules generally require that prior to a transaction in a penny stock, the broker-dealer make a special written determination that the penny stock is a suitable investment for the purchaser and receive the purchaser’s written agreement to the transaction. These disclosure requirements may have the effect of reducing the level of trading activity in the secondary market for a stock that becomes subject to the penny stock rules which may increase the difficulty Purchasers may experience in attempting to liquidate such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an Investment in Our Securities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will have broad discretion in applying the net proceeds of this offering and may not use those proceeds in ways that will enhance the market value of our securities.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significant flexibility in applying the net proceeds we will receive in this offering. We will use the proceeds that we receive from the sale of the shares in this offering to mainly further our interest in the company. A large portion of the proceeds are expected to retire the holdings of Vicis Capital Master Fund. This use of proceeds is mainly designed to improve our capital structure and avoid the dividends we are required to pay the shareholder. As part of your investment decision, you will not be able to assess or direct how we apply these net proceeds. If we do not apply these funds effectively, we may lose significant business opportunities. Furthermore, our stock price could decline if the market does not view our use of the net proceeds from this offering favorably.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capital needs could result in dilution of your investment.</w:t>
      </w:r>
    </w:p>
    <w:p>
      <w:pPr>
        <w:spacing w:after="0" w:line="22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Our Board of Directors may determine from time to time that there is a need to obtain additional capital through the issuance of additional shares of our common stock or other securities. We may sell a substantial number of additional shares of our common stock in connection with a private placement or public offering of shares of our common stock (or other series or class of capital stock to be designated in the future). Investors in subsequent offerings may also have rights, preferences and privileges senior to our current stockholders which may adversely impact our current stockholders. We could also issue common stock to certain parties, such as vendors and service providers, as payment for products and services, which would dilute your interest in the Company and may dilute the net tangible book value per share of our common stock. Sales of a substantial number of shares of our common stock under any of the circumstances described above could also adversely affect the market price for our common stock and make it more difficult for you to sell shares of stock you acquire in this offering at times and prices that you feel are appropriate.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securities laws may restrict transferability of the securities sold in the offering.</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shares have not been registered under the Securities Act or registered or qualified under any state or foreign securities laws. Such securities are being issued based upon our reliance upon an exemption from registration under the Securities Act for an offer and sale of securities that does not involve a public offering. Unless such securities are so registered, they may not be offered or sold except pursuant to an exemption from, or in a transaction not subject to, the registration requirements of the Securities Act and applicable state or foreign securities laws. Purchasers subscribing for shares of Shares will first be required to make representations and covenants concerning these transfer restrictions which are necessary to satisfy the requirements of the exemption from registration being relied upon by us for the issuance. The certificates representing shares of the Common Stock will bear a legend indicating that they are so restricted.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must make an independent investment analysis in connection with this offering</w:t>
      </w:r>
      <w:r>
        <w:rPr>
          <w:rFonts w:ascii="Arial" w:cs="Arial" w:eastAsia="Arial" w:hAnsi="Arial"/>
          <w:sz w:val="18"/>
          <w:szCs w:val="18"/>
          <w:i w:val="1"/>
          <w:iCs w:val="1"/>
          <w:color w:val="auto"/>
        </w:rPr>
        <w:t>.</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No independent legal, accounting or business advisors have been appointed to represent the interests of prospective Purchasers in connection with this offering. Neither the Company nor any of its officers, directors, employees or agents makes any representation or expresses any opinion with respect to the merits of an investment in shares offered hereby, including, and without limitation, the Company’s proposed value or the value of shares of common stock or preferred stock.</w:t>
      </w:r>
    </w:p>
    <w:p>
      <w:pPr>
        <w:spacing w:after="0" w:line="187"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The Company provided financial projections based on assumptions made by management that may or not be accurate as events unfold. Each prospective Purchaser is therefore encouraged to engage independent accountants, appraisers, attorneys and other advisors to (i) conduct due diligence review as the prospective investor may deem necessary and advisable, and (ii) provide advice with respect to the merits of an investment in the shares offered hereby and applicable risk factors as a prospective investor may deem necessary and advisable to rely upon. The Company will fully cooperate with any prospective Purchaser who desires to conduct an independent analysis, so long as it determines, in its sole discretion, that cooperation is not unduly burdensome.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Purchasers in this Offering may be considered underwriters, they may be subject to unfavorable laws that may apply to their detriment.</w:t>
      </w:r>
    </w:p>
    <w:p>
      <w:pPr>
        <w:spacing w:after="0" w:line="24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Purchasers purchasing shares in the offering with a view to selling or otherwise distributing those securities may be considered to be underwriters, subjecting such Purchasers to potential liability tinder Section 11 of the Securities Act. Further, if deemed an underwriter a Purchaser could not rely on Rule 144 of the Securities Act to sell or otherwise distribute the securities purchased in the offering.</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41" w:right="259" w:bottom="0" w:gutter="0" w:footer="0" w:header="0"/>
        </w:sectPr>
      </w:pPr>
    </w:p>
    <w:bookmarkStart w:id="32" w:name="page33"/>
    <w:bookmarkEnd w:id="32"/>
    <w:p>
      <w:pPr>
        <w:ind w:left="5120"/>
        <w:spacing w:after="0"/>
        <w:rPr>
          <w:sz w:val="20"/>
          <w:szCs w:val="20"/>
          <w:color w:val="auto"/>
        </w:rPr>
      </w:pPr>
      <w:r>
        <w:rPr>
          <w:rFonts w:ascii="Arial" w:cs="Arial" w:eastAsia="Arial" w:hAnsi="Arial"/>
          <w:sz w:val="18"/>
          <w:szCs w:val="18"/>
          <w:b w:val="1"/>
          <w:bCs w:val="1"/>
          <w:color w:val="auto"/>
        </w:rPr>
        <w:t>Schedule 3.1(v)</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See the agreements listed under the heading “Vicis Capital Master Fund” in Schedule 3.1(g).</w:t>
      </w:r>
    </w:p>
    <w:p>
      <w:pPr>
        <w:spacing w:after="0" w:line="2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837" w:right="1440"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Schedule 4.6</w:t>
      </w:r>
    </w:p>
    <w:p>
      <w:pPr>
        <w:spacing w:after="0" w:line="2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Company estimates that its net proceeds from the sale of Shares in this Offering will be approximately $9,000,000, if $10,000,000 is sold, after deducting estimated expenses associated with the Offering (including a 10% fee to broker-dealers). We intend to use the net proceeds of this Offering as follows:</w:t>
      </w:r>
    </w:p>
    <w:p>
      <w:pPr>
        <w:spacing w:after="0" w:line="120"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3660" w:type="dxa"/>
            <w:vAlign w:val="bottom"/>
            <w:tcBorders>
              <w:bottom w:val="single" w:sz="8" w:color="4BACC6"/>
            </w:tcBorders>
          </w:tcPr>
          <w:p>
            <w:pPr>
              <w:ind w:left="80"/>
              <w:spacing w:after="0"/>
              <w:rPr>
                <w:sz w:val="20"/>
                <w:szCs w:val="20"/>
                <w:color w:val="auto"/>
              </w:rPr>
            </w:pPr>
            <w:r>
              <w:rPr>
                <w:rFonts w:ascii="Arial" w:cs="Arial" w:eastAsia="Arial" w:hAnsi="Arial"/>
                <w:sz w:val="18"/>
                <w:szCs w:val="18"/>
                <w:b w:val="1"/>
                <w:bCs w:val="1"/>
                <w:color w:val="auto"/>
              </w:rPr>
              <w:t>Net Proceeds</w:t>
            </w:r>
          </w:p>
        </w:tc>
        <w:tc>
          <w:tcPr>
            <w:tcW w:w="3180" w:type="dxa"/>
            <w:vAlign w:val="bottom"/>
            <w:tcBorders>
              <w:bottom w:val="single" w:sz="8" w:color="4BACC6"/>
            </w:tcBorders>
          </w:tcPr>
          <w:p>
            <w:pPr>
              <w:jc w:val="right"/>
              <w:ind w:right="630"/>
              <w:spacing w:after="0"/>
              <w:rPr>
                <w:sz w:val="20"/>
                <w:szCs w:val="20"/>
                <w:color w:val="auto"/>
              </w:rPr>
            </w:pPr>
            <w:r>
              <w:rPr>
                <w:rFonts w:ascii="Arial" w:cs="Arial" w:eastAsia="Arial" w:hAnsi="Arial"/>
                <w:sz w:val="18"/>
                <w:szCs w:val="18"/>
                <w:b w:val="1"/>
                <w:bCs w:val="1"/>
                <w:color w:val="auto"/>
              </w:rPr>
              <w:t>$9,000,000</w:t>
            </w:r>
          </w:p>
        </w:tc>
      </w:tr>
      <w:tr>
        <w:trPr>
          <w:trHeight w:val="232"/>
        </w:trPr>
        <w:tc>
          <w:tcPr>
            <w:tcW w:w="3660" w:type="dxa"/>
            <w:vAlign w:val="bottom"/>
          </w:tcPr>
          <w:p>
            <w:pPr>
              <w:ind w:left="80"/>
              <w:spacing w:after="0" w:line="232" w:lineRule="exact"/>
              <w:rPr>
                <w:sz w:val="20"/>
                <w:szCs w:val="20"/>
                <w:color w:val="auto"/>
              </w:rPr>
            </w:pPr>
            <w:r>
              <w:rPr>
                <w:rFonts w:ascii="Arial" w:cs="Arial" w:eastAsia="Arial" w:hAnsi="Arial"/>
                <w:sz w:val="16"/>
                <w:szCs w:val="16"/>
                <w:b w:val="1"/>
                <w:bCs w:val="1"/>
                <w:color w:val="auto"/>
              </w:rPr>
              <w:t>Retire Preferred Stock</w:t>
            </w:r>
            <w:r>
              <w:rPr>
                <w:rFonts w:ascii="Arial" w:cs="Arial" w:eastAsia="Arial" w:hAnsi="Arial"/>
                <w:sz w:val="26"/>
                <w:szCs w:val="26"/>
                <w:b w:val="1"/>
                <w:bCs w:val="1"/>
                <w:color w:val="auto"/>
                <w:vertAlign w:val="superscript"/>
              </w:rPr>
              <w:t>(1)</w:t>
            </w:r>
          </w:p>
        </w:tc>
        <w:tc>
          <w:tcPr>
            <w:tcW w:w="3180" w:type="dxa"/>
            <w:vAlign w:val="bottom"/>
          </w:tcPr>
          <w:p>
            <w:pPr>
              <w:jc w:val="right"/>
              <w:ind w:right="630"/>
              <w:spacing w:after="0"/>
              <w:rPr>
                <w:sz w:val="20"/>
                <w:szCs w:val="20"/>
                <w:color w:val="auto"/>
              </w:rPr>
            </w:pPr>
            <w:r>
              <w:rPr>
                <w:rFonts w:ascii="Arial" w:cs="Arial" w:eastAsia="Arial" w:hAnsi="Arial"/>
                <w:sz w:val="18"/>
                <w:szCs w:val="18"/>
                <w:color w:val="auto"/>
              </w:rPr>
              <w:t>$6,000,000</w:t>
            </w:r>
          </w:p>
        </w:tc>
      </w:tr>
      <w:tr>
        <w:trPr>
          <w:trHeight w:val="216"/>
        </w:trPr>
        <w:tc>
          <w:tcPr>
            <w:tcW w:w="3660" w:type="dxa"/>
            <w:vAlign w:val="bottom"/>
          </w:tcPr>
          <w:p>
            <w:pPr>
              <w:ind w:left="80"/>
              <w:spacing w:after="0"/>
              <w:rPr>
                <w:sz w:val="20"/>
                <w:szCs w:val="20"/>
                <w:color w:val="auto"/>
              </w:rPr>
            </w:pPr>
            <w:r>
              <w:rPr>
                <w:rFonts w:ascii="Arial" w:cs="Arial" w:eastAsia="Arial" w:hAnsi="Arial"/>
                <w:sz w:val="18"/>
                <w:szCs w:val="18"/>
                <w:b w:val="1"/>
                <w:bCs w:val="1"/>
                <w:color w:val="auto"/>
              </w:rPr>
              <w:t>Working Capital</w:t>
            </w:r>
          </w:p>
        </w:tc>
        <w:tc>
          <w:tcPr>
            <w:tcW w:w="3180" w:type="dxa"/>
            <w:vAlign w:val="bottom"/>
          </w:tcPr>
          <w:p>
            <w:pPr>
              <w:jc w:val="right"/>
              <w:ind w:right="630"/>
              <w:spacing w:after="0"/>
              <w:rPr>
                <w:sz w:val="20"/>
                <w:szCs w:val="20"/>
                <w:color w:val="auto"/>
              </w:rPr>
            </w:pPr>
            <w:r>
              <w:rPr>
                <w:rFonts w:ascii="Arial" w:cs="Arial" w:eastAsia="Arial" w:hAnsi="Arial"/>
                <w:sz w:val="18"/>
                <w:szCs w:val="18"/>
                <w:color w:val="auto"/>
              </w:rPr>
              <w:t>$3,000,000</w:t>
            </w:r>
          </w:p>
        </w:tc>
      </w:tr>
      <w:tr>
        <w:trPr>
          <w:trHeight w:val="234"/>
        </w:trPr>
        <w:tc>
          <w:tcPr>
            <w:tcW w:w="3660" w:type="dxa"/>
            <w:vAlign w:val="bottom"/>
          </w:tcPr>
          <w:p>
            <w:pPr>
              <w:ind w:left="80"/>
              <w:spacing w:after="0"/>
              <w:rPr>
                <w:sz w:val="20"/>
                <w:szCs w:val="20"/>
                <w:color w:val="auto"/>
              </w:rPr>
            </w:pPr>
            <w:r>
              <w:rPr>
                <w:rFonts w:ascii="Arial" w:cs="Arial" w:eastAsia="Arial" w:hAnsi="Arial"/>
                <w:sz w:val="18"/>
                <w:szCs w:val="18"/>
                <w:b w:val="1"/>
                <w:bCs w:val="1"/>
                <w:color w:val="auto"/>
              </w:rPr>
              <w:t>Total</w:t>
            </w:r>
          </w:p>
        </w:tc>
        <w:tc>
          <w:tcPr>
            <w:tcW w:w="3180" w:type="dxa"/>
            <w:vAlign w:val="bottom"/>
          </w:tcPr>
          <w:p>
            <w:pPr>
              <w:jc w:val="right"/>
              <w:ind w:right="630"/>
              <w:spacing w:after="0"/>
              <w:rPr>
                <w:sz w:val="20"/>
                <w:szCs w:val="20"/>
                <w:color w:val="auto"/>
              </w:rPr>
            </w:pPr>
            <w:r>
              <w:rPr>
                <w:rFonts w:ascii="Arial" w:cs="Arial" w:eastAsia="Arial" w:hAnsi="Arial"/>
                <w:sz w:val="18"/>
                <w:szCs w:val="18"/>
                <w:b w:val="1"/>
                <w:bCs w:val="1"/>
                <w:color w:val="auto"/>
              </w:rPr>
              <w:t>$9,000,000</w:t>
            </w:r>
          </w:p>
        </w:tc>
      </w:tr>
    </w:tbl>
    <w:p>
      <w:pPr>
        <w:jc w:val="both"/>
        <w:ind w:left="660" w:hanging="328"/>
        <w:spacing w:after="0" w:line="270"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Company intends on acquiring the 35 outstanding shares of Series A Convertible Preferred Stock and 30 outstanding shares of Series B Preferred Stock from Vicis Master Capital Fund (“Vicis”). On January 10, 2013, the Company entered into a Securities Redemption Option Agreement with Vicis that provides it with an option to purchase all of the outstanding shares and derivative securities held by Vicis for total payment of nine million dollars ($9,000,000). The shares and derivative securities include the Series A Convertible Preferred Stock, Series B Convertible Preferred Stock, Common Stock, and warrants to purchase shares of Series A Convertible Preferred Stock and Series B Convertible Preferred Stock held by Vicis. A copy of the Securities Redemption Option Agreement is attached as Exhibit 10.1 to the Form 8-K that the Company filed with the Commission on January 11, 2013 and is incorporated herein by reference. On January 2, 2014, the Company executed Amendment No. 1 to Securities Redemption Option Agreement with Vicis to, among other things, extend the term of our option to March 31, 2014 and reduce the price of the option from nine million dollars ($9,000,000) to six million dollars ($6,000,000).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-1256030</wp:posOffset>
            </wp:positionV>
            <wp:extent cx="43478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16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Except as provided above, the Company cannot specify with certainty the particular uses for the net proceeds to be received upon completion of this Offering and, at the date hereof, cannot accurately predict the amounts that it may spend for any particular purpose. The amounts of the Company’s actual expenditures will be influenced by several factors, including the timing and extent of its expansion opportunities, the amount of cash used by our operations and the occurrence of unforeseen opportunities and events. Management will have broad discretion in determining the uses of the net proceeds of this Offering.</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Registration Rights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-130175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621" w:right="1440" w:bottom="1440" w:gutter="0" w:footer="0" w:header="0"/>
        </w:sectPr>
      </w:pPr>
    </w:p>
    <w:bookmarkStart w:id="35" w:name="page36"/>
    <w:bookmarkEnd w:id="35"/>
    <w:p>
      <w:pPr>
        <w:jc w:val="center"/>
        <w:ind w:right="-20"/>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OF LEGAL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154940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9019"/>
          </w:cols>
          <w:pgMar w:left="1440" w:top="621" w:right="1440" w:bottom="1440" w:gutter="0" w:footer="0" w:header="0"/>
        </w:sectPr>
      </w:pPr>
    </w:p>
    <w:bookmarkStart w:id="36" w:name="page37"/>
    <w:bookmarkEnd w:id="3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This Registration Rights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is made and entered into as of March 12, 2014, between OptimizeRx Corporation, a Nevada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each of the several purchasers signatory hereto (each such purchaser, a “</w:t>
      </w:r>
      <w:r>
        <w:rPr>
          <w:rFonts w:ascii="Arial" w:cs="Arial" w:eastAsia="Arial" w:hAnsi="Arial"/>
          <w:sz w:val="16"/>
          <w:szCs w:val="16"/>
          <w:u w:val="single" w:color="auto"/>
          <w:color w:val="auto"/>
        </w:rPr>
        <w:t>Purchaser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Purchasers</w:t>
      </w:r>
      <w:r>
        <w:rPr>
          <w:rFonts w:ascii="Arial" w:cs="Arial" w:eastAsia="Arial" w:hAnsi="Arial"/>
          <w:sz w:val="16"/>
          <w:szCs w:val="16"/>
          <w:color w:val="auto"/>
        </w:rPr>
        <w:t>”).</w:t>
      </w:r>
    </w:p>
    <w:p>
      <w:pPr>
        <w:spacing w:after="0" w:line="12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This Agreement is made pursuant to the Securities Purchase Agreement, dated as of the date hereof, between the Company and each Purchaser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and each Purchaser hereby agrees as follows:</w:t>
      </w:r>
    </w:p>
    <w:p>
      <w:pPr>
        <w:spacing w:after="0" w:line="225" w:lineRule="exact"/>
        <w:rPr>
          <w:sz w:val="20"/>
          <w:szCs w:val="20"/>
          <w:color w:val="auto"/>
        </w:rPr>
      </w:pPr>
    </w:p>
    <w:p>
      <w:pPr>
        <w:ind w:left="840" w:hanging="184"/>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221"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Capitalized terms used and not otherwise defined herein that are defined in the Purchase Agreement shall have the meanings given such terms in the Purchase Agreement. </w:t>
      </w:r>
      <w:r>
        <w:rPr>
          <w:rFonts w:ascii="Arial" w:cs="Arial" w:eastAsia="Arial" w:hAnsi="Arial"/>
          <w:sz w:val="18"/>
          <w:szCs w:val="18"/>
          <w:color w:val="auto"/>
        </w:rPr>
        <w:t>As used in this Agreement, the following terms shall have the following meanings: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Advice</w:t>
      </w:r>
      <w:r>
        <w:rPr>
          <w:rFonts w:ascii="Arial" w:cs="Arial" w:eastAsia="Arial" w:hAnsi="Arial"/>
          <w:sz w:val="18"/>
          <w:szCs w:val="18"/>
          <w:color w:val="auto"/>
        </w:rPr>
        <w:t>” shall have the meaning set forth in Section 6(d).</w:t>
      </w:r>
    </w:p>
    <w:p>
      <w:pPr>
        <w:spacing w:after="0" w:line="229" w:lineRule="exact"/>
        <w:rPr>
          <w:sz w:val="20"/>
          <w:szCs w:val="20"/>
          <w:color w:val="auto"/>
        </w:rPr>
      </w:pPr>
    </w:p>
    <w:p>
      <w:pPr>
        <w:jc w:val="both"/>
        <w:ind w:left="660" w:firstLine="648"/>
        <w:spacing w:after="0" w:line="21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Effectiveness Date</w:t>
      </w:r>
      <w:r>
        <w:rPr>
          <w:rFonts w:ascii="Arial" w:cs="Arial" w:eastAsia="Arial" w:hAnsi="Arial"/>
          <w:sz w:val="16"/>
          <w:szCs w:val="16"/>
          <w:color w:val="auto"/>
        </w:rPr>
        <w:t>” means, with respect to the Initial Registration Statement required to be filed hereunder,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calendar day following the Filing Date (or, in the event of a “full review” by the Commission, the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calendar day following the Filing Date) and with respect</w:t>
      </w:r>
    </w:p>
    <w:p>
      <w:pPr>
        <w:spacing w:after="0" w:line="2" w:lineRule="exact"/>
        <w:rPr>
          <w:sz w:val="20"/>
          <w:szCs w:val="20"/>
          <w:color w:val="auto"/>
        </w:rPr>
      </w:pPr>
    </w:p>
    <w:p>
      <w:pPr>
        <w:jc w:val="both"/>
        <w:ind w:left="660"/>
        <w:spacing w:after="0" w:line="204" w:lineRule="auto"/>
        <w:rPr>
          <w:sz w:val="20"/>
          <w:szCs w:val="20"/>
          <w:color w:val="auto"/>
        </w:rPr>
      </w:pPr>
      <w:r>
        <w:rPr>
          <w:rFonts w:ascii="Arial" w:cs="Arial" w:eastAsia="Arial" w:hAnsi="Arial"/>
          <w:sz w:val="18"/>
          <w:szCs w:val="18"/>
          <w:color w:val="auto"/>
        </w:rPr>
        <w:t>to any additional Registration Statements which may be required pursuant to Section 3(c), the 90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calendar day following the date on which an additional Registration Statement is required to be filed hereunder.</w:t>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Effectiveness Period</w:t>
      </w:r>
      <w:r>
        <w:rPr>
          <w:rFonts w:ascii="Arial" w:cs="Arial" w:eastAsia="Arial" w:hAnsi="Arial"/>
          <w:sz w:val="18"/>
          <w:szCs w:val="18"/>
          <w:color w:val="auto"/>
        </w:rPr>
        <w:t>” shall have the meaning set forth in Section 2(a).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w:t>
      </w:r>
      <w:r>
        <w:rPr>
          <w:rFonts w:ascii="Arial" w:cs="Arial" w:eastAsia="Arial" w:hAnsi="Arial"/>
          <w:sz w:val="18"/>
          <w:szCs w:val="18"/>
          <w:color w:val="auto"/>
        </w:rPr>
        <w:t>” shall have the meaning set forth in Section 2(b).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Date</w:t>
      </w:r>
      <w:r>
        <w:rPr>
          <w:rFonts w:ascii="Arial" w:cs="Arial" w:eastAsia="Arial" w:hAnsi="Arial"/>
          <w:sz w:val="18"/>
          <w:szCs w:val="18"/>
          <w:color w:val="auto"/>
        </w:rPr>
        <w:t>” shall have the meaning set forth in Section 2(b).</w:t>
      </w:r>
    </w:p>
    <w:p>
      <w:pPr>
        <w:spacing w:after="0" w:line="229" w:lineRule="exact"/>
        <w:rPr>
          <w:sz w:val="20"/>
          <w:szCs w:val="20"/>
          <w:color w:val="auto"/>
        </w:rPr>
      </w:pPr>
    </w:p>
    <w:p>
      <w:pPr>
        <w:jc w:val="both"/>
        <w:ind w:left="660" w:firstLine="648"/>
        <w:spacing w:after="0" w:line="23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Filing Date</w:t>
      </w:r>
      <w:r>
        <w:rPr>
          <w:rFonts w:ascii="Arial" w:cs="Arial" w:eastAsia="Arial" w:hAnsi="Arial"/>
          <w:sz w:val="17"/>
          <w:szCs w:val="17"/>
          <w:color w:val="auto"/>
        </w:rPr>
        <w:t>” means, with respect to the Initial Registration Statement required hereunder, the 30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calendar day following the date hereof and, with respect to any additional Registration Statements which may be required pursuant to Section 3(c), the earliest practical date on which the Company is permitted by SEC Guidance to file such additional Registration Statement related to the Registrable Securities.</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or “</w:t>
      </w:r>
      <w:r>
        <w:rPr>
          <w:rFonts w:ascii="Arial" w:cs="Arial" w:eastAsia="Arial" w:hAnsi="Arial"/>
          <w:sz w:val="18"/>
          <w:szCs w:val="18"/>
          <w:u w:val="single" w:color="auto"/>
          <w:color w:val="auto"/>
        </w:rPr>
        <w:t>Holders</w:t>
      </w:r>
      <w:r>
        <w:rPr>
          <w:rFonts w:ascii="Arial" w:cs="Arial" w:eastAsia="Arial" w:hAnsi="Arial"/>
          <w:sz w:val="18"/>
          <w:szCs w:val="18"/>
          <w:color w:val="auto"/>
        </w:rPr>
        <w:t>” means the holder or holders, as the case may be, from time to time of Registrable Securities.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shall have the meaning set forth in Section 5(c).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shall have the meaning set forth in Section 5(c).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Registration Statement</w:t>
      </w:r>
      <w:r>
        <w:rPr>
          <w:rFonts w:ascii="Arial" w:cs="Arial" w:eastAsia="Arial" w:hAnsi="Arial"/>
          <w:sz w:val="18"/>
          <w:szCs w:val="18"/>
          <w:color w:val="auto"/>
        </w:rPr>
        <w:t>” means the initial Registration Statement filed pursuant to this Agreement.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Shares</w:t>
      </w:r>
      <w:r>
        <w:rPr>
          <w:rFonts w:ascii="Arial" w:cs="Arial" w:eastAsia="Arial" w:hAnsi="Arial"/>
          <w:sz w:val="18"/>
          <w:szCs w:val="18"/>
          <w:color w:val="auto"/>
        </w:rPr>
        <w:t>” means a number of Registrable Securities equal to the lesser of (i) the total number of Registrable Securities and (ii) one-third of the number of issued and outstanding shares of Common Stock that are held by non-affiliates of the Company on the day immediately prior to the filing date of the Initial Registration Statement.</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shall have the meaning set forth in Section 5(a).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of Distribution</w:t>
      </w:r>
      <w:r>
        <w:rPr>
          <w:rFonts w:ascii="Arial" w:cs="Arial" w:eastAsia="Arial" w:hAnsi="Arial"/>
          <w:sz w:val="18"/>
          <w:szCs w:val="18"/>
          <w:color w:val="auto"/>
        </w:rPr>
        <w:t>” shall have the meaning set forth in Section 2(a).</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Prospectus</w:t>
      </w:r>
      <w:r>
        <w:rPr>
          <w:rFonts w:ascii="Arial" w:cs="Arial" w:eastAsia="Arial" w:hAnsi="Arial"/>
          <w:sz w:val="16"/>
          <w:szCs w:val="16"/>
          <w:color w:val="auto"/>
        </w:rPr>
        <w:t>” means the prospectus included in a Registration Statement (including, without limitation, a prospectus that 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spacing w:after="0" w:line="15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xml:space="preserve">” means (i) all Shares, or (ii) any securities issued or issuable upon any stock split, dividend or other distribution, recapitalization or similar event with respect to the foregoing;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any such Registrable Securities shall cease to be Registrable Securities (and the Company shall not be required to maintain the effectiveness of any, or file another, Registration Statement hereunder with respect thereto) for so long as (a) a Registration Statement with respect to the sale of such Registrable Securities is declared effective by the Commission under the Securities Act and such Registrable Securities have been disposed of by the Holder in accordance with such effective Registration Statement, (b) such Registrable Securities have been previously sold in accordance with Rule 144, or (c) such securities become eligible for resale without volume or manner-of-sale restrictions as set forth in a written opinion letter to such effect, addressed, delivered and acceptable to the Transfer Agent (assuming that such securities and any securities issuable upon exercise, conversion or exchange of which, or as a dividend upon which, such securities were issued or are issuable, were at no time held by any Affiliate of the Company).</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the registration statement required to be filed hereunder and any additional registration statements contemplated by Section 3(c), including (in each case) the Prospectus, amendments and supplements to such registration statement or Prospectus, including pre- and post-effective amendments, all exhibits thereto, and all material incorporated by reference or deemed to be incorporated by reference in such registration statement.</w:t>
      </w:r>
    </w:p>
    <w:p>
      <w:pPr>
        <w:spacing w:after="0" w:line="17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-130175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841" w:right="239" w:bottom="1440" w:gutter="0" w:footer="0" w:header="0"/>
        </w:sectPr>
      </w:pPr>
    </w:p>
    <w:bookmarkStart w:id="39" w:name="page40"/>
    <w:bookmarkEnd w:id="39"/>
    <w:p>
      <w:pPr>
        <w:jc w:val="both"/>
        <w:ind w:left="4"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415</w:t>
      </w:r>
      <w:r>
        <w:rPr>
          <w:rFonts w:ascii="Arial" w:cs="Arial" w:eastAsia="Arial" w:hAnsi="Arial"/>
          <w:sz w:val="18"/>
          <w:szCs w:val="18"/>
          <w:color w:val="auto"/>
        </w:rPr>
        <w:t>” means Rule 415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81" w:lineRule="exact"/>
        <w:rPr>
          <w:sz w:val="20"/>
          <w:szCs w:val="20"/>
          <w:color w:val="auto"/>
        </w:rPr>
      </w:pPr>
    </w:p>
    <w:p>
      <w:pPr>
        <w:jc w:val="both"/>
        <w:ind w:left="4"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424</w:t>
      </w:r>
      <w:r>
        <w:rPr>
          <w:rFonts w:ascii="Arial" w:cs="Arial" w:eastAsia="Arial" w:hAnsi="Arial"/>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81"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Selling Shareholder Questionnaire</w:t>
      </w:r>
      <w:r>
        <w:rPr>
          <w:rFonts w:ascii="Arial" w:cs="Arial" w:eastAsia="Arial" w:hAnsi="Arial"/>
          <w:sz w:val="18"/>
          <w:szCs w:val="18"/>
          <w:color w:val="auto"/>
        </w:rPr>
        <w:t>” shall have the meaning set forth in Section 3(a).</w:t>
      </w:r>
    </w:p>
    <w:p>
      <w:pPr>
        <w:spacing w:after="0" w:line="225" w:lineRule="exact"/>
        <w:rPr>
          <w:sz w:val="20"/>
          <w:szCs w:val="20"/>
          <w:color w:val="auto"/>
        </w:rPr>
      </w:pPr>
    </w:p>
    <w:p>
      <w:pPr>
        <w:jc w:val="both"/>
        <w:ind w:left="4"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Guidance</w:t>
      </w:r>
      <w:r>
        <w:rPr>
          <w:rFonts w:ascii="Arial" w:cs="Arial" w:eastAsia="Arial" w:hAnsi="Arial"/>
          <w:sz w:val="18"/>
          <w:szCs w:val="18"/>
          <w:color w:val="auto"/>
        </w:rPr>
        <w:t>” means (i) any publicly-available written or oral guidance, comments, requirements or requests of the Commission staff and (ii) the Securities Act.</w:t>
      </w:r>
    </w:p>
    <w:p>
      <w:pPr>
        <w:spacing w:after="0" w:line="170" w:lineRule="exact"/>
        <w:rPr>
          <w:sz w:val="20"/>
          <w:szCs w:val="20"/>
          <w:color w:val="auto"/>
        </w:rPr>
      </w:pPr>
    </w:p>
    <w:p>
      <w:pPr>
        <w:ind w:left="184" w:hanging="184"/>
        <w:spacing w:after="0"/>
        <w:tabs>
          <w:tab w:leader="none" w:pos="184"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Shelf Registration</w:t>
      </w:r>
    </w:p>
    <w:p>
      <w:pPr>
        <w:spacing w:after="0" w:line="225" w:lineRule="exact"/>
        <w:rPr>
          <w:rFonts w:ascii="Arial" w:cs="Arial" w:eastAsia="Arial" w:hAnsi="Arial"/>
          <w:sz w:val="18"/>
          <w:szCs w:val="18"/>
          <w:color w:val="auto"/>
        </w:rPr>
      </w:pPr>
    </w:p>
    <w:p>
      <w:pPr>
        <w:jc w:val="both"/>
        <w:ind w:left="4" w:firstLine="645"/>
        <w:spacing w:after="0" w:line="284" w:lineRule="auto"/>
        <w:tabs>
          <w:tab w:leader="none" w:pos="1468" w:val="left"/>
        </w:tabs>
        <w:numPr>
          <w:ilvl w:val="1"/>
          <w:numId w:val="27"/>
        </w:numPr>
        <w:rPr>
          <w:rFonts w:ascii="Arial" w:cs="Arial" w:eastAsia="Arial" w:hAnsi="Arial"/>
          <w:sz w:val="16"/>
          <w:szCs w:val="16"/>
          <w:color w:val="auto"/>
        </w:rPr>
      </w:pPr>
      <w:r>
        <w:rPr>
          <w:rFonts w:ascii="Arial" w:cs="Arial" w:eastAsia="Arial" w:hAnsi="Arial"/>
          <w:sz w:val="16"/>
          <w:szCs w:val="16"/>
          <w:color w:val="auto"/>
        </w:rPr>
        <w:t>On or prior to each Filing Date, the Company shall prepare and file with the Commission a Registration Statement covering the resale of all or such maximum portion of the Registrable Securities as permitted by SEC Guidance (provided that the Company shall use diligent efforts to advocate with the Commission for the registration of all of the Registrable Securities) that are not then registered on an effective Registration Statement for an offering to be made on a continuous basis pursuant to Rule 415. The Registration Statement shall be on Form S-3 (except if the Company is not then eligible to register for resale the Registrable Securities on Form S-3, in which case such registration shall be on another appropriate form in accordance herewith) and shall contain substantially the “</w:t>
      </w:r>
      <w:r>
        <w:rPr>
          <w:rFonts w:ascii="Arial" w:cs="Arial" w:eastAsia="Arial" w:hAnsi="Arial"/>
          <w:sz w:val="16"/>
          <w:szCs w:val="16"/>
          <w:u w:val="single" w:color="auto"/>
          <w:color w:val="auto"/>
        </w:rPr>
        <w:t>Plan of Distribution</w:t>
      </w:r>
      <w:r>
        <w:rPr>
          <w:rFonts w:ascii="Arial" w:cs="Arial" w:eastAsia="Arial" w:hAnsi="Arial"/>
          <w:sz w:val="16"/>
          <w:szCs w:val="16"/>
          <w:color w:val="auto"/>
        </w:rPr>
        <w:t xml:space="preserve">” attached hereto as </w:t>
      </w:r>
      <w:r>
        <w:rPr>
          <w:rFonts w:ascii="Arial" w:cs="Arial" w:eastAsia="Arial" w:hAnsi="Arial"/>
          <w:sz w:val="16"/>
          <w:szCs w:val="16"/>
          <w:u w:val="single" w:color="auto"/>
          <w:color w:val="auto"/>
        </w:rPr>
        <w:t>Annex A</w:t>
      </w:r>
      <w:r>
        <w:rPr>
          <w:rFonts w:ascii="Arial" w:cs="Arial" w:eastAsia="Arial" w:hAnsi="Arial"/>
          <w:sz w:val="16"/>
          <w:szCs w:val="16"/>
          <w:color w:val="auto"/>
        </w:rPr>
        <w:t>. Subject to the terms of this Agreement, the Company shall use commercially reasonable efforts to cause a Registration Statement to be declared effective under the Securities Act as promptly as possible after the filing thereof, but in any event prior to the applicable Effectiveness Date, and shall use its best efforts to keep such Registration Statement continuously effective under the Securities Act until all Registrable Securities covered by such Registration Statement have been sold, or may be sold without volume restrictions pursuant to Rule 144, as determined by the counsel to the Company pursuant to a written opinion letter to such effect, addressed and acceptable to the Company’s transfer agent and the affected Holders (the “</w:t>
      </w:r>
      <w:r>
        <w:rPr>
          <w:rFonts w:ascii="Arial" w:cs="Arial" w:eastAsia="Arial" w:hAnsi="Arial"/>
          <w:sz w:val="16"/>
          <w:szCs w:val="16"/>
          <w:u w:val="single" w:color="auto"/>
          <w:color w:val="auto"/>
        </w:rPr>
        <w:t>Effectiveness Period</w:t>
      </w:r>
      <w:r>
        <w:rPr>
          <w:rFonts w:ascii="Arial" w:cs="Arial" w:eastAsia="Arial" w:hAnsi="Arial"/>
          <w:sz w:val="16"/>
          <w:szCs w:val="16"/>
          <w:color w:val="auto"/>
        </w:rPr>
        <w:t>”). The Company shall telephonically request effectiveness of a Registration Statement as of 5:00 p.m. New York City time on a Trading Day. The Company shall immediately notify the Holders via facsimile or by e-mail of the effectiveness of a Registration Statement on the same Trading Day that the Company telephonically confirms effectiveness with the Commission, which shall be the date requested for effectiveness of such Registration Statement. The Company shall, by 9:30 a.m. New York City time on the Trading Day after the effective date of such Registration Statement, file a final Prospectus with the Commission as required by Rule 424. Notwithstanding any other provision of this Agreement, if any SEC Guidance sets forth a limitation on the number of Registrable Securities permitted to be registered on a particular Registration Statement (and notwithstanding that the Company used diligent efforts to advocate with the Commission for the registration of all or a greater portion of Registrable Securities), unless otherwise directed in writing by a Holder as to its Registrable Securities, the number of Registrable Securities to be registered on such Registration Statement shall be reduced by Registrable Securities represented by Shares applied to the Holders on a pro rata basis based on the total number of unregistered Shares held by such Holders.</w:t>
      </w:r>
    </w:p>
    <w:p>
      <w:pPr>
        <w:spacing w:after="0" w:line="168"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-130175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41" w:right="239" w:bottom="1440" w:gutter="0" w:footer="0" w:header="0"/>
        </w:sectPr>
      </w:pPr>
    </w:p>
    <w:bookmarkStart w:id="40" w:name="page41"/>
    <w:bookmarkEnd w:id="40"/>
    <w:p>
      <w:pPr>
        <w:jc w:val="both"/>
        <w:ind w:left="-540" w:firstLine="645"/>
        <w:spacing w:after="0" w:line="284" w:lineRule="auto"/>
        <w:tabs>
          <w:tab w:leader="none" w:pos="1137" w:val="left"/>
        </w:tabs>
        <w:numPr>
          <w:ilvl w:val="0"/>
          <w:numId w:val="28"/>
        </w:numPr>
        <w:rPr>
          <w:rFonts w:ascii="Arial" w:cs="Arial" w:eastAsia="Arial" w:hAnsi="Arial"/>
          <w:sz w:val="16"/>
          <w:szCs w:val="16"/>
          <w:color w:val="auto"/>
        </w:rPr>
      </w:pPr>
      <w:r>
        <w:rPr>
          <w:rFonts w:ascii="Arial" w:cs="Arial" w:eastAsia="Arial" w:hAnsi="Arial"/>
          <w:sz w:val="16"/>
          <w:szCs w:val="16"/>
          <w:color w:val="auto"/>
        </w:rPr>
        <w:t>If: (i) the Initial Registration Statement is not filed on or prior to its Filing Date, or (ii) the Company fails to file with the Commission a request for acceleration of a Registration Statement in accordance with Rule 461 promulgated by the Commission pursuant to the Securities Act, within five Trading Days of the date that the Company is notified (orally or in writing, whichever is earlier) by the Commission that such Registration Statement will not be “reviewed” or will not be subject to further review, or (iii) prior to the effective date of a Registration Statement, the Company fails to file a pre-effective amendment and otherwise respond in writing to comments made by the Commission in respect of such Registration Statement within 15 Trading Days after the receipt of comments by or notice from the Commission that such amendment is required in order for such Registration Statement to be declared effective, or (iv) as to, in the aggregate among all Holders on a pro-rata basis based on their purchase of the Securities pursuant to the Purchase Agreement, a Registration Statement registering for resale all of the Initial Shares is not declared effective by the Commission by the Effectiveness Date of the Initial Registration Statement, or (v) after the effective date of a Registration Statement, such Registration Statement ceases for any reason to remain continuously effective as to all Registrable Securities included in such Registration Statement, or the Holders are otherwise not permitted to utilize the Prospectus therein to resell such Registrable Securities, for more than 10 consecutive calendar days or more than an aggregate of 15 calendar days (which need not be consecutive calendar days) during any 12-month period, or (vi) after the effective date of a Registration Statement, the Company is does not keep current with its Exchange Act reporting requirements for a period of twelve months (any such failure or breach being referred to as an “</w:t>
      </w:r>
      <w:r>
        <w:rPr>
          <w:rFonts w:ascii="Arial" w:cs="Arial" w:eastAsia="Arial" w:hAnsi="Arial"/>
          <w:sz w:val="16"/>
          <w:szCs w:val="16"/>
          <w:u w:val="single" w:color="auto"/>
          <w:color w:val="auto"/>
        </w:rPr>
        <w:t>Event</w:t>
      </w:r>
      <w:r>
        <w:rPr>
          <w:rFonts w:ascii="Arial" w:cs="Arial" w:eastAsia="Arial" w:hAnsi="Arial"/>
          <w:sz w:val="16"/>
          <w:szCs w:val="16"/>
          <w:color w:val="auto"/>
        </w:rPr>
        <w:t>”, and for purposes of clause (i) and (iv) the date on which such Event occurs, and for purpose of clause (ii) the date on which such five Trading Day period is exceeded, and for purpose of clause (iii) the date which such 15 Trading Days is exceeded, and for purpose of clause (v) the date on which such 10 or 15 calendar day period, as applicable, is exceeded and for purpose of clause (vi) the date on which such failure occurs being referred to as “</w:t>
      </w:r>
      <w:r>
        <w:rPr>
          <w:rFonts w:ascii="Arial" w:cs="Arial" w:eastAsia="Arial" w:hAnsi="Arial"/>
          <w:sz w:val="16"/>
          <w:szCs w:val="16"/>
          <w:u w:val="single" w:color="auto"/>
          <w:color w:val="auto"/>
        </w:rPr>
        <w:t>Event Date</w:t>
      </w:r>
      <w:r>
        <w:rPr>
          <w:rFonts w:ascii="Arial" w:cs="Arial" w:eastAsia="Arial" w:hAnsi="Arial"/>
          <w:sz w:val="16"/>
          <w:szCs w:val="16"/>
          <w:color w:val="auto"/>
        </w:rPr>
        <w:t>”), then, in addition to any other rights the Holders may have hereunder or under applicable law, on each such Event Date and on each monthly anniversary of each such Event Date (if the applicable Event shall not have been cured by such date) until the applicable Event is cured, the Company shall pay to each Holder an amount in cash, as partial liquidated damages and not as a penalty, equal to 1% of the aggregate (not to exceed 6% of the aggregate, in total) purchase price paid by such Holder pursuant to the Purchase Agreement for any unregistered Registrable Securities then held by such Holder. If the Company fails to pay any partial liquidated damages pursuant to this Section in full within ten Trading Days after the date payable, the Company will pay interest thereon at a rate of 8% per annum (or such lesser maximum amount that is permitted to be paid by applicable law) to the Holder, accruing daily from the date such partial liquidated damages are due until such amounts, plus all such interest thereon, are paid in full. The partial liquidated damages pursuant to the terms hereof shall apply on a daily pro rata basis for any portion of a month prior to the cure of an Event.</w:t>
      </w:r>
    </w:p>
    <w:p>
      <w:pPr>
        <w:spacing w:after="0" w:line="16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-130175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68" w:right="239" w:bottom="1440" w:gutter="0" w:footer="0" w:header="0"/>
        </w:sectPr>
      </w:pPr>
    </w:p>
    <w:bookmarkStart w:id="41" w:name="page42"/>
    <w:bookmarkEnd w:id="41"/>
    <w:p>
      <w:pPr>
        <w:ind w:left="184" w:hanging="184"/>
        <w:spacing w:after="0"/>
        <w:tabs>
          <w:tab w:leader="none" w:pos="184"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Registration Procedures</w:t>
      </w: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connection with the Company’s registration obligations hereunder:</w:t>
      </w:r>
    </w:p>
    <w:p>
      <w:pPr>
        <w:spacing w:after="0" w:line="225" w:lineRule="exact"/>
        <w:rPr>
          <w:sz w:val="20"/>
          <w:szCs w:val="20"/>
          <w:color w:val="auto"/>
        </w:rPr>
      </w:pPr>
    </w:p>
    <w:p>
      <w:pPr>
        <w:ind w:left="4" w:firstLine="645"/>
        <w:spacing w:after="0" w:line="277" w:lineRule="auto"/>
        <w:tabs>
          <w:tab w:leader="none" w:pos="1468"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Each Holder agrees to furnish to the Company a completed questionnaire in the form attached to this Agreement as </w:t>
      </w:r>
      <w:r>
        <w:rPr>
          <w:rFonts w:ascii="Arial" w:cs="Arial" w:eastAsia="Arial" w:hAnsi="Arial"/>
          <w:sz w:val="18"/>
          <w:szCs w:val="18"/>
          <w:u w:val="single" w:color="auto"/>
          <w:color w:val="auto"/>
        </w:rPr>
        <w:t>Annex B</w:t>
      </w:r>
      <w:r>
        <w:rPr>
          <w:rFonts w:ascii="Arial" w:cs="Arial" w:eastAsia="Arial" w:hAnsi="Arial"/>
          <w:sz w:val="18"/>
          <w:szCs w:val="18"/>
          <w:color w:val="auto"/>
        </w:rPr>
        <w:t xml:space="preserve"> (a “</w:t>
      </w:r>
      <w:r>
        <w:rPr>
          <w:rFonts w:ascii="Arial" w:cs="Arial" w:eastAsia="Arial" w:hAnsi="Arial"/>
          <w:sz w:val="18"/>
          <w:szCs w:val="18"/>
          <w:u w:val="single" w:color="auto"/>
          <w:color w:val="auto"/>
        </w:rPr>
        <w:t>Selling Shareholder Questionnaire</w:t>
      </w:r>
      <w:r>
        <w:rPr>
          <w:rFonts w:ascii="Arial" w:cs="Arial" w:eastAsia="Arial" w:hAnsi="Arial"/>
          <w:sz w:val="18"/>
          <w:szCs w:val="18"/>
          <w:color w:val="auto"/>
        </w:rPr>
        <w:t>”) not less than five Trading Days prior to the Filing Date.</w:t>
      </w:r>
    </w:p>
    <w:p>
      <w:pPr>
        <w:spacing w:after="0" w:line="170" w:lineRule="exact"/>
        <w:rPr>
          <w:rFonts w:ascii="Arial" w:cs="Arial" w:eastAsia="Arial" w:hAnsi="Arial"/>
          <w:sz w:val="18"/>
          <w:szCs w:val="18"/>
          <w:color w:val="auto"/>
        </w:rPr>
      </w:pPr>
    </w:p>
    <w:p>
      <w:pPr>
        <w:jc w:val="both"/>
        <w:ind w:left="4" w:firstLine="645"/>
        <w:spacing w:after="0" w:line="270" w:lineRule="auto"/>
        <w:tabs>
          <w:tab w:leader="none" w:pos="1667" w:val="left"/>
        </w:tabs>
        <w:numPr>
          <w:ilvl w:val="1"/>
          <w:numId w:val="30"/>
        </w:numPr>
        <w:rPr>
          <w:rFonts w:ascii="Arial" w:cs="Arial" w:eastAsia="Arial" w:hAnsi="Arial"/>
          <w:sz w:val="17"/>
          <w:szCs w:val="17"/>
          <w:color w:val="auto"/>
        </w:rPr>
      </w:pPr>
      <w:r>
        <w:rPr>
          <w:rFonts w:ascii="Arial" w:cs="Arial" w:eastAsia="Arial" w:hAnsi="Arial"/>
          <w:sz w:val="17"/>
          <w:szCs w:val="17"/>
          <w:color w:val="auto"/>
        </w:rPr>
        <w:t>(i) The Company shall prepare and file with the Commission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 (iii) respond as promptly as reasonably possible to any comments received from the Commission with respect to a Registration Statement or any amendment thereto; and (iv) comply in all material respects with the provisions of the Securities Act and the Exchange Act with respect to the disposition of all Registrable Securities covered by a Registration Statement during the applicable period in accordance (subject to the terms of this Agreement) with the intended methods of disposition by the Holders thereof set forth in such Registration Statement as so amended or in such Prospectus as so supplemented.</w:t>
      </w:r>
    </w:p>
    <w:p>
      <w:pPr>
        <w:spacing w:after="0" w:line="177" w:lineRule="exact"/>
        <w:rPr>
          <w:rFonts w:ascii="Arial" w:cs="Arial" w:eastAsia="Arial" w:hAnsi="Arial"/>
          <w:sz w:val="17"/>
          <w:szCs w:val="17"/>
          <w:color w:val="auto"/>
        </w:rPr>
      </w:pPr>
    </w:p>
    <w:p>
      <w:pPr>
        <w:jc w:val="both"/>
        <w:ind w:left="4" w:firstLine="645"/>
        <w:spacing w:after="0" w:line="259" w:lineRule="auto"/>
        <w:tabs>
          <w:tab w:leader="none" w:pos="1549" w:val="left"/>
        </w:tabs>
        <w:numPr>
          <w:ilvl w:val="1"/>
          <w:numId w:val="30"/>
        </w:numPr>
        <w:rPr>
          <w:rFonts w:ascii="Arial" w:cs="Arial" w:eastAsia="Arial" w:hAnsi="Arial"/>
          <w:sz w:val="18"/>
          <w:szCs w:val="18"/>
          <w:color w:val="auto"/>
        </w:rPr>
      </w:pPr>
      <w:r>
        <w:rPr>
          <w:rFonts w:ascii="Arial" w:cs="Arial" w:eastAsia="Arial" w:hAnsi="Arial"/>
          <w:sz w:val="18"/>
          <w:szCs w:val="18"/>
          <w:color w:val="auto"/>
        </w:rPr>
        <w:t>If during the Effectiveness Period, the number of Registrable Securities at any time exceeds 100% of the number of shares of Common Stock then registered in a Registration Statement, then the Company shall file as soon as reasonably practicable, but in any case prior to the applicable Filing Date, an additional Registration Statement covering the resale by the Holders of not less than the number of such Registrable Securities.</w:t>
      </w:r>
    </w:p>
    <w:p>
      <w:pPr>
        <w:spacing w:after="0" w:line="186" w:lineRule="exact"/>
        <w:rPr>
          <w:rFonts w:ascii="Arial" w:cs="Arial" w:eastAsia="Arial" w:hAnsi="Arial"/>
          <w:sz w:val="18"/>
          <w:szCs w:val="18"/>
          <w:color w:val="auto"/>
        </w:rPr>
      </w:pPr>
    </w:p>
    <w:p>
      <w:pPr>
        <w:ind w:left="1504" w:hanging="855"/>
        <w:spacing w:after="0"/>
        <w:tabs>
          <w:tab w:leader="none" w:pos="1504"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 Company shall notify the Holders of Registrable Securities to be sold (which notice shall, pursuant to clauses (iii) through</w:t>
      </w:r>
    </w:p>
    <w:p>
      <w:pPr>
        <w:spacing w:after="0" w:line="46" w:lineRule="exact"/>
        <w:rPr>
          <w:rFonts w:ascii="Arial" w:cs="Arial" w:eastAsia="Arial" w:hAnsi="Arial"/>
          <w:sz w:val="16"/>
          <w:szCs w:val="16"/>
          <w:color w:val="auto"/>
        </w:rPr>
      </w:pPr>
    </w:p>
    <w:p>
      <w:pPr>
        <w:jc w:val="both"/>
        <w:ind w:left="4" w:hanging="4"/>
        <w:spacing w:after="0" w:line="266" w:lineRule="auto"/>
        <w:tabs>
          <w:tab w:leader="none" w:pos="333"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hereof, be accompanied by an instruction to suspend the use of the Prospectus until the requisite changes have been made) as promptly as reasonably possible (and, in the case of (i)(A) below, not less than one Trading Day prior to such filing) and (if requested by any such Person) confirm such notice in writing no later than one Trading Day following the day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such Registration Statement; and (C) with respect to a Registration Statement or any post-effective amendment, when the same has become effective; (ii) of any request by the Commission or any other federal or state governmental authority for amendments or supplements to a Registration Statement or Prospectus or for additional information; (iii) of the issuance by the Commission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and (vi) of the occurrence or existence of any pending corporate development with respect to the Company that the Company believes may be material and that, in the determination of the Company, makes it not in the best interest of the Company to allow continued availability of a Registration Statement or Prospectus, </w:t>
      </w:r>
      <w:r>
        <w:rPr>
          <w:rFonts w:ascii="Arial" w:cs="Arial" w:eastAsia="Arial" w:hAnsi="Arial"/>
          <w:sz w:val="17"/>
          <w:szCs w:val="17"/>
          <w:u w:val="single" w:color="auto"/>
          <w:color w:val="auto"/>
        </w:rPr>
        <w:t>provided, however</w:t>
      </w:r>
      <w:r>
        <w:rPr>
          <w:rFonts w:ascii="Arial" w:cs="Arial" w:eastAsia="Arial" w:hAnsi="Arial"/>
          <w:sz w:val="17"/>
          <w:szCs w:val="17"/>
          <w:color w:val="auto"/>
        </w:rPr>
        <w:t>, in no event shall any such notice contain any information which would constitute material, non-public information regarding the Company.</w:t>
      </w:r>
    </w:p>
    <w:p>
      <w:pPr>
        <w:spacing w:after="0" w:line="177"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-130175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41" w:right="239" w:bottom="1440" w:gutter="0" w:footer="0" w:header="0"/>
        </w:sectPr>
      </w:pPr>
    </w:p>
    <w:bookmarkStart w:id="42" w:name="page43"/>
    <w:bookmarkEnd w:id="42"/>
    <w:p>
      <w:pPr>
        <w:jc w:val="both"/>
        <w:ind w:left="-540" w:firstLine="645"/>
        <w:spacing w:after="0" w:line="264" w:lineRule="auto"/>
        <w:tabs>
          <w:tab w:leader="none" w:pos="96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shall use its best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w:t>
      </w:r>
    </w:p>
    <w:p>
      <w:pPr>
        <w:spacing w:after="0" w:line="181" w:lineRule="exact"/>
        <w:rPr>
          <w:rFonts w:ascii="Arial" w:cs="Arial" w:eastAsia="Arial" w:hAnsi="Arial"/>
          <w:sz w:val="18"/>
          <w:szCs w:val="18"/>
          <w:color w:val="auto"/>
        </w:rPr>
      </w:pPr>
    </w:p>
    <w:p>
      <w:pPr>
        <w:jc w:val="both"/>
        <w:ind w:left="-540" w:firstLine="645"/>
        <w:spacing w:after="0" w:line="257" w:lineRule="auto"/>
        <w:tabs>
          <w:tab w:leader="none" w:pos="8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shall furnish to each Holder, without charge, at least one conformed copy of each such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Commission; provided, that any such item which is available on the EDGAR system need not be furnished in physical form.</w:t>
      </w:r>
    </w:p>
    <w:p>
      <w:pPr>
        <w:spacing w:after="0" w:line="188" w:lineRule="exact"/>
        <w:rPr>
          <w:rFonts w:ascii="Arial" w:cs="Arial" w:eastAsia="Arial" w:hAnsi="Arial"/>
          <w:sz w:val="18"/>
          <w:szCs w:val="18"/>
          <w:color w:val="auto"/>
        </w:rPr>
      </w:pPr>
    </w:p>
    <w:p>
      <w:pPr>
        <w:jc w:val="both"/>
        <w:ind w:left="-540" w:firstLine="645"/>
        <w:spacing w:after="0" w:line="264" w:lineRule="auto"/>
        <w:tabs>
          <w:tab w:leader="none" w:pos="1056"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Subject to the terms of this Agreement, the Company hereby consents to the use of such Prospectus and each amendment or supplement thereto by each of the selling Holders in connection with the offering and sale of the Registrable Securities covered by such Prospectus and any amendment or supplement thereto, except after the giving of any notice pursuant to Section 3(d).</w:t>
      </w:r>
    </w:p>
    <w:p>
      <w:pPr>
        <w:spacing w:after="0" w:line="16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-130175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41" w:right="239" w:bottom="1440" w:gutter="0" w:footer="0" w:header="0"/>
        </w:sectPr>
      </w:pPr>
    </w:p>
    <w:bookmarkStart w:id="43" w:name="page44"/>
    <w:bookmarkEnd w:id="43"/>
    <w:p>
      <w:pPr>
        <w:jc w:val="both"/>
        <w:ind w:left="-540" w:firstLine="645"/>
        <w:spacing w:after="0" w:line="264" w:lineRule="auto"/>
        <w:tabs>
          <w:tab w:leader="none" w:pos="107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shall cooperate with any broker-dealer through which a Holder proposes to resell its Registrable Securities in effecting a filing with the FINRA Corporate Financing Department pursuant to FINRA Rule 5110, as requested by any such Holder, and such broker-dealer shall pay the filing fee required by such filing within two (2) Business Days of request therefor.</w:t>
      </w:r>
    </w:p>
    <w:p>
      <w:pPr>
        <w:spacing w:after="0" w:line="181" w:lineRule="exact"/>
        <w:rPr>
          <w:rFonts w:ascii="Arial" w:cs="Arial" w:eastAsia="Arial" w:hAnsi="Arial"/>
          <w:sz w:val="18"/>
          <w:szCs w:val="18"/>
          <w:color w:val="auto"/>
        </w:rPr>
      </w:pPr>
    </w:p>
    <w:p>
      <w:pPr>
        <w:jc w:val="both"/>
        <w:ind w:left="-540" w:firstLine="645"/>
        <w:spacing w:after="0" w:line="271" w:lineRule="auto"/>
        <w:tabs>
          <w:tab w:leader="none" w:pos="903"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Prior to any resale of Registrable Securities by a Holder, the Company shall use its commercially reasonable efforts to register or qualify or cooperate with 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spacing w:after="0" w:line="178" w:lineRule="exact"/>
        <w:rPr>
          <w:rFonts w:ascii="Arial" w:cs="Arial" w:eastAsia="Arial" w:hAnsi="Arial"/>
          <w:sz w:val="17"/>
          <w:szCs w:val="17"/>
          <w:color w:val="auto"/>
        </w:rPr>
      </w:pPr>
    </w:p>
    <w:p>
      <w:pPr>
        <w:jc w:val="both"/>
        <w:ind w:left="-540" w:firstLine="645"/>
        <w:spacing w:after="0" w:line="259" w:lineRule="auto"/>
        <w:tabs>
          <w:tab w:leader="none" w:pos="1061"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requested by a Holder, the Company shall cooperate with such Holders to facilitate the timely preparation and delivery of certificates representing Registrable Securities to be delivered to a transferee pursuant to a Registration Statement, which certificates shall be free, to the extent permitted by the Purchase Agreement, of all restrictive legends, and to enable such Registrable Securities to be in such denominations and registered in such names as any such Holder may request.</w:t>
      </w:r>
    </w:p>
    <w:p>
      <w:pPr>
        <w:spacing w:after="0" w:line="186" w:lineRule="exact"/>
        <w:rPr>
          <w:rFonts w:ascii="Arial" w:cs="Arial" w:eastAsia="Arial" w:hAnsi="Arial"/>
          <w:sz w:val="18"/>
          <w:szCs w:val="18"/>
          <w:color w:val="auto"/>
        </w:rPr>
      </w:pPr>
    </w:p>
    <w:p>
      <w:pPr>
        <w:jc w:val="both"/>
        <w:ind w:left="-540" w:firstLine="645"/>
        <w:spacing w:after="0" w:line="269" w:lineRule="auto"/>
        <w:tabs>
          <w:tab w:leader="none" w:pos="1043" w:val="left"/>
        </w:tabs>
        <w:numPr>
          <w:ilvl w:val="0"/>
          <w:numId w:val="33"/>
        </w:numPr>
        <w:rPr>
          <w:rFonts w:ascii="Arial" w:cs="Arial" w:eastAsia="Arial" w:hAnsi="Arial"/>
          <w:sz w:val="17"/>
          <w:szCs w:val="17"/>
          <w:color w:val="auto"/>
        </w:rPr>
      </w:pPr>
      <w:r>
        <w:rPr>
          <w:rFonts w:ascii="Arial" w:cs="Arial" w:eastAsia="Arial" w:hAnsi="Arial"/>
          <w:sz w:val="17"/>
          <w:szCs w:val="17"/>
          <w:color w:val="auto"/>
        </w:rPr>
        <w:t>Upon the occurrence of any event contemplated by Section 3(d), as promptly as reasonably possible under the circumstances taking into account the Company’s good faith assessment of any adverse consequences to the Company and its stockholders of the premature disclosure of such event, the Company shall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a Registration Statement nor such Prospectus will contain an untrue statement of a material fact or omit to state a material fact required to be stated therein or necessary to make the statements therein, in light of the circumstances under which they were made, not misleading. If the Company notifies the Holders in accordance with clauses (iii) through (vi) of Section 3(d) above to suspend the use of any Prospectus until the requisite changes to such Prospectus have been made, then the Holders shall suspend use of such Prospectus. The Company will use its best efforts to ensure that the use of the Prospectus may be resumed as promptly as is practicable. The Company shall be entitled to exercise its right under this Section 3(k) to suspend the availability of a Registration Statement and Prospectus, subject to the payment of partial liquidated damages otherwise required pursuant to Section 2(b), for a period not to exceed 60 calendar days (which need not be consecutive days) in any 12 month period.</w:t>
      </w:r>
    </w:p>
    <w:p>
      <w:pPr>
        <w:spacing w:after="0" w:line="16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-130175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41" w:right="239" w:bottom="1440" w:gutter="0" w:footer="0" w:header="0"/>
        </w:sectPr>
      </w:pPr>
    </w:p>
    <w:bookmarkStart w:id="44" w:name="page45"/>
    <w:bookmarkEnd w:id="44"/>
    <w:p>
      <w:pPr>
        <w:ind w:left="2080" w:hanging="775"/>
        <w:spacing w:after="0"/>
        <w:tabs>
          <w:tab w:leader="none" w:pos="20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Company shall comply with all applicable rules and regulations of the Commission.</w:t>
      </w:r>
    </w:p>
    <w:p>
      <w:pPr>
        <w:spacing w:after="0" w:line="225" w:lineRule="exact"/>
        <w:rPr>
          <w:rFonts w:ascii="Arial" w:cs="Arial" w:eastAsia="Arial" w:hAnsi="Arial"/>
          <w:sz w:val="18"/>
          <w:szCs w:val="18"/>
          <w:color w:val="auto"/>
        </w:rPr>
      </w:pPr>
    </w:p>
    <w:p>
      <w:pPr>
        <w:jc w:val="both"/>
        <w:ind w:left="660" w:firstLine="645"/>
        <w:spacing w:after="0" w:line="273" w:lineRule="auto"/>
        <w:tabs>
          <w:tab w:leader="none" w:pos="2216" w:val="left"/>
        </w:tabs>
        <w:numPr>
          <w:ilvl w:val="1"/>
          <w:numId w:val="34"/>
        </w:numPr>
        <w:rPr>
          <w:rFonts w:ascii="Arial" w:cs="Arial" w:eastAsia="Arial" w:hAnsi="Arial"/>
          <w:sz w:val="17"/>
          <w:szCs w:val="17"/>
          <w:color w:val="auto"/>
        </w:rPr>
      </w:pPr>
      <w:r>
        <w:rPr>
          <w:rFonts w:ascii="Arial" w:cs="Arial" w:eastAsia="Arial" w:hAnsi="Arial"/>
          <w:sz w:val="17"/>
          <w:szCs w:val="17"/>
          <w:color w:val="auto"/>
        </w:rPr>
        <w:t>The Company may require each selling Holder to furnish to the Company a certified statement as to the number of shares of Common Stock beneficially owned by such Holder and, if required by the Commission, the natural persons thereof that have voting and dispositive control over the shares. During any periods that the Company is unable to meet its obligations hereunder with respect to the registration of the Registrable Securities solely because any Holder fails to furnish such information within three Trading Days of the Company’s request, any liquidated damages that are accruing at such time as to such Holder only shall be tolled and any Event that may otherwise occur solely because of such delay shall be suspended as to such Holder only, until such information is delivered to the Company.</w:t>
      </w:r>
    </w:p>
    <w:p>
      <w:pPr>
        <w:spacing w:after="0" w:line="178" w:lineRule="exact"/>
        <w:rPr>
          <w:rFonts w:ascii="Arial" w:cs="Arial" w:eastAsia="Arial" w:hAnsi="Arial"/>
          <w:sz w:val="17"/>
          <w:szCs w:val="17"/>
          <w:color w:val="auto"/>
        </w:rPr>
      </w:pPr>
    </w:p>
    <w:p>
      <w:pPr>
        <w:jc w:val="both"/>
        <w:ind w:firstLine="656"/>
        <w:spacing w:after="0" w:line="267" w:lineRule="auto"/>
        <w:tabs>
          <w:tab w:leader="none" w:pos="828"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Registration Expenses</w:t>
      </w:r>
      <w:r>
        <w:rPr>
          <w:rFonts w:ascii="Arial" w:cs="Arial" w:eastAsia="Arial" w:hAnsi="Arial"/>
          <w:sz w:val="17"/>
          <w:szCs w:val="17"/>
          <w:color w:val="auto"/>
        </w:rPr>
        <w:t>. All fees and expenses incident to the performance of or compliance with this Agreement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auditors) (A) with respect to filings made with the Commission, (B) with respect to filings required to be made with any Trading Market on which the Common Stock is then listed for trading, (C) in compliance with applicable state securities or Blue Sky laws reasonably agreed to by the Company in writing (including, without limitation, fees and disbursements of counsel for the Company in connection with Blue Sky qualifications or exemptions of the Registrable Securities) and (D) if not previously paid by the Company in connection with an Issuer Filing, with respect to any filing that may be required to be made by any broker through which a Holder intends to make sales of Registrable Securities with FINRA pursuant to FINRA Rule 5110, so long as the broker is receiving no more than a customary brokerage commission in connection with such sale, (ii) printing expenses (including, without limitation, expenses of printing certificates for Registrable Securities), (iii) messenger, telephone and delivery expenses, (iv) fees and disbursements of counsel for the Company, (v) Securities Act liability insurance, if the Company so desires such insurance, and (vi) fees and expenses of all other Persons retained by the Company in connection with the consummation of the transactions contemplated by this Agreement.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broker or similar commissions of any Holder or, except to the extent provided for in the Transaction Documents, any legal fees or other costs of the Holders.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sectPr>
      </w:pPr>
    </w:p>
    <w:bookmarkStart w:id="45" w:name="page46"/>
    <w:bookmarkEnd w:id="45"/>
    <w:p>
      <w:pPr>
        <w:ind w:left="184" w:hanging="184"/>
        <w:spacing w:after="0"/>
        <w:tabs>
          <w:tab w:leader="none" w:pos="184"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5"/>
        <w:spacing w:after="0" w:line="284" w:lineRule="auto"/>
        <w:tabs>
          <w:tab w:leader="none" w:pos="1495"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shall, notwithstanding any termination of this Agreement, indemnify and hold harmless each Holder, the officers, directors, members, partners, agents, brokers (including brokers who offer and sell Registrable Securities as principal as a result of a pledge or any failure to perform under a margin call of Common Stock), investment advisors and employees (and any other Persons with a functionally equivalent role of a Person holding such titles, notwithstanding a lack of such title or any other title) of each of them, each Person who controls any such Holder (within the meaning of Section 15 of the Securities Act or Section 20 of the Exchange Act) and the officers, directors, members, shareholders, partners, agents and employees (and any other Persons with a functionally equivalent role of a Person holding such titles, notwithstanding a lack of such title or any other title) of each such controlling Person, to the fullest extent permitted by applicable law, from and against any and all losses, claims, damages, liabilities, costs (including, without limitation, reasonable attorneys’ fees) and expenses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as incurred, arising out of or relating to (1) any untrue or alleged untrue statement of a material fact contained in a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of the Securities Act, the Exchange Act or any state securities law, or any rule or regulation thereunder, in connection with the performance of its obligations under this Agreement, except to the extent, but only to the extent, that (i) such untrue statements or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a Registration Statement, such Prospectus or in any amendment or supplement thereto (it being understood that the Holder has approved Annex A hereto for this purpose) or (ii) in the case of an occurrence of an event of the type specified in Section 3(d)(iii)-(vi), the use by such Holder of an outdated or defective Prospectus after the Company has notified such Holder in writing that the Prospectus is outdated or defective and prior to the receipt by such Holder of the Advice contemplated in Section 6(d). The Company shall notify the Holders promptly of the institution, threat or assertion of any Proceeding arising from or in connection with the transactions contemplated by this Agreement of which the Company is aware.</w:t>
      </w:r>
    </w:p>
    <w:p>
      <w:pPr>
        <w:spacing w:after="0" w:line="180" w:lineRule="exact"/>
        <w:rPr>
          <w:rFonts w:ascii="Arial" w:cs="Arial" w:eastAsia="Arial" w:hAnsi="Arial"/>
          <w:sz w:val="16"/>
          <w:szCs w:val="16"/>
          <w:color w:val="auto"/>
        </w:rPr>
      </w:pPr>
    </w:p>
    <w:p>
      <w:pPr>
        <w:jc w:val="both"/>
        <w:ind w:left="4" w:firstLine="645"/>
        <w:spacing w:after="0" w:line="286" w:lineRule="auto"/>
        <w:tabs>
          <w:tab w:leader="none" w:pos="1397"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Indemnification by Holders</w:t>
      </w:r>
      <w:r>
        <w:rPr>
          <w:rFonts w:ascii="Arial" w:cs="Arial" w:eastAsia="Arial" w:hAnsi="Arial"/>
          <w:sz w:val="16"/>
          <w:szCs w:val="16"/>
          <w:color w:val="auto"/>
        </w:rPr>
        <w:t>. Each Holder shall, severally and not jointly,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to the extent arising out of or based solely upon: (x) such Holder’s failure to comply with the prospectus delivery requirements of the Securities Act or (y) any untrue or alleged untrue statement of a material fact contained in any Registration Statement, any Prospectus, or in any amendment or supplement thereto or in any preliminary prospectus, or arising out of or relating to any omission or alleged omission of a material fact required to be stated therein or necessary to make the statements therein not misleading (i) to the extent, but only to the extent, that such untrue statement or omission is contained in any information so furnished in writing by such Holder to the Company specifically for inclusion in such Registration Statement or such Prospectus or (ii) to the extent that such information relates to such Holder’s proposed method of distribution of Registrable Securities and was reviewed and expressly approved in writing by such Holder expressly for use in a Registration Statement (it being understood that the Holder has approved Annex A hereto for this purpose), such Prospectus or in any amendment or supplement thereto or (ii) in the case of an occurrence of an event of the type specified in Section 3(d)(iii)-(vi), the use by such Holder of an outdated or defective Prospectus after the Company has notified such Holder in writing that the Prospectus is outdated or defective and prior to the receipt by such Holder of the Advice contemplated in Section 6(d). In no event shall the liability of any selling Holder hereunder be greater in amount than the dollar amount of the net proceeds received by such Holder upon the sale of the Registrable Securities giving rise to such indemnification obligation.</w:t>
      </w:r>
    </w:p>
    <w:p>
      <w:pPr>
        <w:spacing w:after="0" w:line="155"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-130175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41" w:right="239" w:bottom="1440" w:gutter="0" w:footer="0" w:header="0"/>
        </w:sectPr>
      </w:pPr>
    </w:p>
    <w:bookmarkStart w:id="46" w:name="page47"/>
    <w:bookmarkEnd w:id="46"/>
    <w:p>
      <w:pPr>
        <w:jc w:val="both"/>
        <w:ind w:firstLine="645"/>
        <w:spacing w:after="0" w:line="272" w:lineRule="auto"/>
        <w:tabs>
          <w:tab w:leader="none" w:pos="1437"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Conduct of Indemnification Proceedings</w:t>
      </w:r>
      <w:r>
        <w:rPr>
          <w:rFonts w:ascii="Arial" w:cs="Arial" w:eastAsia="Arial" w:hAnsi="Arial"/>
          <w:sz w:val="17"/>
          <w:szCs w:val="17"/>
          <w:color w:val="auto"/>
        </w:rPr>
        <w:t>. If any Proceeding shall be brought or asserted against any Person entitled to indemnity hereunder (an “</w:t>
      </w:r>
      <w:r>
        <w:rPr>
          <w:rFonts w:ascii="Arial" w:cs="Arial" w:eastAsia="Arial" w:hAnsi="Arial"/>
          <w:sz w:val="17"/>
          <w:szCs w:val="17"/>
          <w:u w:val="single" w:color="auto"/>
          <w:color w:val="auto"/>
        </w:rPr>
        <w:t>Indemnified Party</w:t>
      </w:r>
      <w:r>
        <w:rPr>
          <w:rFonts w:ascii="Arial" w:cs="Arial" w:eastAsia="Arial" w:hAnsi="Arial"/>
          <w:sz w:val="17"/>
          <w:szCs w:val="17"/>
          <w:color w:val="auto"/>
        </w:rPr>
        <w:t>”), such Indemnified Party shall promptly notify the Person from whom indemnity is sought (the “</w:t>
      </w:r>
      <w:r>
        <w:rPr>
          <w:rFonts w:ascii="Arial" w:cs="Arial" w:eastAsia="Arial" w:hAnsi="Arial"/>
          <w:sz w:val="17"/>
          <w:szCs w:val="17"/>
          <w:u w:val="single" w:color="auto"/>
          <w:color w:val="auto"/>
        </w:rPr>
        <w:t>Indemnifying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Party</w:t>
      </w:r>
      <w:r>
        <w:rPr>
          <w:rFonts w:ascii="Arial" w:cs="Arial" w:eastAsia="Arial" w:hAnsi="Arial"/>
          <w:sz w:val="17"/>
          <w:szCs w:val="17"/>
          <w:color w:val="auto"/>
        </w:rPr>
        <w:t>”) in writing, and the Indemnifying Party shall have the right to assume the defense thereof, including the employment of counsel reasonably satisfactory to the Indemnified Party and the payment of all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prejudiced the Indemnifying Party.</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shall be at the expense of the Indemnifying Party). The Indemnifying Party shall not be liable for any settlement of any such Proceeding effected without its written consent, which consent shall not be unreasonably withheld or delayed.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spacing w:after="0" w:line="17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-130175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841" w:right="239" w:bottom="1440" w:gutter="0" w:footer="0" w:header="0"/>
        </w:sectPr>
      </w:pPr>
    </w:p>
    <w:bookmarkStart w:id="47" w:name="page48"/>
    <w:bookmarkEnd w:id="47"/>
    <w:p>
      <w:pPr>
        <w:jc w:val="both"/>
        <w:ind w:firstLine="648"/>
        <w:spacing w:after="0" w:line="276" w:lineRule="auto"/>
        <w:rPr>
          <w:sz w:val="20"/>
          <w:szCs w:val="20"/>
          <w:color w:val="auto"/>
        </w:rPr>
      </w:pPr>
      <w:r>
        <w:rPr>
          <w:rFonts w:ascii="Arial" w:cs="Arial" w:eastAsia="Arial" w:hAnsi="Arial"/>
          <w:sz w:val="17"/>
          <w:szCs w:val="17"/>
          <w:color w:val="auto"/>
        </w:rPr>
        <w:t>Subject to the terms of this Agreement, all reasonable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ten Trading Days of written notice thereof to the Indemnifying Party; provided, that the Indemnified Party shall promptly reimburse the Indemnifying Party for that portion of such fees and expenses applicable to such actions for which such Indemnified Party is judicially determined to be not entitled to indemnification hereunder.</w:t>
      </w:r>
    </w:p>
    <w:p>
      <w:pPr>
        <w:spacing w:after="0" w:line="173" w:lineRule="exact"/>
        <w:rPr>
          <w:sz w:val="20"/>
          <w:szCs w:val="20"/>
          <w:color w:val="auto"/>
        </w:rPr>
      </w:pPr>
    </w:p>
    <w:p>
      <w:pPr>
        <w:jc w:val="both"/>
        <w:ind w:firstLine="645"/>
        <w:spacing w:after="0" w:line="269" w:lineRule="auto"/>
        <w:tabs>
          <w:tab w:leader="none" w:pos="1515"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Contribution</w:t>
      </w:r>
      <w:r>
        <w:rPr>
          <w:rFonts w:ascii="Arial" w:cs="Arial" w:eastAsia="Arial" w:hAnsi="Arial"/>
          <w:sz w:val="17"/>
          <w:szCs w:val="17"/>
          <w:color w:val="auto"/>
        </w:rPr>
        <w:t>. If the indemnification under Section 5(a) or 5(b) is unavailable to an Indemnified Party or insufficient to hold an Indemnified 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parties hereto agree that it would not be just and equitable if contribution pursuant to this Section 5(d) were determined by pro rata allocation or by any other method of allocation that does not take into account the equitable considerations referred to in the immediately preceding paragraph. Notwithstanding the provisions of this Section 5(d), no Holder shall be required to contribute, in the aggregate, any amount in excess of the amount by which the net proceeds actually received by such Holder from the sale of the Registrable Securities subject to the Proceeding exceeds the amount of any damages that such Holder has otherwise been required to pay by reason of such untrue or alleged untrue statement or omission or alleged omission.</w:t>
      </w:r>
    </w:p>
    <w:p>
      <w:pPr>
        <w:spacing w:after="0" w:line="18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-130175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841" w:right="239" w:bottom="1440" w:gutter="0" w:footer="0" w:header="0"/>
        </w:sectPr>
      </w:pPr>
    </w:p>
    <w:bookmarkStart w:id="48" w:name="page49"/>
    <w:bookmarkEnd w:id="48"/>
    <w:p>
      <w:pPr>
        <w:ind w:left="660" w:firstLine="648"/>
        <w:spacing w:after="0" w:line="277" w:lineRule="auto"/>
        <w:rPr>
          <w:sz w:val="20"/>
          <w:szCs w:val="20"/>
          <w:color w:val="auto"/>
        </w:rPr>
      </w:pPr>
      <w:r>
        <w:rPr>
          <w:rFonts w:ascii="Arial" w:cs="Arial" w:eastAsia="Arial" w:hAnsi="Arial"/>
          <w:sz w:val="18"/>
          <w:szCs w:val="18"/>
          <w:color w:val="auto"/>
        </w:rPr>
        <w:t>The indemnity and contribution agreements contained in this Section are in addition to any liability that the Indemnifying Parties may have to the Indemnified Parties.</w:t>
      </w:r>
    </w:p>
    <w:p>
      <w:pPr>
        <w:spacing w:after="0" w:line="170" w:lineRule="exact"/>
        <w:rPr>
          <w:sz w:val="20"/>
          <w:szCs w:val="20"/>
          <w:color w:val="auto"/>
        </w:rPr>
      </w:pPr>
    </w:p>
    <w:p>
      <w:pPr>
        <w:ind w:left="840" w:hanging="184"/>
        <w:spacing w:after="0"/>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55" w:lineRule="auto"/>
        <w:tabs>
          <w:tab w:leader="none" w:pos="1586"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The Company and each Holder agree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spacing w:after="0" w:line="193" w:lineRule="exact"/>
        <w:rPr>
          <w:rFonts w:ascii="Arial" w:cs="Arial" w:eastAsia="Arial" w:hAnsi="Arial"/>
          <w:sz w:val="18"/>
          <w:szCs w:val="18"/>
          <w:color w:val="auto"/>
        </w:rPr>
      </w:pPr>
    </w:p>
    <w:p>
      <w:pPr>
        <w:jc w:val="both"/>
        <w:ind w:firstLine="656"/>
        <w:spacing w:after="0" w:line="272" w:lineRule="auto"/>
        <w:tabs>
          <w:tab w:leader="none" w:pos="1447"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No Piggyback on Registrations; Prohibition on Filing Other Registration Statements</w:t>
      </w:r>
      <w:r>
        <w:rPr>
          <w:rFonts w:ascii="Arial" w:cs="Arial" w:eastAsia="Arial" w:hAnsi="Arial"/>
          <w:sz w:val="17"/>
          <w:szCs w:val="17"/>
          <w:color w:val="auto"/>
        </w:rPr>
        <w:t>. Neither the Company nor any of its security holders (other than the Holders in such capacity pursuant hereto) may include securities of the Company in any Registration Statements other than the Registrable Securities. The Company shall not file any other registration statements (other than on Form S-4 or Form S-8 (each as promulgated under the Securities Act) or their then equivalents relating to equity securities to be issued solely in connection with any acquisition of any entity or business or equity securities issuable in connection with the Company's stock option or other employee benefit plans) until all Registrable Securities are registered pursuant to a Registration Statement that is declared effective by the Commission. The prohibitions of this Section 6(b) shall not be applicable to any registration rights obligations the Company may have or will have with broker-dealers in connection with the offering to Holders.</w:t>
      </w:r>
    </w:p>
    <w:p>
      <w:pPr>
        <w:spacing w:after="0" w:line="177" w:lineRule="exact"/>
        <w:rPr>
          <w:rFonts w:ascii="Arial" w:cs="Arial" w:eastAsia="Arial" w:hAnsi="Arial"/>
          <w:sz w:val="17"/>
          <w:szCs w:val="17"/>
          <w:color w:val="auto"/>
        </w:rPr>
      </w:pPr>
    </w:p>
    <w:p>
      <w:pPr>
        <w:ind w:firstLine="656"/>
        <w:spacing w:after="0" w:line="308" w:lineRule="auto"/>
        <w:tabs>
          <w:tab w:leader="none" w:pos="1559" w:val="left"/>
        </w:tabs>
        <w:numPr>
          <w:ilvl w:val="0"/>
          <w:numId w:val="4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Compliance</w:t>
      </w:r>
      <w:r>
        <w:rPr>
          <w:rFonts w:ascii="Arial" w:cs="Arial" w:eastAsia="Arial" w:hAnsi="Arial"/>
          <w:sz w:val="17"/>
          <w:szCs w:val="17"/>
          <w:color w:val="auto"/>
        </w:rPr>
        <w:t>. Each Holder covenants and agrees that it will comply with the prospectus delivery requirements of the Securities Act as applicable to it (unless an exemption therefrom is available) in connection with sales of Registrable Securities pursuant to a Registration Statement.</w:t>
      </w:r>
    </w:p>
    <w:p>
      <w:pPr>
        <w:spacing w:after="0" w:line="146" w:lineRule="exact"/>
        <w:rPr>
          <w:rFonts w:ascii="Arial" w:cs="Arial" w:eastAsia="Arial" w:hAnsi="Arial"/>
          <w:sz w:val="17"/>
          <w:szCs w:val="17"/>
          <w:color w:val="auto"/>
        </w:rPr>
      </w:pPr>
    </w:p>
    <w:p>
      <w:pPr>
        <w:jc w:val="both"/>
        <w:ind w:firstLine="656"/>
        <w:spacing w:after="0" w:line="273" w:lineRule="auto"/>
        <w:tabs>
          <w:tab w:leader="none" w:pos="1407"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Discontinued Disposition</w:t>
      </w:r>
      <w:r>
        <w:rPr>
          <w:rFonts w:ascii="Arial" w:cs="Arial" w:eastAsia="Arial" w:hAnsi="Arial"/>
          <w:sz w:val="17"/>
          <w:szCs w:val="17"/>
          <w:color w:val="auto"/>
        </w:rPr>
        <w:t>. By its acquisition of Registrable Securities, each Holder agrees that, upon receipt of a notice from the Company of the occurrence of any event of the kind described in Section 3(d)(iii) through (vi), such Holder will forthwith discontinue disposition of such Registrable Securities under a Registration Statement until it is advised in writing (the “</w:t>
      </w:r>
      <w:r>
        <w:rPr>
          <w:rFonts w:ascii="Arial" w:cs="Arial" w:eastAsia="Arial" w:hAnsi="Arial"/>
          <w:sz w:val="17"/>
          <w:szCs w:val="17"/>
          <w:u w:val="single" w:color="auto"/>
          <w:color w:val="auto"/>
        </w:rPr>
        <w:t>Advice</w:t>
      </w:r>
      <w:r>
        <w:rPr>
          <w:rFonts w:ascii="Arial" w:cs="Arial" w:eastAsia="Arial" w:hAnsi="Arial"/>
          <w:sz w:val="17"/>
          <w:szCs w:val="17"/>
          <w:color w:val="auto"/>
        </w:rPr>
        <w:t>”) by the Company that the use of the applicable Prospectus (as it may have been supplemented or amended) may be resumed. The Company will use its best efforts to ensure that the use of the Prospectus may be resumed as promptly as it practicable. The Company agrees and acknowledges that any periods during which the Holder is required to discontinue the disposition of the Registrable Securities hereunder shall be subject to the provisions of Section 2(b).</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sectPr>
      </w:pPr>
    </w:p>
    <w:bookmarkStart w:id="49" w:name="page50"/>
    <w:bookmarkEnd w:id="49"/>
    <w:p>
      <w:pPr>
        <w:jc w:val="both"/>
        <w:ind w:firstLine="656"/>
        <w:spacing w:after="0" w:line="270" w:lineRule="auto"/>
        <w:tabs>
          <w:tab w:leader="none" w:pos="1478"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Piggy-Back Registrations</w:t>
      </w:r>
      <w:r>
        <w:rPr>
          <w:rFonts w:ascii="Arial" w:cs="Arial" w:eastAsia="Arial" w:hAnsi="Arial"/>
          <w:sz w:val="17"/>
          <w:szCs w:val="17"/>
          <w:color w:val="auto"/>
        </w:rPr>
        <w:t xml:space="preserve">. If, at any time during the Effectiveness Period, there is not an effective Registration Statement covering all of the Registrable Securities and the Company shall determine to prepare and file with the Commission a registration statement relating to an offering for its own account or the account of others under the Securities Act of any of its equity securities, other than on Form S-4 or Form S-8 (each as promulgated under the Securities Act) or their then equivalents relating to equity securities to be issued solely in connection with any acquisition of any entity or business or equity securities issuable in connection with the Company’s stock option or other employee benefit plans, then the Company shall deliver to each Holder a written notice of such determination and, if within fifteen days after the date of the delivery of such notice, any such Holder shall so request in writing, the Company shall include in such registration statement all or any part of such Registrable Securities such Holder requests to be registered;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required to register any Registrable Securities pursuant to this Section 6(e) that are eligible for resale without volume or manner of sale restrictions pursuant to Rule 144 promulgated by the Commission pursuant to the Securities Act or that are the subject of a then effective Registration Statement.</w:t>
      </w:r>
    </w:p>
    <w:p>
      <w:pPr>
        <w:spacing w:after="0" w:line="177" w:lineRule="exact"/>
        <w:rPr>
          <w:rFonts w:ascii="Arial" w:cs="Arial" w:eastAsia="Arial" w:hAnsi="Arial"/>
          <w:sz w:val="17"/>
          <w:szCs w:val="17"/>
          <w:color w:val="auto"/>
        </w:rPr>
      </w:pPr>
    </w:p>
    <w:p>
      <w:pPr>
        <w:jc w:val="both"/>
        <w:ind w:firstLine="656"/>
        <w:spacing w:after="0" w:line="270" w:lineRule="auto"/>
        <w:tabs>
          <w:tab w:leader="none" w:pos="1435"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Amendments and Waivers</w:t>
      </w:r>
      <w:r>
        <w:rPr>
          <w:rFonts w:ascii="Arial" w:cs="Arial" w:eastAsia="Arial" w:hAnsi="Arial"/>
          <w:sz w:val="17"/>
          <w:szCs w:val="17"/>
          <w:color w:val="auto"/>
        </w:rPr>
        <w:t xml:space="preserve">. The provisions of this Agreement, including the provisions of this sentence, may not be amended, modified or supplemented, and waivers or consents to departures from the provisions hereof may not be given, unless the same shall be in writing and signed by the Company and the Holders of a majority of the then outstanding Registrable Securities (including, for this purpose any Registrable Securities issuable upon exercise or conversion of any Security). If a Registration Statement does not register all of the Registrable Securities pursuant to a waiver or amendment done in compliance with the previous sentence, then the number of Registrable Securities to be registered for each Holder shall be reduced pro rata among all Holders and each Holder shall have the right to designate which of its Registrable Securities shall be omitted from such Registration Statement. Notwithstanding the foregoing, a waiver or consent to depart from the provisions hereof with respect to a matter that relates exclusively to the rights of a Holder or some Holders and that does not directly or indirectly affect the rights of other Holders may be given by such Holder or Holders of all of the Registrable Securities to which such waiver or consent relates;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provisions of this sentence may not be amended, modified, or supplemented except in accordance with the provisions of the first sentence of this Section 6(f).</w:t>
      </w:r>
    </w:p>
    <w:p>
      <w:pPr>
        <w:spacing w:after="0" w:line="177" w:lineRule="exact"/>
        <w:rPr>
          <w:rFonts w:ascii="Arial" w:cs="Arial" w:eastAsia="Arial" w:hAnsi="Arial"/>
          <w:sz w:val="17"/>
          <w:szCs w:val="17"/>
          <w:color w:val="auto"/>
        </w:rPr>
      </w:pPr>
    </w:p>
    <w:p>
      <w:pPr>
        <w:ind w:firstLine="656"/>
        <w:spacing w:after="0" w:line="277" w:lineRule="auto"/>
        <w:tabs>
          <w:tab w:leader="none" w:pos="1393"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and all notices or other communications or deliveries required or permitted to be provided hereunder shall be delivered as set forth in the Purchase Agreement.</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434"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inure to the benefit of and be binding upon the successors and permitted assigns of each of the parties and shall inure to the benefit of each Holder. The Company may not assign (except by merger) its rights or obligations hereunder without the prior written consent of all of the Holders of the then outstanding Registrable Securities. Each Holder may assign their respective rights hereunder in the manner and to the Persons as permitted under the Purchase Agreement.</w:t>
      </w:r>
    </w:p>
    <w:p>
      <w:pPr>
        <w:spacing w:after="0" w:line="186" w:lineRule="exact"/>
        <w:rPr>
          <w:rFonts w:ascii="Arial" w:cs="Arial" w:eastAsia="Arial" w:hAnsi="Arial"/>
          <w:sz w:val="18"/>
          <w:szCs w:val="18"/>
          <w:color w:val="auto"/>
        </w:rPr>
      </w:pPr>
    </w:p>
    <w:p>
      <w:pPr>
        <w:jc w:val="both"/>
        <w:ind w:firstLine="656"/>
        <w:spacing w:after="0" w:line="257" w:lineRule="auto"/>
        <w:tabs>
          <w:tab w:leader="none" w:pos="143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No Inconsistent Agreements</w:t>
      </w:r>
      <w:r>
        <w:rPr>
          <w:rFonts w:ascii="Arial" w:cs="Arial" w:eastAsia="Arial" w:hAnsi="Arial"/>
          <w:sz w:val="18"/>
          <w:szCs w:val="18"/>
          <w:color w:val="auto"/>
        </w:rPr>
        <w:t xml:space="preserve">.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Holders in this Agreement or otherwise conflicts with the provisions hereof. Except as set forth on </w:t>
      </w:r>
      <w:r>
        <w:rPr>
          <w:rFonts w:ascii="Arial" w:cs="Arial" w:eastAsia="Arial" w:hAnsi="Arial"/>
          <w:sz w:val="18"/>
          <w:szCs w:val="18"/>
          <w:u w:val="single" w:color="auto"/>
          <w:color w:val="auto"/>
        </w:rPr>
        <w:t>Schedule 6(i)</w:t>
      </w:r>
      <w:r>
        <w:rPr>
          <w:rFonts w:ascii="Arial" w:cs="Arial" w:eastAsia="Arial" w:hAnsi="Arial"/>
          <w:sz w:val="18"/>
          <w:szCs w:val="18"/>
          <w:color w:val="auto"/>
        </w:rPr>
        <w:t>, neither the Company nor any of its Subsidiaries has previously entered into any agreement granting any registration rights with respect to any of its securities to any Person that have not been satisfied in full.</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sectPr>
      </w:pPr>
    </w:p>
    <w:bookmarkStart w:id="50" w:name="page51"/>
    <w:bookmarkEnd w:id="50"/>
    <w:p>
      <w:pPr>
        <w:jc w:val="both"/>
        <w:ind w:firstLine="656"/>
        <w:spacing w:after="0" w:line="276" w:lineRule="auto"/>
        <w:tabs>
          <w:tab w:leader="none" w:pos="1574"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Execution and Counterparts</w:t>
      </w:r>
      <w:r>
        <w:rPr>
          <w:rFonts w:ascii="Arial" w:cs="Arial" w:eastAsia="Arial" w:hAnsi="Arial"/>
          <w:sz w:val="17"/>
          <w:szCs w:val="17"/>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72" w:lineRule="exact"/>
        <w:rPr>
          <w:rFonts w:ascii="Arial" w:cs="Arial" w:eastAsia="Arial" w:hAnsi="Arial"/>
          <w:sz w:val="17"/>
          <w:szCs w:val="17"/>
          <w:color w:val="auto"/>
        </w:rPr>
      </w:pPr>
    </w:p>
    <w:p>
      <w:pPr>
        <w:ind w:firstLine="656"/>
        <w:spacing w:after="0" w:line="277" w:lineRule="auto"/>
        <w:tabs>
          <w:tab w:leader="none" w:pos="142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All questions concerning the construction, validity, enforcement and interpretation of this Agreement shall be determined in accordance with the provisions of the Purchase Agreement.</w:t>
      </w:r>
    </w:p>
    <w:p>
      <w:pPr>
        <w:spacing w:after="0" w:line="170" w:lineRule="exact"/>
        <w:rPr>
          <w:rFonts w:ascii="Arial" w:cs="Arial" w:eastAsia="Arial" w:hAnsi="Arial"/>
          <w:sz w:val="18"/>
          <w:szCs w:val="18"/>
          <w:color w:val="auto"/>
        </w:rPr>
      </w:pPr>
    </w:p>
    <w:p>
      <w:pPr>
        <w:ind w:left="1420" w:hanging="764"/>
        <w:spacing w:after="0"/>
        <w:tabs>
          <w:tab w:leader="none" w:pos="1420"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Cumulative Remedies</w:t>
      </w:r>
      <w:r>
        <w:rPr>
          <w:rFonts w:ascii="Arial" w:cs="Arial" w:eastAsia="Arial" w:hAnsi="Arial"/>
          <w:sz w:val="17"/>
          <w:szCs w:val="17"/>
          <w:color w:val="auto"/>
        </w:rPr>
        <w:t>. The remedies provided herein are cumulative and not exclusive of any other remedies provided by law.</w:t>
      </w:r>
    </w:p>
    <w:p>
      <w:pPr>
        <w:spacing w:after="0" w:line="236" w:lineRule="exact"/>
        <w:rPr>
          <w:rFonts w:ascii="Arial" w:cs="Arial" w:eastAsia="Arial" w:hAnsi="Arial"/>
          <w:sz w:val="17"/>
          <w:szCs w:val="17"/>
          <w:color w:val="auto"/>
        </w:rPr>
      </w:pPr>
    </w:p>
    <w:p>
      <w:pPr>
        <w:jc w:val="both"/>
        <w:ind w:firstLine="656"/>
        <w:spacing w:after="0" w:line="255" w:lineRule="auto"/>
        <w:tabs>
          <w:tab w:leader="none" w:pos="1502"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93" w:lineRule="exact"/>
        <w:rPr>
          <w:rFonts w:ascii="Arial" w:cs="Arial" w:eastAsia="Arial" w:hAnsi="Arial"/>
          <w:sz w:val="18"/>
          <w:szCs w:val="18"/>
          <w:color w:val="auto"/>
        </w:rPr>
      </w:pPr>
    </w:p>
    <w:p>
      <w:pPr>
        <w:ind w:right="20" w:firstLine="656"/>
        <w:spacing w:after="0" w:line="277" w:lineRule="auto"/>
        <w:tabs>
          <w:tab w:leader="none" w:pos="1434"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for convenience only, do not constitute a part of the Agreement and shall not be deemed to limit or affect any of the provisions hereof.</w:t>
      </w:r>
    </w:p>
    <w:p>
      <w:pPr>
        <w:spacing w:after="0" w:line="170" w:lineRule="exact"/>
        <w:rPr>
          <w:rFonts w:ascii="Arial" w:cs="Arial" w:eastAsia="Arial" w:hAnsi="Arial"/>
          <w:sz w:val="18"/>
          <w:szCs w:val="18"/>
          <w:color w:val="auto"/>
        </w:rPr>
      </w:pPr>
    </w:p>
    <w:p>
      <w:pPr>
        <w:jc w:val="both"/>
        <w:ind w:firstLine="656"/>
        <w:spacing w:after="0" w:line="255" w:lineRule="auto"/>
        <w:tabs>
          <w:tab w:leader="none" w:pos="1636"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Independent Nature of Holders’ Obligations and Rights</w:t>
      </w:r>
      <w:r>
        <w:rPr>
          <w:rFonts w:ascii="Arial" w:cs="Arial" w:eastAsia="Arial" w:hAnsi="Arial"/>
          <w:sz w:val="18"/>
          <w:szCs w:val="18"/>
          <w:color w:val="auto"/>
        </w:rPr>
        <w:t>.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entity, or create a presumption that the Holders are in any way acting in concert with respect to such obligations or the transactions contemplated by this Agreement. Each Holder shall be entitled to protect and enforce its rights, including without limitation the rights arising out of this Agreement, and it shall not be necessary for any other Holder to be joined as an additional party in any proceeding for such purpose.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sectPr>
      </w:pPr>
    </w:p>
    <w:bookmarkStart w:id="51" w:name="page52"/>
    <w:bookmarkEnd w:id="51"/>
    <w:p>
      <w:pPr>
        <w:ind w:left="560"/>
        <w:spacing w:after="0"/>
        <w:rPr>
          <w:sz w:val="20"/>
          <w:szCs w:val="20"/>
          <w:color w:val="auto"/>
        </w:rPr>
      </w:pPr>
      <w:r>
        <w:rPr>
          <w:rFonts w:ascii="Arial" w:cs="Arial" w:eastAsia="Arial" w:hAnsi="Arial"/>
          <w:sz w:val="16"/>
          <w:szCs w:val="16"/>
          <w:color w:val="auto"/>
        </w:rPr>
        <w:t>IN WITNESS WHEREOF, the parties have executed this Registration Rights Agreement as of the date first written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[SIGNATURE PAGE OF HOLDERS FOLLOWS]</w:t>
      </w:r>
    </w:p>
    <w:p>
      <w:pPr>
        <w:spacing w:after="0" w:line="200" w:lineRule="exact"/>
        <w:rPr>
          <w:sz w:val="20"/>
          <w:szCs w:val="20"/>
          <w:color w:val="auto"/>
        </w:rPr>
      </w:pPr>
    </w:p>
    <w:p>
      <w:pPr>
        <w:spacing w:after="0" w:line="22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-130175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19"/>
          </w:cols>
          <w:pgMar w:left="340" w:top="841" w:right="1440" w:bottom="1440" w:gutter="0" w:footer="0" w:header="0"/>
        </w:sectPr>
      </w:pPr>
    </w:p>
    <w:bookmarkStart w:id="52" w:name="page53"/>
    <w:bookmarkEnd w:id="52"/>
    <w:p>
      <w:pPr>
        <w:jc w:val="right"/>
        <w:ind w:right="3119"/>
        <w:spacing w:after="0"/>
        <w:rPr>
          <w:sz w:val="20"/>
          <w:szCs w:val="20"/>
          <w:color w:val="auto"/>
        </w:rPr>
      </w:pPr>
      <w:r>
        <w:rPr>
          <w:rFonts w:ascii="Arial" w:cs="Arial" w:eastAsia="Arial" w:hAnsi="Arial"/>
          <w:sz w:val="18"/>
          <w:szCs w:val="18"/>
          <w:color w:val="auto"/>
        </w:rPr>
        <w:t>[SIGNATURE PAGE OF HOLDERS]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Name of Holder: 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Holder</w:t>
      </w:r>
      <w:r>
        <w:rPr>
          <w:rFonts w:ascii="Arial" w:cs="Arial" w:eastAsia="Arial" w:hAnsi="Arial"/>
          <w:sz w:val="18"/>
          <w:szCs w:val="18"/>
          <w:color w:val="auto"/>
        </w:rPr>
        <w:t>: 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__________________________</w:t>
      </w:r>
    </w:p>
    <w:p>
      <w:pPr>
        <w:spacing w:after="0" w:line="200" w:lineRule="exact"/>
        <w:rPr>
          <w:sz w:val="20"/>
          <w:szCs w:val="20"/>
          <w:color w:val="auto"/>
        </w:rPr>
      </w:pPr>
    </w:p>
    <w:p>
      <w:pPr>
        <w:spacing w:after="0" w:line="22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25" w:right="1440"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u w:val="single" w:color="auto"/>
          <w:color w:val="auto"/>
        </w:rPr>
        <w:t>Annex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Plan of Distribution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Selling Stockholder (the “</w:t>
      </w:r>
      <w:r>
        <w:rPr>
          <w:rFonts w:ascii="Arial" w:cs="Arial" w:eastAsia="Arial" w:hAnsi="Arial"/>
          <w:sz w:val="18"/>
          <w:szCs w:val="18"/>
          <w:u w:val="single" w:color="auto"/>
          <w:color w:val="auto"/>
        </w:rPr>
        <w:t>Selling Stockholders</w:t>
      </w:r>
      <w:r>
        <w:rPr>
          <w:rFonts w:ascii="Arial" w:cs="Arial" w:eastAsia="Arial" w:hAnsi="Arial"/>
          <w:sz w:val="18"/>
          <w:szCs w:val="18"/>
          <w:color w:val="auto"/>
        </w:rPr>
        <w:t>”) of the securities and any of their pledgees, assignees and successors-in-interest may, from time to time, sell any or all of their securities covered hereby on the OTC Bulletin Board, OTCQB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187" w:lineRule="exact"/>
        <w:rPr>
          <w:sz w:val="20"/>
          <w:szCs w:val="20"/>
          <w:color w:val="auto"/>
        </w:rPr>
      </w:pPr>
    </w:p>
    <w:p>
      <w:pPr>
        <w:ind w:left="1300" w:hanging="320"/>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25" w:lineRule="exact"/>
        <w:rPr>
          <w:rFonts w:ascii="Arial" w:cs="Arial" w:eastAsia="Arial" w:hAnsi="Arial"/>
          <w:sz w:val="18"/>
          <w:szCs w:val="18"/>
          <w:color w:val="auto"/>
        </w:rPr>
      </w:pPr>
    </w:p>
    <w:p>
      <w:pPr>
        <w:ind w:left="1300" w:right="500" w:hanging="320"/>
        <w:spacing w:after="0" w:line="277"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securities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settlement of short sales entered into after the effective date of the registration statement of which this prospectus is a part;</w:t>
      </w:r>
    </w:p>
    <w:p>
      <w:pPr>
        <w:spacing w:after="0" w:line="225" w:lineRule="exact"/>
        <w:rPr>
          <w:rFonts w:ascii="Arial" w:cs="Arial" w:eastAsia="Arial" w:hAnsi="Arial"/>
          <w:sz w:val="18"/>
          <w:szCs w:val="18"/>
          <w:color w:val="auto"/>
        </w:rPr>
      </w:pPr>
    </w:p>
    <w:p>
      <w:pPr>
        <w:ind w:left="1300" w:right="240" w:hanging="320"/>
        <w:spacing w:after="0" w:line="277"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transactions through broker-dealers that agree with the Selling Stockholders to sell a specified number of such securities at a stipulated price per security;</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combination of any such methods of sale; or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Selling Stockholders may also sell securities under Rule 144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if available, rather than under this prospectus.</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2440; and in the case of a principal transaction a markup or markdown in compliance with FINRA IM-2440.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21" w:right="239" w:bottom="1440" w:gutter="0" w:footer="0" w:header="0"/>
        </w:sectPr>
      </w:pPr>
    </w:p>
    <w:bookmarkStart w:id="54" w:name="page55"/>
    <w:bookmarkEnd w:id="54"/>
    <w:p>
      <w:pPr>
        <w:jc w:val="both"/>
        <w:ind w:firstLine="648"/>
        <w:spacing w:after="0" w:line="255" w:lineRule="auto"/>
        <w:rPr>
          <w:sz w:val="20"/>
          <w:szCs w:val="20"/>
          <w:color w:val="auto"/>
        </w:rPr>
      </w:pPr>
      <w:r>
        <w:rPr>
          <w:rFonts w:ascii="Arial" w:cs="Arial" w:eastAsia="Arial" w:hAnsi="Arial"/>
          <w:sz w:val="18"/>
          <w:szCs w:val="18"/>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8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 In no event shall any broker-dealer receive fees, commissions and markups which, in the aggregate, would exceed eight percent (8%).</w:t>
      </w:r>
    </w:p>
    <w:p>
      <w:pPr>
        <w:spacing w:after="0" w:line="15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w:t>
      </w:r>
    </w:p>
    <w:p>
      <w:pPr>
        <w:spacing w:after="0" w:line="12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Because Selling Stockholders may be deemed to be “underwriters” within the meaning of the Securities Act, they will be subject to the prospectus delivery requirements of the Securities Act including Rule 172 thereunder. In addition, any securities covered by this prospectus which qualify for sale pursuant to Rule 144 under the Securities Act may be sold under Rule 144 rather than under this prospectus. The Selling Stockholders have advised us that there is no underwriter or coordinating broker acting in connection with the proposed sale of the resale securities by the Selling Stockholders.</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agreed to keep this prospectus effective until the earlier of (i) the date on which the securities may be resold by the Selling Stockholders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5" w:name="page56"/>
    <w:bookmarkEnd w:id="55"/>
    <w:p>
      <w:pPr>
        <w:jc w:val="both"/>
        <w:ind w:firstLine="648"/>
        <w:spacing w:after="0" w:line="293" w:lineRule="auto"/>
        <w:rPr>
          <w:sz w:val="20"/>
          <w:szCs w:val="20"/>
          <w:color w:val="auto"/>
        </w:rPr>
      </w:pPr>
      <w:r>
        <w:rPr>
          <w:rFonts w:ascii="Arial" w:cs="Arial" w:eastAsia="Arial" w:hAnsi="Arial"/>
          <w:sz w:val="16"/>
          <w:szCs w:val="16"/>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securities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Annex B</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CORP.ORPORATED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Securityholder Notice and Questionnaire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undersigned beneficial owner of common stock (the “</w:t>
      </w:r>
      <w:r>
        <w:rPr>
          <w:rFonts w:ascii="Arial" w:cs="Arial" w:eastAsia="Arial" w:hAnsi="Arial"/>
          <w:sz w:val="17"/>
          <w:szCs w:val="17"/>
          <w:u w:val="single" w:color="auto"/>
          <w:color w:val="auto"/>
        </w:rPr>
        <w:t>Registrable Securities</w:t>
      </w:r>
      <w:r>
        <w:rPr>
          <w:rFonts w:ascii="Arial" w:cs="Arial" w:eastAsia="Arial" w:hAnsi="Arial"/>
          <w:sz w:val="17"/>
          <w:szCs w:val="17"/>
          <w:color w:val="auto"/>
        </w:rPr>
        <w:t>”) of OptimizeRx Corp., a Nevada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understands that the Company has filed or intends to file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a registration statement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for the registration and resale under Rule 415 of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of the Registrable Securities, in accordance with the terms of the Registration Rights Agreement (the “</w:t>
      </w:r>
      <w:r>
        <w:rPr>
          <w:rFonts w:ascii="Arial" w:cs="Arial" w:eastAsia="Arial" w:hAnsi="Arial"/>
          <w:sz w:val="17"/>
          <w:szCs w:val="17"/>
          <w:u w:val="single" w:color="auto"/>
          <w:color w:val="auto"/>
        </w:rPr>
        <w:t>Registration Rights Agreement</w:t>
      </w:r>
      <w:r>
        <w:rPr>
          <w:rFonts w:ascii="Arial" w:cs="Arial" w:eastAsia="Arial" w:hAnsi="Arial"/>
          <w:sz w:val="17"/>
          <w:szCs w:val="17"/>
          <w:color w:val="auto"/>
        </w:rPr>
        <w:t>”) to which this document is annexed. A copy of the Registration Rights Agreement is available from the Company upon request at the address set forth below. All capitalized terms not otherwise defined herein shall have the meanings ascribed thereto in the Registration Rights Agreement.</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Certain legal consequences arise from being named as a selling securityholder in the Registration Statement and the related prospectus. Accordingly, holders and beneficial owners of Registrable Securities are advised to consult their own securities law counsel regarding the consequences of being named or not being named as a selling securityholder in the Registration Statement and the related prospectus.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undersigned beneficial owner (the “</w:t>
      </w:r>
      <w:r>
        <w:rPr>
          <w:rFonts w:ascii="Arial" w:cs="Arial" w:eastAsia="Arial" w:hAnsi="Arial"/>
          <w:sz w:val="18"/>
          <w:szCs w:val="18"/>
          <w:u w:val="single" w:color="auto"/>
          <w:color w:val="auto"/>
        </w:rPr>
        <w:t>Selling Securityholder</w:t>
      </w:r>
      <w:r>
        <w:rPr>
          <w:rFonts w:ascii="Arial" w:cs="Arial" w:eastAsia="Arial" w:hAnsi="Arial"/>
          <w:sz w:val="18"/>
          <w:szCs w:val="18"/>
          <w:color w:val="auto"/>
        </w:rPr>
        <w:t>”) of Registrable Securities hereby elects to include the Registrable Securities owned by it in the Registration Statement. The undersigned hereby provides the following information to the Company and represents and warrants that such information is accurate: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QUESTIONNAIRE</w:t>
      </w:r>
    </w:p>
    <w:p>
      <w:pPr>
        <w:spacing w:after="0" w:line="225" w:lineRule="exact"/>
        <w:rPr>
          <w:sz w:val="20"/>
          <w:szCs w:val="20"/>
          <w:color w:val="auto"/>
        </w:rPr>
      </w:pPr>
    </w:p>
    <w:p>
      <w:pPr>
        <w:ind w:left="1300" w:hanging="1292"/>
        <w:spacing w:after="0"/>
        <w:tabs>
          <w:tab w:leader="none" w:pos="13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Name.</w:t>
      </w:r>
    </w:p>
    <w:p>
      <w:pPr>
        <w:spacing w:after="0" w:line="229" w:lineRule="exact"/>
        <w:rPr>
          <w:sz w:val="20"/>
          <w:szCs w:val="20"/>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Full Legal Name of Selling Securityholder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Full Legal Name of Registered Holder (if not the same as (a) above) through which Registrable Securities are held: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300" w:hanging="1292"/>
        <w:spacing w:after="0" w:line="277" w:lineRule="auto"/>
        <w:tabs>
          <w:tab w:leader="none" w:pos="253" w:val="left"/>
        </w:tabs>
        <w:numPr>
          <w:ilvl w:val="0"/>
          <w:numId w:val="45"/>
        </w:numPr>
        <w:rPr>
          <w:rFonts w:ascii="Arial" w:cs="Arial" w:eastAsia="Arial" w:hAnsi="Arial"/>
          <w:sz w:val="18"/>
          <w:szCs w:val="18"/>
          <w:color w:val="auto"/>
        </w:rPr>
      </w:pPr>
      <w:r>
        <w:rPr>
          <w:rFonts w:ascii="Arial" w:cs="Arial" w:eastAsia="Arial" w:hAnsi="Arial"/>
          <w:sz w:val="18"/>
          <w:szCs w:val="18"/>
          <w:color w:val="auto"/>
        </w:rPr>
        <w:t>Full Legal Name of Natural Control Person (which means a natural person who directly or indirectly alone or with others has power to vote or dispose of the securities covered by this Questionnaire):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-859790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-439420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21"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2. Address for Notices to Selling Securityholder: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5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Telephone:</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Fax:</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Contact Person: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Broker-Dealer Status:</w:t>
      </w:r>
    </w:p>
    <w:p>
      <w:pPr>
        <w:spacing w:after="0" w:line="229" w:lineRule="exact"/>
        <w:rPr>
          <w:sz w:val="20"/>
          <w:szCs w:val="20"/>
          <w:color w:val="auto"/>
        </w:rPr>
      </w:pPr>
    </w:p>
    <w:p>
      <w:pPr>
        <w:ind w:left="660" w:right="9360" w:hanging="652"/>
        <w:spacing w:after="0" w:line="501" w:lineRule="auto"/>
        <w:tabs>
          <w:tab w:leader="none" w:pos="257" w:val="left"/>
        </w:tabs>
        <w:numPr>
          <w:ilvl w:val="0"/>
          <w:numId w:val="46"/>
        </w:numPr>
        <w:rPr>
          <w:rFonts w:ascii="Arial" w:cs="Arial" w:eastAsia="Arial" w:hAnsi="Arial"/>
          <w:sz w:val="18"/>
          <w:szCs w:val="18"/>
          <w:color w:val="auto"/>
        </w:rPr>
      </w:pPr>
      <w:r>
        <w:rPr>
          <w:rFonts w:ascii="Arial" w:cs="Arial" w:eastAsia="Arial" w:hAnsi="Arial"/>
          <w:sz w:val="18"/>
          <w:szCs w:val="18"/>
          <w:color w:val="auto"/>
        </w:rPr>
        <w:t>Are you a broker-dealer? Yes No</w:t>
      </w:r>
    </w:p>
    <w:p>
      <w:pPr>
        <w:ind w:left="260" w:hanging="252"/>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“yes” to Section 3(a), did you receive your Registrable Securities as compensation for investment banking services to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Yes No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If “no” to Section 3(b), the Commission’s staff has indicated that you should be identified as an underwriter in the Registration Statement.</w:t>
      </w:r>
    </w:p>
    <w:p>
      <w:pPr>
        <w:spacing w:after="0" w:line="225" w:lineRule="exact"/>
        <w:rPr>
          <w:sz w:val="20"/>
          <w:szCs w:val="20"/>
          <w:color w:val="auto"/>
        </w:rPr>
      </w:pPr>
    </w:p>
    <w:p>
      <w:pPr>
        <w:ind w:left="660" w:right="8360" w:hanging="652"/>
        <w:spacing w:after="0" w:line="501" w:lineRule="auto"/>
        <w:tabs>
          <w:tab w:leader="none" w:pos="257" w:val="left"/>
        </w:tabs>
        <w:numPr>
          <w:ilvl w:val="0"/>
          <w:numId w:val="47"/>
        </w:numPr>
        <w:rPr>
          <w:rFonts w:ascii="Arial" w:cs="Arial" w:eastAsia="Arial" w:hAnsi="Arial"/>
          <w:sz w:val="18"/>
          <w:szCs w:val="18"/>
          <w:color w:val="auto"/>
        </w:rPr>
      </w:pPr>
      <w:r>
        <w:rPr>
          <w:rFonts w:ascii="Arial" w:cs="Arial" w:eastAsia="Arial" w:hAnsi="Arial"/>
          <w:sz w:val="18"/>
          <w:szCs w:val="18"/>
          <w:color w:val="auto"/>
        </w:rPr>
        <w:t>Are you an affiliate of a broker-dealer? Yes No</w:t>
      </w:r>
    </w:p>
    <w:p>
      <w:pPr>
        <w:ind w:left="1300" w:hanging="1292"/>
        <w:spacing w:after="0" w:line="264" w:lineRule="auto"/>
        <w:tabs>
          <w:tab w:leader="none" w:pos="262"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Yes No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If “no” to Section 3(d), the Commission’s staff has indicated that you should be identified as an underwriter in the Registration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Beneficial Ownership of Securities of the Company Owned by the Selling Securityholder.</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i w:val="1"/>
          <w:iCs w:val="1"/>
          <w:color w:val="auto"/>
        </w:rPr>
        <w:t>Except as set forth below in this Item 4, the undersigned is not the beneficial or registered owner of any securities of the Company other than the securities issuable pursuant to the Purchase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(a) Type and Amount of other securities beneficially owned by the Selling Securityholder: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Relationships with the Company:</w:t>
      </w:r>
    </w:p>
    <w:p>
      <w:pPr>
        <w:spacing w:after="0" w:line="229" w:lineRule="exact"/>
        <w:rPr>
          <w:sz w:val="20"/>
          <w:szCs w:val="20"/>
          <w:color w:val="auto"/>
        </w:rPr>
      </w:pPr>
    </w:p>
    <w:p>
      <w:pPr>
        <w:jc w:val="both"/>
        <w:ind w:left="660" w:right="20"/>
        <w:spacing w:after="0" w:line="264" w:lineRule="auto"/>
        <w:rPr>
          <w:sz w:val="20"/>
          <w:szCs w:val="20"/>
          <w:color w:val="auto"/>
        </w:rPr>
      </w:pPr>
      <w:r>
        <w:rPr>
          <w:rFonts w:ascii="Arial" w:cs="Arial" w:eastAsia="Arial" w:hAnsi="Arial"/>
          <w:sz w:val="18"/>
          <w:szCs w:val="18"/>
          <w:i w:val="1"/>
          <w:iCs w:val="1"/>
          <w:color w:val="auto"/>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State any exceptions here: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undersigned agrees to promptly notify the Company of any inaccuracies or changes in the information provided herein that may occur subsequent to the date hereof at any time while the Registration Statement remains effective.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WITNESS WHEREOF the undersigned, by authority duly given, has caused this Notice and Questionnaire to be executed and delivered either in person or by its duly authorized agent.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Beneficial Owner: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PLEASE FAX A COPY OF THE COMPLETED AND EXECUTED NOTICE AND QUESTIONNAIRE, AND RETURN THE ORIGINAL BY OVERNIGHT MAIL,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65" w:right="239" w:bottom="1440" w:gutter="0" w:footer="0" w:header="0"/>
        </w:sectPr>
      </w:pPr>
    </w:p>
    <w:bookmarkStart w:id="59" w:name="page60"/>
    <w:bookmarkEnd w:id="5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60" w:name="page61"/>
    <w:bookmarkEnd w:id="60"/>
    <w:p>
      <w:pPr>
        <w:jc w:val="center"/>
        <w:ind w:right="-39"/>
        <w:spacing w:after="0"/>
        <w:rPr>
          <w:sz w:val="20"/>
          <w:szCs w:val="20"/>
          <w:color w:val="auto"/>
        </w:rPr>
      </w:pPr>
      <w:r>
        <w:rPr>
          <w:rFonts w:ascii="Arial" w:cs="Arial" w:eastAsia="Arial" w:hAnsi="Arial"/>
          <w:sz w:val="18"/>
          <w:szCs w:val="18"/>
          <w:b w:val="1"/>
          <w:bCs w:val="1"/>
          <w:color w:val="auto"/>
        </w:rPr>
        <w:t>INVESTOR AGREEMENT</w:t>
      </w:r>
    </w:p>
    <w:p>
      <w:pPr>
        <w:spacing w:after="0" w:line="171"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b w:val="1"/>
          <w:bCs w:val="1"/>
          <w:color w:val="auto"/>
        </w:rPr>
        <w:t xml:space="preserve">THIS INVESTOR AGREEMENT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as of March 12, 2014, by and between OptimizeRx Corp., a Nevada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and Bradley Radoff. (the </w:t>
      </w:r>
      <w:r>
        <w:rPr>
          <w:rFonts w:ascii="Arial" w:cs="Arial" w:eastAsia="Arial" w:hAnsi="Arial"/>
          <w:sz w:val="18"/>
          <w:szCs w:val="18"/>
          <w:b w:val="1"/>
          <w:bCs w:val="1"/>
          <w:i w:val="1"/>
          <w:iCs w:val="1"/>
          <w:color w:val="auto"/>
        </w:rPr>
        <w:t>“Investor</w:t>
      </w:r>
      <w:r>
        <w:rPr>
          <w:rFonts w:ascii="Arial" w:cs="Arial" w:eastAsia="Arial" w:hAnsi="Arial"/>
          <w:sz w:val="18"/>
          <w:szCs w:val="18"/>
          <w:color w:val="auto"/>
        </w:rPr>
        <w:t>”).</w:t>
      </w: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RECITALS</w:t>
      </w:r>
    </w:p>
    <w:p>
      <w:pPr>
        <w:spacing w:after="0" w:line="175"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Whereas, the Company and Investor entered into that certain Securities Purchase Agreement, dated as of March __, 2014 (the “</w:t>
      </w:r>
      <w:r>
        <w:rPr>
          <w:rFonts w:ascii="Arial" w:cs="Arial" w:eastAsia="Arial" w:hAnsi="Arial"/>
          <w:sz w:val="18"/>
          <w:szCs w:val="18"/>
          <w:b w:val="1"/>
          <w:bCs w:val="1"/>
          <w:i w:val="1"/>
          <w:iCs w:val="1"/>
          <w:color w:val="auto"/>
        </w:rPr>
        <w:t>Purchase Agreement</w:t>
      </w:r>
      <w:r>
        <w:rPr>
          <w:rFonts w:ascii="Arial" w:cs="Arial" w:eastAsia="Arial" w:hAnsi="Arial"/>
          <w:sz w:val="18"/>
          <w:szCs w:val="18"/>
          <w:color w:val="auto"/>
        </w:rPr>
        <w:t xml:space="preserve">”), providing, inter alia, for the Company’s sale and issuance of $10,000,000 worth of common stock, par value US$0.001 per share, at a price of $1.20 per share (the </w:t>
      </w:r>
      <w:r>
        <w:rPr>
          <w:rFonts w:ascii="Arial" w:cs="Arial" w:eastAsia="Arial" w:hAnsi="Arial"/>
          <w:sz w:val="18"/>
          <w:szCs w:val="18"/>
          <w:b w:val="1"/>
          <w:bCs w:val="1"/>
          <w:i w:val="1"/>
          <w:iCs w:val="1"/>
          <w:color w:val="auto"/>
        </w:rPr>
        <w:t>“Offering”</w:t>
      </w:r>
      <w:r>
        <w:rPr>
          <w:rFonts w:ascii="Arial" w:cs="Arial" w:eastAsia="Arial" w:hAnsi="Arial"/>
          <w:sz w:val="18"/>
          <w:szCs w:val="18"/>
          <w:color w:val="auto"/>
        </w:rPr>
        <w:t>).</w:t>
      </w:r>
    </w:p>
    <w:p>
      <w:pPr>
        <w:spacing w:after="0" w:line="127" w:lineRule="exact"/>
        <w:rPr>
          <w:sz w:val="20"/>
          <w:szCs w:val="20"/>
          <w:color w:val="auto"/>
        </w:rPr>
      </w:pPr>
    </w:p>
    <w:p>
      <w:pPr>
        <w:ind w:right="820" w:firstLine="441"/>
        <w:spacing w:after="0" w:line="277" w:lineRule="auto"/>
        <w:rPr>
          <w:sz w:val="20"/>
          <w:szCs w:val="20"/>
          <w:color w:val="auto"/>
        </w:rPr>
      </w:pPr>
      <w:r>
        <w:rPr>
          <w:rFonts w:ascii="Arial" w:cs="Arial" w:eastAsia="Arial" w:hAnsi="Arial"/>
          <w:sz w:val="18"/>
          <w:szCs w:val="18"/>
          <w:color w:val="auto"/>
        </w:rPr>
        <w:t>Whereas, Investor was awarded the right to nominate one director to the Company’s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upon the closing of the transactions contemplated by the Purchase Agreement;</w:t>
      </w:r>
    </w:p>
    <w:p>
      <w:pPr>
        <w:spacing w:after="0" w:line="112" w:lineRule="exact"/>
        <w:rPr>
          <w:sz w:val="20"/>
          <w:szCs w:val="20"/>
          <w:color w:val="auto"/>
        </w:rPr>
      </w:pPr>
    </w:p>
    <w:p>
      <w:pPr>
        <w:ind w:right="280" w:firstLine="441"/>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covenants and promises herein contained, and other good and valuable consideration, the receipt and</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sufficiency of which are hereby acknowledged, the parties hereto agree as follows:</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Definitions</w:t>
      </w:r>
      <w:r>
        <w:rPr>
          <w:rFonts w:ascii="Arial" w:cs="Arial" w:eastAsia="Arial" w:hAnsi="Arial"/>
          <w:sz w:val="16"/>
          <w:szCs w:val="16"/>
          <w:color w:val="auto"/>
        </w:rPr>
        <w:t>. Capitalized terms used but not otherwise defined herein have the meanings given to such terms in the Purchase Agreement.</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Investor's Right</w:t>
      </w:r>
      <w:r>
        <w:rPr>
          <w:rFonts w:ascii="Arial" w:cs="Arial" w:eastAsia="Arial" w:hAnsi="Arial"/>
          <w:sz w:val="17"/>
          <w:szCs w:val="17"/>
          <w:color w:val="auto"/>
        </w:rPr>
        <w:t>. Upon Closing and provided that Investor and others participating in the Offering purchase, in the aggregate, at least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$7,500,000 worth of shares of common stock under the terms of the Purchase Agreement, (i) the Board shall promptly increase the number of directors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Board by at least one director and shall appoint a nominee chosen by Investor to fill one such empty director position, and (ii) at any subsequent election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directors to serve on the Board, the Investor shall have the right to choose one nominee to the Board and the Company shall nominate and recommend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nominee chosen by Investor.</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71" w:lineRule="exact"/>
        <w:rPr>
          <w:sz w:val="20"/>
          <w:szCs w:val="20"/>
          <w:color w:val="auto"/>
        </w:rPr>
      </w:pPr>
    </w:p>
    <w:p>
      <w:pPr>
        <w:ind w:firstLine="889"/>
        <w:spacing w:after="0" w:line="257" w:lineRule="auto"/>
        <w:tabs>
          <w:tab w:leader="none" w:pos="1126"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Due Authorization</w:t>
      </w:r>
      <w:r>
        <w:rPr>
          <w:rFonts w:ascii="Arial" w:cs="Arial" w:eastAsia="Arial" w:hAnsi="Arial"/>
          <w:sz w:val="18"/>
          <w:szCs w:val="18"/>
          <w:color w:val="auto"/>
        </w:rPr>
        <w:t>. The Company has the requisite corporate power and authority to enter into and consummate the transactions contemplated by this Agreement and otherwise to carry out its obligations hereunder. The execution and delivery of this Agreement by the Company and the consummation of the transactions contemplated hereby have been duly authorized by the Board and no further action is required by the Company, the Board or the Company’s stockholders in connection herewith. This Agreement has been duly executed by the Company and constitutes a valid and binding obligation of the Company, enforceable against the Company in accordance with its terms.</w:t>
      </w:r>
    </w:p>
    <w:p>
      <w:pPr>
        <w:spacing w:after="0" w:line="134" w:lineRule="exact"/>
        <w:rPr>
          <w:rFonts w:ascii="Arial" w:cs="Arial" w:eastAsia="Arial" w:hAnsi="Arial"/>
          <w:sz w:val="18"/>
          <w:szCs w:val="18"/>
          <w:color w:val="auto"/>
        </w:rPr>
      </w:pPr>
    </w:p>
    <w:p>
      <w:pPr>
        <w:ind w:right="100" w:firstLine="889"/>
        <w:spacing w:after="0" w:line="277" w:lineRule="auto"/>
        <w:tabs>
          <w:tab w:leader="none" w:pos="1136"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notifications, demands, requests, waivers, consents or other communications under this Agreement shall be delivered in accordance with the Purchase Agreement.</w:t>
      </w:r>
    </w:p>
    <w:p>
      <w:pPr>
        <w:spacing w:after="0" w:line="116" w:lineRule="exact"/>
        <w:rPr>
          <w:rFonts w:ascii="Arial" w:cs="Arial" w:eastAsia="Arial" w:hAnsi="Arial"/>
          <w:sz w:val="18"/>
          <w:szCs w:val="18"/>
          <w:color w:val="auto"/>
        </w:rPr>
      </w:pPr>
    </w:p>
    <w:p>
      <w:pPr>
        <w:ind w:firstLine="889"/>
        <w:spacing w:after="0" w:line="259" w:lineRule="auto"/>
        <w:tabs>
          <w:tab w:leader="none" w:pos="1126"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The terms and conditions of this Agreement shall inure to the benefit of and be binding upon the respective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32" w:lineRule="exact"/>
        <w:rPr>
          <w:rFonts w:ascii="Arial" w:cs="Arial" w:eastAsia="Arial" w:hAnsi="Arial"/>
          <w:sz w:val="18"/>
          <w:szCs w:val="18"/>
          <w:color w:val="auto"/>
        </w:rPr>
      </w:pPr>
    </w:p>
    <w:p>
      <w:pPr>
        <w:ind w:right="260" w:firstLine="889"/>
        <w:spacing w:after="0" w:line="255" w:lineRule="auto"/>
        <w:tabs>
          <w:tab w:leader="none" w:pos="1136"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Amendment and Waiver, etc</w:t>
      </w:r>
      <w:r>
        <w:rPr>
          <w:rFonts w:ascii="Arial" w:cs="Arial" w:eastAsia="Arial" w:hAnsi="Arial"/>
          <w:sz w:val="18"/>
          <w:szCs w:val="18"/>
          <w:color w:val="auto"/>
        </w:rPr>
        <w:t>. This Agreement may be amended only with the written consent of the Company and Investor. No failure or delay on the part of the Company or Investor in exercising any right, power or remedy hereunder shall operate as a waiver thereof, nor shall any single or partial exercise of any such right, power or remedy preclude any other or further exercise thereof or the exercise of any other right, power or remedy. The remedies provided for herein are cumulative and are not exclusive of any remedies that may be available to the Company or Investor at law or in equity or otherwise. No waiver of or consent to any departure by the Company or Investor from any provision of this Agreement shall be effective unless signed in writing by the waiving or consenting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61" w:name="page62"/>
    <w:bookmarkEnd w:id="61"/>
    <w:p>
      <w:pPr>
        <w:ind w:left="-8" w:right="240" w:firstLine="889"/>
        <w:spacing w:after="0" w:line="277" w:lineRule="auto"/>
        <w:tabs>
          <w:tab w:leader="none" w:pos="1118"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an original, but all of which together shall constitute one and the same instrument.</w:t>
      </w:r>
    </w:p>
    <w:p>
      <w:pPr>
        <w:spacing w:after="0" w:line="116" w:lineRule="exact"/>
        <w:rPr>
          <w:rFonts w:ascii="Arial" w:cs="Arial" w:eastAsia="Arial" w:hAnsi="Arial"/>
          <w:sz w:val="18"/>
          <w:szCs w:val="18"/>
          <w:color w:val="auto"/>
        </w:rPr>
      </w:pPr>
    </w:p>
    <w:p>
      <w:pPr>
        <w:ind w:left="-8" w:right="200" w:firstLine="889"/>
        <w:spacing w:after="0" w:line="259" w:lineRule="auto"/>
        <w:tabs>
          <w:tab w:leader="none" w:pos="1098"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one or more provisions of this Agreement are held to be unenforceable under applicable law, the parties agree to renegotiate such provision in good faith. In the event that the parties cannot reach a mutually agreeable and enforceable replacement for such provision, then (a) such provision shall be excluded from this Agreement, (b) the balance of the Agreement shall be interpreted as if such provision were so excluded and (c) the balance of the Agreement shall be enforceable in accordance with its terms.</w:t>
      </w:r>
    </w:p>
    <w:p>
      <w:pPr>
        <w:spacing w:after="0" w:line="132" w:lineRule="exact"/>
        <w:rPr>
          <w:rFonts w:ascii="Arial" w:cs="Arial" w:eastAsia="Arial" w:hAnsi="Arial"/>
          <w:sz w:val="18"/>
          <w:szCs w:val="18"/>
          <w:color w:val="auto"/>
        </w:rPr>
      </w:pPr>
    </w:p>
    <w:p>
      <w:pPr>
        <w:ind w:left="1132" w:hanging="251"/>
        <w:spacing w:after="0"/>
        <w:tabs>
          <w:tab w:leader="none" w:pos="1132"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171" w:lineRule="exact"/>
        <w:rPr>
          <w:sz w:val="20"/>
          <w:szCs w:val="20"/>
          <w:color w:val="auto"/>
        </w:rPr>
      </w:pPr>
    </w:p>
    <w:p>
      <w:pPr>
        <w:ind w:left="-8" w:right="80" w:firstLine="889"/>
        <w:spacing w:after="0" w:line="277" w:lineRule="auto"/>
        <w:tabs>
          <w:tab w:leader="none" w:pos="1088"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THIS AGREEMENT SHALL BE GOVERNED BY, AND SHALL BE CONSTRUED AND ENFORCED IN ACCORDANCE WITH, THE INTERNAL LAWS OF THE STATE OF NEVADA, WITHOUT REGARD TO CONFLICTS OF LAWS PRINCIPLES.</w:t>
      </w:r>
    </w:p>
    <w:p>
      <w:pPr>
        <w:spacing w:after="0" w:line="116" w:lineRule="exact"/>
        <w:rPr>
          <w:rFonts w:ascii="Arial" w:cs="Arial" w:eastAsia="Arial" w:hAnsi="Arial"/>
          <w:sz w:val="18"/>
          <w:szCs w:val="18"/>
          <w:color w:val="auto"/>
        </w:rPr>
      </w:pPr>
    </w:p>
    <w:p>
      <w:pPr>
        <w:ind w:left="-8" w:right="40" w:firstLine="889"/>
        <w:spacing w:after="0" w:line="285" w:lineRule="auto"/>
        <w:tabs>
          <w:tab w:leader="none" w:pos="1138" w:val="left"/>
        </w:tabs>
        <w:numPr>
          <w:ilvl w:val="1"/>
          <w:numId w:val="50"/>
        </w:numPr>
        <w:rPr>
          <w:rFonts w:ascii="Arial" w:cs="Arial" w:eastAsia="Arial" w:hAnsi="Arial"/>
          <w:sz w:val="16"/>
          <w:szCs w:val="16"/>
          <w:color w:val="auto"/>
        </w:rPr>
      </w:pPr>
      <w:r>
        <w:rPr>
          <w:rFonts w:ascii="Arial" w:cs="Arial" w:eastAsia="Arial" w:hAnsi="Arial"/>
          <w:sz w:val="16"/>
          <w:szCs w:val="16"/>
          <w:color w:val="auto"/>
        </w:rPr>
        <w:t>Any legal action or other legal proceeding relating to this Agreement or the enforcement of any provision of this Agreement to be brought by or on behalf of any of the parties will be brought or otherwise commenced in any state or federal court located in Clark County, the State of Nevada. With respect to any such action, each party to this Agreement: (A) expressly and irrevocably consents and submits to the non-exclusive jurisdiction of each state and federal court located in the county and city of Las Vegas, Nevada (and each appellate court located in the State of Nevada) in connection with any such legal proceeding; (B) agrees that each state and federal court located in Clark County, the State of Nevada, shall be deemed to be a convenient forum; and</w:t>
      </w:r>
    </w:p>
    <w:p>
      <w:pPr>
        <w:spacing w:after="0" w:line="2" w:lineRule="exact"/>
        <w:rPr>
          <w:rFonts w:ascii="Arial" w:cs="Arial" w:eastAsia="Arial" w:hAnsi="Arial"/>
          <w:sz w:val="16"/>
          <w:szCs w:val="16"/>
          <w:color w:val="auto"/>
        </w:rPr>
      </w:pPr>
    </w:p>
    <w:p>
      <w:pPr>
        <w:ind w:left="-8" w:right="260" w:firstLine="8"/>
        <w:spacing w:after="0" w:line="254" w:lineRule="auto"/>
        <w:tabs>
          <w:tab w:leader="none" w:pos="277" w:val="left"/>
        </w:tabs>
        <w:numPr>
          <w:ilvl w:val="0"/>
          <w:numId w:val="51"/>
        </w:numPr>
        <w:rPr>
          <w:rFonts w:ascii="Arial" w:cs="Arial" w:eastAsia="Arial" w:hAnsi="Arial"/>
          <w:sz w:val="18"/>
          <w:szCs w:val="18"/>
          <w:color w:val="auto"/>
        </w:rPr>
      </w:pPr>
      <w:r>
        <w:rPr>
          <w:rFonts w:ascii="Arial" w:cs="Arial" w:eastAsia="Arial" w:hAnsi="Arial"/>
          <w:sz w:val="18"/>
          <w:szCs w:val="18"/>
          <w:color w:val="auto"/>
        </w:rPr>
        <w:t>agrees not to assert (by way of motion, as a defense or otherwise), in any such legal proceeding commenced in any state or federal court located in the county and city of Las Vegas, the State of Nevada, any claim that such party is not subject personally to the jurisdiction of such court, that such legal proceeding has been brought in an inconvenient forum, that the venue of such proceeding is improper or that this Agreement or the subject matter of this Agreement may not be enforced in or by such court.</w:t>
      </w:r>
    </w:p>
    <w:p>
      <w:pPr>
        <w:spacing w:after="0" w:line="189" w:lineRule="exact"/>
        <w:rPr>
          <w:rFonts w:ascii="Arial" w:cs="Arial" w:eastAsia="Arial" w:hAnsi="Arial"/>
          <w:sz w:val="18"/>
          <w:szCs w:val="18"/>
          <w:color w:val="auto"/>
        </w:rPr>
      </w:pPr>
    </w:p>
    <w:p>
      <w:pPr>
        <w:jc w:val="both"/>
        <w:ind w:left="-8" w:right="60" w:firstLine="889"/>
        <w:spacing w:after="0" w:line="297" w:lineRule="auto"/>
        <w:tabs>
          <w:tab w:leader="none" w:pos="1188" w:val="left"/>
        </w:tabs>
        <w:numPr>
          <w:ilvl w:val="1"/>
          <w:numId w:val="51"/>
        </w:numPr>
        <w:rPr>
          <w:rFonts w:ascii="Arial" w:cs="Arial" w:eastAsia="Arial" w:hAnsi="Arial"/>
          <w:sz w:val="16"/>
          <w:szCs w:val="16"/>
          <w:color w:val="auto"/>
        </w:rPr>
      </w:pPr>
      <w:r>
        <w:rPr>
          <w:rFonts w:ascii="Arial" w:cs="Arial" w:eastAsia="Arial" w:hAnsi="Arial"/>
          <w:sz w:val="16"/>
          <w:szCs w:val="16"/>
          <w:color w:val="auto"/>
        </w:rPr>
        <w:t>Each of the parties hereto hereby waives to the fullest extent permitted by applicable law any right it may have to a trial by jury with respect to any litigation directly or indirectly arising out of, under or in connection with the transactions contemplated by this Agreement. Each of the parties hereto hereby (A) certifies that no representative, agent or attorney of the other parties has represented, expressly or otherwise, that such other parties would not, in the event of litigation, seek to enforce the foregoing waiver and (B) acknowledges that it has been induced to enter into this Agreement and the transactions contemplated hereby, as applicable, by, among other things, the mutual waivers and certifications set forth in this Section 3(f).</w:t>
      </w:r>
    </w:p>
    <w:p>
      <w:pPr>
        <w:spacing w:after="0" w:line="104" w:lineRule="exact"/>
        <w:rPr>
          <w:sz w:val="20"/>
          <w:szCs w:val="20"/>
          <w:color w:val="auto"/>
        </w:rPr>
      </w:pPr>
    </w:p>
    <w:p>
      <w:pPr>
        <w:ind w:left="-8" w:right="400" w:firstLine="889"/>
        <w:spacing w:after="0" w:line="264" w:lineRule="auto"/>
        <w:tabs>
          <w:tab w:leader="none" w:pos="1128"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Transaction Documents constitute the entire agreement among the parties with respect to the subject matter hereof and no party shall be liable or bound to any other party in any manner by any warranties, representations, or covenants except as specifically set forth herein.</w:t>
      </w:r>
    </w:p>
    <w:p>
      <w:pPr>
        <w:spacing w:after="0" w:line="127" w:lineRule="exact"/>
        <w:rPr>
          <w:rFonts w:ascii="Arial" w:cs="Arial" w:eastAsia="Arial" w:hAnsi="Arial"/>
          <w:sz w:val="18"/>
          <w:szCs w:val="18"/>
          <w:color w:val="auto"/>
        </w:rPr>
      </w:pPr>
    </w:p>
    <w:p>
      <w:pPr>
        <w:ind w:left="-8" w:firstLine="889"/>
        <w:spacing w:after="0" w:line="277" w:lineRule="auto"/>
        <w:tabs>
          <w:tab w:leader="none" w:pos="1088"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used for convenience only and are not to be considered in construing or interpreting this Agreement.</w:t>
      </w:r>
    </w:p>
    <w:p>
      <w:pPr>
        <w:spacing w:after="0" w:line="116" w:lineRule="exact"/>
        <w:rPr>
          <w:rFonts w:ascii="Arial" w:cs="Arial" w:eastAsia="Arial" w:hAnsi="Arial"/>
          <w:sz w:val="18"/>
          <w:szCs w:val="18"/>
          <w:color w:val="auto"/>
        </w:rPr>
      </w:pPr>
    </w:p>
    <w:p>
      <w:pPr>
        <w:ind w:left="-8" w:right="240" w:firstLine="889"/>
        <w:spacing w:after="0" w:line="264" w:lineRule="auto"/>
        <w:tabs>
          <w:tab w:leader="none" w:pos="1088"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The parties shall execute and deliver, or cause to be executed and delivered, such documents and instruments and shall take, or cause to be taken, such further or other actions as may be reasonably necessary to carry out the purposes set forth herein, without any financial obligation to such parties. Time is of the essence with respect to the parties' obligations herein.</w:t>
      </w:r>
    </w:p>
    <w:p>
      <w:pPr>
        <w:spacing w:after="0" w:line="127" w:lineRule="exact"/>
        <w:rPr>
          <w:sz w:val="20"/>
          <w:szCs w:val="20"/>
          <w:color w:val="auto"/>
        </w:rPr>
      </w:pPr>
    </w:p>
    <w:p>
      <w:pPr>
        <w:jc w:val="center"/>
        <w:ind w:right="-51"/>
        <w:spacing w:after="0"/>
        <w:rPr>
          <w:sz w:val="20"/>
          <w:szCs w:val="20"/>
          <w:color w:val="auto"/>
        </w:rPr>
      </w:pPr>
      <w:r>
        <w:rPr>
          <w:rFonts w:ascii="Arial" w:cs="Arial" w:eastAsia="Arial" w:hAnsi="Arial"/>
          <w:sz w:val="18"/>
          <w:szCs w:val="18"/>
          <w:i w:val="1"/>
          <w:iCs w:val="1"/>
          <w:color w:val="auto"/>
        </w:rPr>
        <w:t>[Remainder of Page Left Intentionally Blank]</w:t>
      </w:r>
    </w:p>
    <w:p>
      <w:pPr>
        <w:spacing w:after="0" w:line="200" w:lineRule="exact"/>
        <w:rPr>
          <w:sz w:val="20"/>
          <w:szCs w:val="20"/>
          <w:color w:val="auto"/>
        </w:rPr>
      </w:pPr>
    </w:p>
    <w:p>
      <w:pPr>
        <w:spacing w:after="0" w:line="22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52"/>
          </w:cols>
          <w:pgMar w:left="248" w:top="625" w:right="29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6"/>
          <w:szCs w:val="16"/>
          <w:color w:val="auto"/>
        </w:rPr>
        <w:t>IN WITNESS WHEREOF, the parties hereto have executed and delivered this Agreement as of the date first above written.</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ectPr>
          <w:pgSz w:w="11900" w:h="16838" w:orient="portrait"/>
          <w:cols w:equalWidth="0" w:num="1">
            <w:col w:w="10219"/>
          </w:cols>
          <w:pgMar w:left="240" w:top="1017" w:right="1440" w:bottom="1440" w:gutter="0" w:footer="0" w:header="0"/>
        </w:sect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David Harrell</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Chairman and Chief Executive Officer</w:t>
      </w:r>
    </w:p>
    <w:p>
      <w:pPr>
        <w:spacing w:after="0" w:line="222" w:lineRule="exact"/>
        <w:rPr>
          <w:sz w:val="20"/>
          <w:szCs w:val="20"/>
          <w:color w:val="auto"/>
        </w:rPr>
      </w:pPr>
    </w:p>
    <w:p>
      <w:pPr>
        <w:sectPr>
          <w:pgSz w:w="11900" w:h="16838" w:orient="portrait"/>
          <w:cols w:equalWidth="0" w:num="2">
            <w:col w:w="480" w:space="560"/>
            <w:col w:w="9179"/>
          </w:cols>
          <w:pgMar w:left="240" w:top="1017" w:right="1440"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Bradley Radoff</w:t>
      </w:r>
    </w:p>
    <w:p>
      <w:pPr>
        <w:spacing w:after="0" w:line="18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017" w:right="1440" w:bottom="1440" w:gutter="0" w:footer="0" w:header="0"/>
          <w:type w:val="continuous"/>
        </w:sectPr>
      </w:pPr>
    </w:p>
    <w:bookmarkStart w:id="63" w:name="page64"/>
    <w:bookmarkEnd w:id="6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4" w:name="page65"/>
    <w:bookmarkEnd w:id="64"/>
    <w:p>
      <w:pPr>
        <w:spacing w:after="0" w:line="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573020" cy="8318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2573020" cy="8318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OptimizeRx Completes Capital Raise to Exercise Securities Redemption Option Agreement With Vicis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ROCHESTER, MI--(Marketwired - Mar 18, 2014) - OptimizeRx Corporation (OTCQB: OPRX) announced today it has completed its capital raise of $10 Million and will be exercising the buyout option with Vicis Capital Master Fund to redeem all securities it holds in the Company. This includes all the Series A Convertible Preferred Stock, Series B Convertible Preferred Stock, common stock, and all derivative securities, which includes the Series A Warrant to Purchase Common Stock and Series B Warrant to Purchase Common Stock held by Vicis. With these holdings redeemed, we will no longer owe any dividend obligations to Vicis.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to simplifying the company's capital structure, completion of this raise and Exercising this option reduced fully diluted Shares by approximately 7.25 Million and provided an additional $3 Million in working capital to support the company's growth.</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are very pleased to complete this raise to improve our capital structure and bring additional shareholder value, along with working capital to support our exciting, growing business," stated David Harrell, company CEO.</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Based on the company's existing partnerships, growing pharmaceutical pipeline and the additional EHR platforms and Health Systems engaged, the company expects significant year over year growth trends to continue.</w:t>
      </w:r>
    </w:p>
    <w:p>
      <w:pPr>
        <w:spacing w:after="0" w:line="184"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The company expects to expand revenue opportunities outside of the automated voucher and copay in 2014 through WPP and other partners looking to integrate their services within OptimizeRx growing electronic pathway.</w:t>
      </w:r>
    </w:p>
    <w:p>
      <w:pPr>
        <w:spacing w:after="0" w:line="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Lastly, OptimizeRx has completed its 2.0 upgrade of their technology software and infrastructure to provide more stable, robust performance that can support dramatic scale of its services. The company will also be expanding its staff to support its growing accounts and growth, including executives and board members.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 Corp.</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OptimizeRx Corp. provides unique consumer and physician platforms to help patients better afford and comply with their medicines and healthcare products, while offering pharmaceutical and healthcare companies effective ways to expand patient awareness, access and adherence to their medications. For more information, please go to www.optimizerxcorp.com or www.samplemd.com.</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lowerLetter"/>
      <w:start w:val="1"/>
    </w:lvl>
    <w:lvl w:ilvl="1">
      <w:lvlJc w:val="left"/>
      <w:lvlText w:val="(%2)"/>
      <w:numFmt w:val="lowerRoman"/>
      <w:start w:val="1"/>
    </w:lvl>
  </w:abstractNum>
  <w:abstractNum w:abstractNumId="3">
    <w:nsid w:val="2CA88611"/>
    <w:multiLevelType w:val="hybridMultilevel"/>
    <w:lvl w:ilvl="0">
      <w:lvlJc w:val="left"/>
      <w:lvlText w:val="(%1)"/>
      <w:numFmt w:val="lowerLetter"/>
      <w:start w:val="1"/>
    </w:lvl>
    <w:lvl w:ilvl="1">
      <w:lvlJc w:val="left"/>
      <w:lvlText w:val="(%2)"/>
      <w:numFmt w:val="lowerRoman"/>
      <w:start w:val="1"/>
    </w:lvl>
  </w:abstractNum>
  <w:abstractNum w:abstractNumId="4">
    <w:nsid w:val="836C40E"/>
    <w:multiLevelType w:val="hybridMultilevel"/>
    <w:lvl w:ilvl="0">
      <w:lvlJc w:val="left"/>
      <w:lvlText w:val="(%1)"/>
      <w:numFmt w:val="lowerRoman"/>
      <w:start w:val="3"/>
    </w:lvl>
  </w:abstractNum>
  <w:abstractNum w:abstractNumId="5">
    <w:nsid w:val="2901D82"/>
    <w:multiLevelType w:val="hybridMultilevel"/>
    <w:lvl w:ilvl="0">
      <w:lvlJc w:val="left"/>
      <w:lvlText w:val="(%1)"/>
      <w:numFmt w:val="lowerLetter"/>
      <w:start w:val="1"/>
    </w:lvl>
  </w:abstractNum>
  <w:abstractNum w:abstractNumId="6">
    <w:nsid w:val="3A95F874"/>
    <w:multiLevelType w:val="hybridMultilevel"/>
    <w:lvl w:ilvl="0">
      <w:lvlJc w:val="left"/>
      <w:lvlText w:val="(%1)"/>
      <w:numFmt w:val="lowerLetter"/>
      <w:start w:val="4"/>
    </w:lvl>
  </w:abstractNum>
  <w:abstractNum w:abstractNumId="7">
    <w:nsid w:val="8138641"/>
    <w:multiLevelType w:val="hybridMultilevel"/>
    <w:lvl w:ilvl="0">
      <w:lvlJc w:val="left"/>
      <w:lvlText w:val="(%1)"/>
      <w:numFmt w:val="lowerLetter"/>
      <w:start w:val="8"/>
    </w:lvl>
  </w:abstractNum>
  <w:abstractNum w:abstractNumId="8">
    <w:nsid w:val="1E7FF521"/>
    <w:multiLevelType w:val="hybridMultilevel"/>
    <w:lvl w:ilvl="0">
      <w:lvlJc w:val="left"/>
      <w:lvlText w:val="(%1)"/>
      <w:numFmt w:val="lowerLetter"/>
      <w:start w:val="11"/>
    </w:lvl>
  </w:abstractNum>
  <w:abstractNum w:abstractNumId="9">
    <w:nsid w:val="7C3DBD3D"/>
    <w:multiLevelType w:val="hybridMultilevel"/>
    <w:lvl w:ilvl="0">
      <w:lvlJc w:val="left"/>
      <w:lvlText w:val="%1"/>
      <w:numFmt w:val="lowerLetter"/>
      <w:start w:val="1"/>
    </w:lvl>
    <w:lvl w:ilvl="1">
      <w:lvlJc w:val="left"/>
      <w:lvlText w:val="(%2)"/>
      <w:numFmt w:val="lowerLetter"/>
      <w:start w:val="16"/>
    </w:lvl>
  </w:abstractNum>
  <w:abstractNum w:abstractNumId="10">
    <w:nsid w:val="737B8DDC"/>
    <w:multiLevelType w:val="hybridMultilevel"/>
    <w:lvl w:ilvl="0">
      <w:lvlJc w:val="left"/>
      <w:lvlText w:val="(%1)"/>
      <w:numFmt w:val="lowerLetter"/>
      <w:start w:val="9"/>
    </w:lvl>
    <w:lvl w:ilvl="1">
      <w:lvlJc w:val="left"/>
      <w:lvlText w:val="(%2)"/>
      <w:numFmt w:val="lowerLetter"/>
      <w:start w:val="18"/>
    </w:lvl>
  </w:abstractNum>
  <w:abstractNum w:abstractNumId="11">
    <w:nsid w:val="6CEAF087"/>
    <w:multiLevelType w:val="hybridMultilevel"/>
    <w:lvl w:ilvl="0">
      <w:lvlJc w:val="left"/>
      <w:lvlText w:val="(%1)"/>
      <w:numFmt w:val="lowerLetter"/>
      <w:start w:val="23"/>
    </w:lvl>
  </w:abstractNum>
  <w:abstractNum w:abstractNumId="12">
    <w:nsid w:val="22221A70"/>
    <w:multiLevelType w:val="hybridMultilevel"/>
    <w:lvl w:ilvl="0">
      <w:lvlJc w:val="left"/>
      <w:lvlText w:val="(%1)"/>
      <w:numFmt w:val="lowerLetter"/>
      <w:start w:val="27"/>
    </w:lvl>
  </w:abstractNum>
  <w:abstractNum w:abstractNumId="13">
    <w:nsid w:val="4516DDE9"/>
    <w:multiLevelType w:val="hybridMultilevel"/>
    <w:lvl w:ilvl="0">
      <w:lvlJc w:val="left"/>
      <w:lvlText w:val="."/>
      <w:numFmt w:val="bullet"/>
      <w:start w:val="1"/>
    </w:lvl>
    <w:lvl w:ilvl="1">
      <w:lvlJc w:val="left"/>
      <w:lvlText w:val="(%2)"/>
      <w:numFmt w:val="lowerLetter"/>
      <w:start w:val="1"/>
    </w:lvl>
  </w:abstractNum>
  <w:abstractNum w:abstractNumId="14">
    <w:nsid w:val="3006C83E"/>
    <w:multiLevelType w:val="hybridMultilevel"/>
    <w:lvl w:ilvl="0">
      <w:lvlJc w:val="left"/>
      <w:lvlText w:val="(%1)"/>
      <w:numFmt w:val="lowerLetter"/>
      <w:start w:val="6"/>
    </w:lvl>
  </w:abstractNum>
  <w:abstractNum w:abstractNumId="15">
    <w:nsid w:val="614FD4A1"/>
    <w:multiLevelType w:val="hybridMultilevel"/>
    <w:lvl w:ilvl="0">
      <w:lvlJc w:val="left"/>
      <w:lvlText w:val="(%1)"/>
      <w:numFmt w:val="lowerLetter"/>
      <w:start w:val="1"/>
    </w:lvl>
  </w:abstractNum>
  <w:abstractNum w:abstractNumId="16">
    <w:nsid w:val="419AC241"/>
    <w:multiLevelType w:val="hybridMultilevel"/>
    <w:lvl w:ilvl="0">
      <w:lvlJc w:val="left"/>
      <w:lvlText w:val="(%1)"/>
      <w:numFmt w:val="lowerLetter"/>
      <w:start w:val="3"/>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1)"/>
      <w:numFmt w:val="decimal"/>
      <w:start w:val="1"/>
    </w:lvl>
  </w:abstractNum>
  <w:abstractNum w:abstractNumId="20">
    <w:nsid w:val="3804823E"/>
    <w:multiLevelType w:val="hybridMultilevel"/>
    <w:lvl w:ilvl="0">
      <w:lvlJc w:val="left"/>
      <w:lvlText w:val="(%1)"/>
      <w:numFmt w:val="decimal"/>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1)"/>
      <w:numFmt w:val="decimal"/>
      <w:start w:val="1"/>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1."/>
      <w:numFmt w:val="decimal"/>
      <w:start w:val="2"/>
    </w:lvl>
    <w:lvl w:ilvl="1">
      <w:lvlJc w:val="left"/>
      <w:lvlText w:val="(%2)"/>
      <w:numFmt w:val="lowerLetter"/>
      <w:start w:val="1"/>
    </w:lvl>
  </w:abstractNum>
  <w:abstractNum w:abstractNumId="27">
    <w:nsid w:val="2D517796"/>
    <w:multiLevelType w:val="hybridMultilevel"/>
    <w:lvl w:ilvl="0">
      <w:lvlJc w:val="left"/>
      <w:lvlText w:val="(%1)"/>
      <w:numFmt w:val="lowerLetter"/>
      <w:start w:val="2"/>
    </w:lvl>
  </w:abstractNum>
  <w:abstractNum w:abstractNumId="28">
    <w:nsid w:val="580BD78F"/>
    <w:multiLevelType w:val="hybridMultilevel"/>
    <w:lvl w:ilvl="0">
      <w:lvlJc w:val="left"/>
      <w:lvlText w:val="%1."/>
      <w:numFmt w:val="decimal"/>
      <w:start w:val="3"/>
    </w:lvl>
  </w:abstractNum>
  <w:abstractNum w:abstractNumId="29">
    <w:nsid w:val="153EA438"/>
    <w:multiLevelType w:val="hybridMultilevel"/>
    <w:lvl w:ilvl="0">
      <w:lvlJc w:val="left"/>
      <w:lvlText w:val="%1"/>
      <w:numFmt w:val="lowerRoman"/>
      <w:start w:val="1"/>
    </w:lvl>
    <w:lvl w:ilvl="1">
      <w:lvlJc w:val="left"/>
      <w:lvlText w:val="(%2)"/>
      <w:numFmt w:val="lowerLetter"/>
      <w:start w:val="1"/>
    </w:lvl>
  </w:abstractNum>
  <w:abstractNum w:abstractNumId="30">
    <w:nsid w:val="3855585C"/>
    <w:multiLevelType w:val="hybridMultilevel"/>
    <w:lvl w:ilvl="0">
      <w:lvlJc w:val="left"/>
      <w:lvlText w:val="(%1)"/>
      <w:numFmt w:val="lowerRoman"/>
      <w:start w:val="6"/>
    </w:lvl>
    <w:lvl w:ilvl="1">
      <w:lvlJc w:val="left"/>
      <w:lvlText w:val="%2"/>
      <w:numFmt w:val="lowerLetter"/>
      <w:start w:val="1"/>
    </w:lvl>
  </w:abstractNum>
  <w:abstractNum w:abstractNumId="31">
    <w:nsid w:val="70A64E2A"/>
    <w:multiLevelType w:val="hybridMultilevel"/>
    <w:lvl w:ilvl="0">
      <w:lvlJc w:val="left"/>
      <w:lvlText w:val="(%1)"/>
      <w:numFmt w:val="lowerLetter"/>
      <w:start w:val="5"/>
    </w:lvl>
  </w:abstractNum>
  <w:abstractNum w:abstractNumId="32">
    <w:nsid w:val="6A2342EC"/>
    <w:multiLevelType w:val="hybridMultilevel"/>
    <w:lvl w:ilvl="0">
      <w:lvlJc w:val="left"/>
      <w:lvlText w:val="(%1)"/>
      <w:numFmt w:val="lowerLetter"/>
      <w:start w:val="8"/>
    </w:lvl>
  </w:abstractNum>
  <w:abstractNum w:abstractNumId="33">
    <w:nsid w:val="2A487CB0"/>
    <w:multiLevelType w:val="hybridMultilevel"/>
    <w:lvl w:ilvl="0">
      <w:lvlJc w:val="left"/>
      <w:lvlText w:val="%1"/>
      <w:numFmt w:val="decimal"/>
      <w:start w:val="1"/>
    </w:lvl>
    <w:lvl w:ilvl="1">
      <w:lvlJc w:val="left"/>
      <w:lvlText w:val="(%2)"/>
      <w:numFmt w:val="lowerLetter"/>
      <w:start w:val="12"/>
    </w:lvl>
  </w:abstractNum>
  <w:abstractNum w:abstractNumId="34">
    <w:nsid w:val="1D4ED43B"/>
    <w:multiLevelType w:val="hybridMultilevel"/>
    <w:lvl w:ilvl="0">
      <w:lvlJc w:val="left"/>
      <w:lvlText w:val="%1."/>
      <w:numFmt w:val="decimal"/>
      <w:start w:val="4"/>
    </w:lvl>
    <w:lvl w:ilvl="1">
      <w:lvlJc w:val="left"/>
      <w:lvlText w:val="%2"/>
      <w:numFmt w:val="lowerLetter"/>
      <w:start w:val="1"/>
    </w:lvl>
  </w:abstractNum>
  <w:abstractNum w:abstractNumId="35">
    <w:nsid w:val="725A06FB"/>
    <w:multiLevelType w:val="hybridMultilevel"/>
    <w:lvl w:ilvl="0">
      <w:lvlJc w:val="left"/>
      <w:lvlText w:val="%1."/>
      <w:numFmt w:val="decimal"/>
      <w:start w:val="5"/>
    </w:lvl>
    <w:lvl w:ilvl="1">
      <w:lvlJc w:val="left"/>
      <w:lvlText w:val="(%2)"/>
      <w:numFmt w:val="lowerLetter"/>
      <w:start w:val="1"/>
    </w:lvl>
  </w:abstractNum>
  <w:abstractNum w:abstractNumId="36">
    <w:nsid w:val="2CD89A32"/>
    <w:multiLevelType w:val="hybridMultilevel"/>
    <w:lvl w:ilvl="0">
      <w:lvlJc w:val="left"/>
      <w:lvlText w:val="(%1)"/>
      <w:numFmt w:val="lowerLetter"/>
      <w:start w:val="3"/>
    </w:lvl>
  </w:abstractNum>
  <w:abstractNum w:abstractNumId="37">
    <w:nsid w:val="57E4CCAF"/>
    <w:multiLevelType w:val="hybridMultilevel"/>
    <w:lvl w:ilvl="0">
      <w:lvlJc w:val="left"/>
      <w:lvlText w:val="(%1)"/>
      <w:numFmt w:val="lowerLetter"/>
      <w:start w:val="4"/>
    </w:lvl>
  </w:abstractNum>
  <w:abstractNum w:abstractNumId="38">
    <w:nsid w:val="7A6D8D3C"/>
    <w:multiLevelType w:val="hybridMultilevel"/>
    <w:lvl w:ilvl="0">
      <w:lvlJc w:val="left"/>
      <w:lvlText w:val="%1."/>
      <w:numFmt w:val="decimal"/>
      <w:start w:val="6"/>
    </w:lvl>
  </w:abstractNum>
  <w:abstractNum w:abstractNumId="39">
    <w:nsid w:val="4B588F54"/>
    <w:multiLevelType w:val="hybridMultilevel"/>
    <w:lvl w:ilvl="0">
      <w:lvlJc w:val="left"/>
      <w:lvlText w:val="(%1)"/>
      <w:numFmt w:val="lowerLetter"/>
      <w:start w:val="1"/>
    </w:lvl>
  </w:abstractNum>
  <w:abstractNum w:abstractNumId="40">
    <w:nsid w:val="542289EC"/>
    <w:multiLevelType w:val="hybridMultilevel"/>
    <w:lvl w:ilvl="0">
      <w:lvlJc w:val="left"/>
      <w:lvlText w:val="(%1)"/>
      <w:numFmt w:val="lowerLetter"/>
      <w:start w:val="5"/>
    </w:lvl>
  </w:abstractNum>
  <w:abstractNum w:abstractNumId="41">
    <w:nsid w:val="6DE91B18"/>
    <w:multiLevelType w:val="hybridMultilevel"/>
    <w:lvl w:ilvl="0">
      <w:lvlJc w:val="left"/>
      <w:lvlText w:val="(%1)"/>
      <w:numFmt w:val="lowerLetter"/>
      <w:start w:val="10"/>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1."/>
      <w:numFmt w:val="decimal"/>
      <w:start w:val="1"/>
    </w:lvl>
  </w:abstractNum>
  <w:abstractNum w:abstractNumId="44">
    <w:nsid w:val="32FFF902"/>
    <w:multiLevelType w:val="hybridMultilevel"/>
    <w:lvl w:ilvl="0">
      <w:lvlJc w:val="left"/>
      <w:lvlText w:val="(%1)"/>
      <w:numFmt w:val="lowerLetter"/>
      <w:start w:val="1"/>
    </w:lvl>
  </w:abstractNum>
  <w:abstractNum w:abstractNumId="45">
    <w:nsid w:val="684A481A"/>
    <w:multiLevelType w:val="hybridMultilevel"/>
    <w:lvl w:ilvl="0">
      <w:lvlJc w:val="left"/>
      <w:lvlText w:val="(%1)"/>
      <w:numFmt w:val="lowerLetter"/>
      <w:start w:val="1"/>
    </w:lvl>
  </w:abstractNum>
  <w:abstractNum w:abstractNumId="46">
    <w:nsid w:val="579478FE"/>
    <w:multiLevelType w:val="hybridMultilevel"/>
    <w:lvl w:ilvl="0">
      <w:lvlJc w:val="left"/>
      <w:lvlText w:val="(%1)"/>
      <w:numFmt w:val="lowerLetter"/>
      <w:start w:val="3"/>
    </w:lvl>
  </w:abstractNum>
  <w:abstractNum w:abstractNumId="47">
    <w:nsid w:val="749ABB43"/>
    <w:multiLevelType w:val="hybridMultilevel"/>
    <w:lvl w:ilvl="0">
      <w:lvlJc w:val="left"/>
      <w:lvlText w:val="(%1)"/>
      <w:numFmt w:val="lowerLetter"/>
      <w:start w:val="1"/>
    </w:lvl>
  </w:abstractNum>
  <w:abstractNum w:abstractNumId="48">
    <w:nsid w:val="3DC240FB"/>
    <w:multiLevelType w:val="hybridMultilevel"/>
    <w:lvl w:ilvl="0">
      <w:lvlJc w:val="left"/>
      <w:lvlText w:val="(%1)"/>
      <w:numFmt w:val="lowerLetter"/>
      <w:start w:val="5"/>
    </w:lvl>
  </w:abstractNum>
  <w:abstractNum w:abstractNumId="49">
    <w:nsid w:val="1BA026FA"/>
    <w:multiLevelType w:val="hybridMultilevel"/>
    <w:lvl w:ilvl="0">
      <w:lvlJc w:val="left"/>
      <w:lvlText w:val="%1"/>
      <w:numFmt w:val="upperLetter"/>
      <w:start w:val="1"/>
    </w:lvl>
    <w:lvl w:ilvl="1">
      <w:lvlJc w:val="left"/>
      <w:lvlText w:val="(%2)"/>
      <w:numFmt w:val="lowerRoman"/>
      <w:start w:val="1"/>
    </w:lvl>
  </w:abstractNum>
  <w:abstractNum w:abstractNumId="50">
    <w:nsid w:val="79A1DEAA"/>
    <w:multiLevelType w:val="hybridMultilevel"/>
    <w:lvl w:ilvl="0">
      <w:lvlJc w:val="left"/>
      <w:lvlText w:val="(%1)"/>
      <w:numFmt w:val="upperLetter"/>
      <w:start w:val="3"/>
    </w:lvl>
    <w:lvl w:ilvl="1">
      <w:lvlJc w:val="left"/>
      <w:lvlText w:val="(%2)"/>
      <w:numFmt w:val="lowerRoman"/>
      <w:start w:val="3"/>
    </w:lvl>
  </w:abstractNum>
  <w:abstractNum w:abstractNumId="51">
    <w:nsid w:val="75C6C33A"/>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2019-12-07T19:45:12Z</dcterms:created>
  <dcterms:modified xsi:type="dcterms:W3CDTF">2019-12-07T19:45:12Z</dcterms:modified>
</cp:coreProperties>
</file>