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333-228357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11, 2018)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2,103,702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148590</wp:posOffset>
            </wp:positionV>
            <wp:extent cx="257302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19" w:lineRule="exact"/>
        <w:rPr>
          <w:sz w:val="24"/>
          <w:szCs w:val="24"/>
          <w:color w:val="auto"/>
        </w:rPr>
      </w:pPr>
    </w:p>
    <w:p>
      <w:pPr>
        <w:ind w:right="260" w:firstLine="648"/>
        <w:spacing w:after="0" w:line="277" w:lineRule="auto"/>
        <w:rPr>
          <w:sz w:val="20"/>
          <w:szCs w:val="20"/>
          <w:color w:val="auto"/>
        </w:rPr>
      </w:pPr>
      <w:r>
        <w:rPr>
          <w:rFonts w:ascii="Arial" w:cs="Arial" w:eastAsia="Arial" w:hAnsi="Arial"/>
          <w:sz w:val="18"/>
          <w:szCs w:val="18"/>
          <w:color w:val="auto"/>
        </w:rPr>
        <w:t>The selling shareholder named in this prospectus supplement is offering 2,103,702 shares of our common stock. We will not receive any proceeds from the sale of the shares by the selling shareholder.</w:t>
      </w:r>
    </w:p>
    <w:p>
      <w:pPr>
        <w:spacing w:after="0" w:line="170" w:lineRule="exact"/>
        <w:rPr>
          <w:sz w:val="24"/>
          <w:szCs w:val="24"/>
          <w:color w:val="auto"/>
        </w:rPr>
      </w:pPr>
    </w:p>
    <w:p>
      <w:pPr>
        <w:ind w:right="380"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“OPRX.” The last reported sale price of our common stock on The Nasdaq Capital Market on December 17, 2018 was $11.60 per share.</w:t>
      </w:r>
    </w:p>
    <w:p>
      <w:pPr>
        <w:spacing w:after="0" w:line="166" w:lineRule="exact"/>
        <w:rPr>
          <w:sz w:val="24"/>
          <w:szCs w:val="24"/>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S-3 and in the documents incorporated by reference in this prospectus supplement.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Per Share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1,157,036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Offering proceeds to the selling shareholder, before expenses</w:t>
            </w:r>
          </w:p>
        </w:tc>
        <w:tc>
          <w:tcPr>
            <w:tcW w:w="2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32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19,879,984</w:t>
            </w:r>
          </w:p>
        </w:tc>
        <w:tc>
          <w:tcPr>
            <w:tcW w:w="0" w:type="dxa"/>
            <w:vAlign w:val="bottom"/>
          </w:tcPr>
          <w:p>
            <w:pPr>
              <w:spacing w:after="0"/>
              <w:rPr>
                <w:sz w:val="1"/>
                <w:szCs w:val="1"/>
                <w:color w:val="auto"/>
              </w:rPr>
            </w:pPr>
          </w:p>
        </w:tc>
      </w:tr>
      <w:tr>
        <w:trPr>
          <w:trHeight w:val="54"/>
        </w:trPr>
        <w:tc>
          <w:tcPr>
            <w:tcW w:w="6600" w:type="dxa"/>
            <w:vAlign w:val="bottom"/>
            <w:shd w:val="clear" w:color="auto" w:fill="CCEEFF"/>
          </w:tcPr>
          <w:p>
            <w:pPr>
              <w:spacing w:after="0"/>
              <w:rPr>
                <w:sz w:val="4"/>
                <w:szCs w:val="4"/>
                <w:color w:val="auto"/>
              </w:rPr>
            </w:pPr>
          </w:p>
        </w:tc>
        <w:tc>
          <w:tcPr>
            <w:tcW w:w="2360" w:type="dxa"/>
            <w:vAlign w:val="bottom"/>
            <w:gridSpan w:val="2"/>
            <w:vMerge w:val="continue"/>
            <w:shd w:val="clear" w:color="auto" w:fill="CCEEFF"/>
          </w:tcPr>
          <w:p>
            <w:pPr>
              <w:spacing w:after="0"/>
              <w:rPr>
                <w:sz w:val="4"/>
                <w:szCs w:val="4"/>
                <w:color w:val="auto"/>
              </w:rPr>
            </w:pPr>
          </w:p>
        </w:tc>
        <w:tc>
          <w:tcPr>
            <w:tcW w:w="1100" w:type="dxa"/>
            <w:vAlign w:val="bottom"/>
            <w:gridSpan w:val="2"/>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104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left="380" w:right="260" w:hanging="372"/>
        <w:spacing w:after="0" w:line="277"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refer you to the section entitled “Underwriting” beginning on page S-11 of this prospectus supplement for a description of the compensation to be received by the underwriters.</w:t>
      </w:r>
    </w:p>
    <w:p>
      <w:pPr>
        <w:spacing w:after="0" w:line="170" w:lineRule="exact"/>
        <w:rPr>
          <w:sz w:val="24"/>
          <w:szCs w:val="24"/>
          <w:color w:val="auto"/>
        </w:rPr>
      </w:pPr>
    </w:p>
    <w:p>
      <w:pPr>
        <w:ind w:right="20" w:firstLine="648"/>
        <w:spacing w:after="0" w:line="308" w:lineRule="auto"/>
        <w:rPr>
          <w:sz w:val="20"/>
          <w:szCs w:val="20"/>
          <w:color w:val="auto"/>
        </w:rPr>
      </w:pPr>
      <w:r>
        <w:rPr>
          <w:rFonts w:ascii="Arial" w:cs="Arial" w:eastAsia="Arial" w:hAnsi="Arial"/>
          <w:sz w:val="17"/>
          <w:szCs w:val="17"/>
          <w:color w:val="auto"/>
        </w:rPr>
        <w:t>We have granted to the underwriters the option to purchase up to 315,555 additional shares of our common stock from us at the public offering price, less underwriting discounts and commissions. The underwriters can exercise this option at any time within 30 days after the offering.</w:t>
      </w:r>
    </w:p>
    <w:p>
      <w:pPr>
        <w:spacing w:after="0" w:line="143" w:lineRule="exact"/>
        <w:rPr>
          <w:sz w:val="24"/>
          <w:szCs w:val="24"/>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ind w:right="620" w:firstLine="648"/>
        <w:spacing w:after="0" w:line="277" w:lineRule="auto"/>
        <w:rPr>
          <w:sz w:val="20"/>
          <w:szCs w:val="20"/>
          <w:color w:val="auto"/>
        </w:rPr>
      </w:pPr>
      <w:r>
        <w:rPr>
          <w:rFonts w:ascii="Arial" w:cs="Arial" w:eastAsia="Arial" w:hAnsi="Arial"/>
          <w:sz w:val="18"/>
          <w:szCs w:val="18"/>
          <w:color w:val="auto"/>
        </w:rPr>
        <w:t>The underwriters expect to deliver the shares of common stock to investors in book-entry form through the facilities of The Depository Trust Company on or about December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117475</wp:posOffset>
            </wp:positionV>
            <wp:extent cx="18097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9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8"/>
                <w:szCs w:val="18"/>
                <w:color w:val="auto"/>
              </w:rPr>
            </w:pPr>
          </w:p>
        </w:tc>
        <w:tc>
          <w:tcPr>
            <w:tcW w:w="8820" w:type="dxa"/>
            <w:vAlign w:val="bottom"/>
          </w:tcPr>
          <w:p>
            <w:pPr>
              <w:jc w:val="center"/>
              <w:ind w:right="2492"/>
              <w:spacing w:after="0"/>
              <w:rPr>
                <w:sz w:val="20"/>
                <w:szCs w:val="20"/>
                <w:color w:val="auto"/>
              </w:rPr>
            </w:pPr>
            <w:r>
              <w:rPr>
                <w:rFonts w:ascii="Arial" w:cs="Arial" w:eastAsia="Arial" w:hAnsi="Arial"/>
                <w:sz w:val="18"/>
                <w:szCs w:val="18"/>
                <w:i w:val="1"/>
                <w:iCs w:val="1"/>
                <w:color w:val="auto"/>
                <w:w w:val="91"/>
              </w:rPr>
              <w:t>Joint Book-Running Managers</w:t>
            </w:r>
          </w:p>
        </w:tc>
      </w:tr>
      <w:tr>
        <w:trPr>
          <w:trHeight w:val="375"/>
        </w:trPr>
        <w:tc>
          <w:tcPr>
            <w:tcW w:w="2600" w:type="dxa"/>
            <w:vAlign w:val="bottom"/>
          </w:tcPr>
          <w:p>
            <w:pPr>
              <w:spacing w:after="0"/>
              <w:rPr>
                <w:sz w:val="20"/>
                <w:szCs w:val="20"/>
                <w:color w:val="auto"/>
              </w:rPr>
            </w:pPr>
            <w:r>
              <w:rPr>
                <w:rFonts w:ascii="Arial" w:cs="Arial" w:eastAsia="Arial" w:hAnsi="Arial"/>
                <w:sz w:val="29"/>
                <w:szCs w:val="29"/>
                <w:b w:val="1"/>
                <w:bCs w:val="1"/>
                <w:color w:val="auto"/>
              </w:rPr>
              <w:t>William Blair</w:t>
            </w:r>
          </w:p>
        </w:tc>
        <w:tc>
          <w:tcPr>
            <w:tcW w:w="8820" w:type="dxa"/>
            <w:vAlign w:val="bottom"/>
          </w:tcPr>
          <w:p>
            <w:pPr>
              <w:ind w:left="7200"/>
              <w:spacing w:after="0"/>
              <w:rPr>
                <w:sz w:val="20"/>
                <w:szCs w:val="20"/>
                <w:color w:val="auto"/>
              </w:rPr>
            </w:pPr>
            <w:r>
              <w:rPr>
                <w:rFonts w:ascii="Arial" w:cs="Arial" w:eastAsia="Arial" w:hAnsi="Arial"/>
                <w:sz w:val="29"/>
                <w:szCs w:val="29"/>
                <w:b w:val="1"/>
                <w:bCs w:val="1"/>
                <w:color w:val="auto"/>
                <w:w w:val="91"/>
              </w:rPr>
              <w:t>B. Riley FBR</w:t>
            </w:r>
          </w:p>
        </w:tc>
      </w:tr>
      <w:tr>
        <w:trPr>
          <w:trHeight w:val="427"/>
        </w:trPr>
        <w:tc>
          <w:tcPr>
            <w:tcW w:w="2600" w:type="dxa"/>
            <w:vAlign w:val="bottom"/>
          </w:tcPr>
          <w:p>
            <w:pPr>
              <w:spacing w:after="0"/>
              <w:rPr>
                <w:sz w:val="24"/>
                <w:szCs w:val="24"/>
                <w:color w:val="auto"/>
              </w:rPr>
            </w:pPr>
          </w:p>
        </w:tc>
        <w:tc>
          <w:tcPr>
            <w:tcW w:w="8820" w:type="dxa"/>
            <w:vAlign w:val="bottom"/>
          </w:tcPr>
          <w:p>
            <w:pPr>
              <w:jc w:val="center"/>
              <w:ind w:right="2472"/>
              <w:spacing w:after="0"/>
              <w:rPr>
                <w:sz w:val="20"/>
                <w:szCs w:val="20"/>
                <w:color w:val="auto"/>
              </w:rPr>
            </w:pPr>
            <w:r>
              <w:rPr>
                <w:rFonts w:ascii="Arial" w:cs="Arial" w:eastAsia="Arial" w:hAnsi="Arial"/>
                <w:sz w:val="18"/>
                <w:szCs w:val="18"/>
                <w:color w:val="auto"/>
                <w:w w:val="89"/>
              </w:rPr>
              <w:t>The date of this prospectus supplement is December 18, 2018</w:t>
            </w:r>
          </w:p>
        </w:tc>
      </w:tr>
      <w:tr>
        <w:trPr>
          <w:trHeight w:val="682"/>
        </w:trPr>
        <w:tc>
          <w:tcPr>
            <w:tcW w:w="260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660" w:type="dxa"/>
            <w:vAlign w:val="bottom"/>
            <w:gridSpan w:val="3"/>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00" w:type="dxa"/>
            <w:vAlign w:val="bottom"/>
            <w:gridSpan w:val="4"/>
          </w:tcPr>
          <w:p>
            <w:pPr>
              <w:jc w:val="center"/>
              <w:ind w:right="2980"/>
              <w:spacing w:after="0"/>
              <w:rPr>
                <w:sz w:val="20"/>
                <w:szCs w:val="20"/>
                <w:color w:val="auto"/>
              </w:rPr>
            </w:pPr>
            <w:r>
              <w:rPr>
                <w:rFonts w:ascii="Arial" w:cs="Arial" w:eastAsia="Arial" w:hAnsi="Arial"/>
                <w:sz w:val="18"/>
                <w:szCs w:val="18"/>
                <w:b w:val="1"/>
                <w:bCs w:val="1"/>
                <w:color w:val="auto"/>
                <w:w w:val="87"/>
              </w:rPr>
              <w:t>Prospectus Supplement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7680" w:type="dxa"/>
            <w:vAlign w:val="bottom"/>
            <w:tcBorders>
              <w:bottom w:val="single" w:sz="8" w:color="CCEEFF"/>
            </w:tcBorders>
            <w:gridSpan w:val="5"/>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S-ii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Regarding Forward-Looking Statements</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60" w:type="dxa"/>
            <w:vAlign w:val="bottom"/>
            <w:gridSpan w:val="2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5"/>
              </w:rPr>
              <w:t>S-3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Use of Proceeds</w:t>
              </w:r>
            </w:hyperlink>
          </w:p>
        </w:tc>
        <w:tc>
          <w:tcPr>
            <w:tcW w:w="9000" w:type="dxa"/>
            <w:vAlign w:val="bottom"/>
            <w:tcBorders>
              <w:bottom w:val="single" w:sz="8" w:color="CCEEFF"/>
            </w:tcBorders>
            <w:gridSpan w:val="16"/>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Selling Shareholder</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5"/>
              </w:rPr>
              <w:t>S-5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160" w:type="dxa"/>
            <w:vAlign w:val="bottom"/>
            <w:gridSpan w:val="22"/>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Material U.S. Federal Income and Estate Tax Consequences to Non-U.S. Holders</w:t>
              </w:r>
            </w:hyperlink>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Underwriting</w:t>
              </w:r>
            </w:hyperlink>
          </w:p>
        </w:tc>
        <w:tc>
          <w:tcPr>
            <w:tcW w:w="4320" w:type="dxa"/>
            <w:vAlign w:val="bottom"/>
            <w:tcBorders>
              <w:top w:val="single" w:sz="8" w:color="CCEEFF"/>
            </w:tcBorders>
            <w:gridSpan w:val="2"/>
          </w:tcPr>
          <w:p>
            <w:pPr>
              <w:spacing w:after="0"/>
              <w:rPr>
                <w:sz w:val="15"/>
                <w:szCs w:val="15"/>
                <w:color w:val="auto"/>
              </w:rPr>
            </w:pPr>
          </w:p>
        </w:tc>
        <w:tc>
          <w:tcPr>
            <w:tcW w:w="12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4"/>
              </w:rPr>
              <w:t>S-11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Legal Matters</w:t>
              </w:r>
            </w:hyperlink>
          </w:p>
        </w:tc>
        <w:tc>
          <w:tcPr>
            <w:tcW w:w="9160" w:type="dxa"/>
            <w:vAlign w:val="bottom"/>
            <w:tcBorders>
              <w:bottom w:val="single" w:sz="8" w:color="CCEEFF"/>
            </w:tcBorders>
            <w:gridSpan w:val="17"/>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Where You Can Find More Information</w:t>
              </w:r>
            </w:hyperlink>
          </w:p>
        </w:tc>
        <w:tc>
          <w:tcPr>
            <w:tcW w:w="7300" w:type="dxa"/>
            <w:vAlign w:val="bottom"/>
            <w:tcBorders>
              <w:bottom w:val="single" w:sz="8" w:color="CCEEFF"/>
            </w:tcBorders>
            <w:gridSpan w:val="4"/>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Incorporation by Reference</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jc w:val="center"/>
              <w:ind w:right="4620"/>
              <w:spacing w:after="0"/>
              <w:rPr>
                <w:sz w:val="20"/>
                <w:szCs w:val="20"/>
                <w:color w:val="auto"/>
              </w:rPr>
            </w:pPr>
            <w:r>
              <w:rPr>
                <w:rFonts w:ascii="Arial" w:cs="Arial" w:eastAsia="Arial" w:hAnsi="Arial"/>
                <w:sz w:val="18"/>
                <w:szCs w:val="18"/>
                <w:b w:val="1"/>
                <w:bCs w:val="1"/>
                <w:color w:val="auto"/>
                <w:w w:val="85"/>
              </w:rPr>
              <w:t>Prospectus</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OptimizeRx Corporation</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60" w:type="dxa"/>
            <w:vAlign w:val="bottom"/>
            <w:gridSpan w:val="2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About This Prospectus</w:t>
              </w:r>
            </w:hyperlink>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Forward-Looking Statements</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Where You Can Find More Information</w:t>
              </w:r>
            </w:hyperlink>
          </w:p>
        </w:tc>
        <w:tc>
          <w:tcPr>
            <w:tcW w:w="7300" w:type="dxa"/>
            <w:vAlign w:val="bottom"/>
            <w:tcBorders>
              <w:bottom w:val="single" w:sz="8" w:color="CCEEFF"/>
            </w:tcBorders>
            <w:gridSpan w:val="4"/>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Incorporation By Reference</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9260" w:type="dxa"/>
            <w:vAlign w:val="bottom"/>
            <w:tcBorders>
              <w:bottom w:val="single" w:sz="8" w:color="CCEEFF"/>
            </w:tcBorders>
            <w:gridSpan w:val="19"/>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Use of Proceeds</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Selling Shareholder</w:t>
              </w:r>
            </w:hyperlink>
          </w:p>
        </w:tc>
        <w:tc>
          <w:tcPr>
            <w:tcW w:w="8740" w:type="dxa"/>
            <w:vAlign w:val="bottom"/>
            <w:tcBorders>
              <w:bottom w:val="single" w:sz="8" w:color="CCEEFF"/>
            </w:tcBorders>
            <w:gridSpan w:val="15"/>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Share Capital</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Description of Debt Securities</w:t>
              </w:r>
            </w:hyperlink>
          </w:p>
        </w:tc>
        <w:tc>
          <w:tcPr>
            <w:tcW w:w="7980" w:type="dxa"/>
            <w:vAlign w:val="bottom"/>
            <w:tcBorders>
              <w:bottom w:val="single" w:sz="8" w:color="CCEEFF"/>
            </w:tcBorders>
            <w:gridSpan w:val="6"/>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Warrants</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Description of Units</w:t>
              </w:r>
            </w:hyperlink>
          </w:p>
        </w:tc>
        <w:tc>
          <w:tcPr>
            <w:tcW w:w="8700" w:type="dxa"/>
            <w:vAlign w:val="bottom"/>
            <w:tcBorders>
              <w:bottom w:val="single" w:sz="8" w:color="CCEEFF"/>
            </w:tcBorders>
            <w:gridSpan w:val="14"/>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Plan of Distribution</w:t>
              </w:r>
            </w:hyperlink>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Experts</w:t>
              </w:r>
            </w:hyperlink>
          </w:p>
        </w:tc>
        <w:tc>
          <w:tcPr>
            <w:tcW w:w="9620" w:type="dxa"/>
            <w:vAlign w:val="bottom"/>
            <w:tcBorders>
              <w:bottom w:val="single" w:sz="8" w:color="CCEEFF"/>
            </w:tcBorders>
            <w:gridSpan w:val="21"/>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6060" w:type="dxa"/>
            <w:vAlign w:val="bottom"/>
            <w:tcBorders>
              <w:bottom w:val="single" w:sz="8" w:color="0000EE"/>
            </w:tcBorders>
            <w:gridSpan w:val="21"/>
          </w:tcPr>
          <w:p>
            <w:pPr>
              <w:spacing w:after="0" w:line="17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Disclosure of Commission Position on Indemnification for Securities Act Liabilities</w:t>
              </w:r>
            </w:hyperlink>
          </w:p>
        </w:tc>
        <w:tc>
          <w:tcPr>
            <w:tcW w:w="4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December 11, 2018, including the documents incorporated by reference therein, provides more general information about us and our securities.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this prospectus supplement or in the accompanying prospectus), the statement in the document having the later date modifies or supersedes the earlier statement.</w:t>
      </w:r>
    </w:p>
    <w:p>
      <w:pPr>
        <w:spacing w:after="0" w:line="16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Neither we, the selling shareholder nor the underwriters have authorized anyone to provide you with information different from that contained or incorporated by reference in this prospectus supplement, the accompanying prospectus or in any free writing prospectus prepared by us or on our behalf that we have authorized for use in connection with this offering. We do not take any responsibility for, nor can we provide any assurance as to the reliability of, any information other than the information contained or incorporated by reference in this prospectus supplement, the accompanying prospectus or any free writing prospectus prepared by us or on our behalf that we have authorized for use in connection with this offering.</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You should assume that the information contained or incorporated by reference in this prospectus supplement, the accompanying prospectus or in any free writing prospectus prepared by us or on our behalf that we have authorized for use in connection with this offering is accurate only as of the date of those respective documents. Our business, financial condition, liquidity, results of operations and prospects may have changed since those dates. You should read this prospectus supplement, the accompanying prospectus, and any free writing prospectus prepared by or on behalf of us that we have authorized for use in connection with this offering, together with the information we incorporate by reference herein and therein, including the additional information described in the sections of this prospectus supplement and the accompanying prospectus entitled “Where You Can Find More Information” and “Incorporation by Reference,” before making an investment decision.</w:t>
      </w:r>
    </w:p>
    <w:p>
      <w:pPr>
        <w:spacing w:after="0" w:line="17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For investors outside of the United States, neither we nor the selling shareholder have done anything that would permit the offering, possession or distribution of this prospectus supplement or the accompanying prospectus in any jurisdiction where action for that purpose is required, other than in the United States. You are required to inform yourself about and to observe any restrictions relating to the offering, possession or the distribution of this prospectus supplement outside of the United States.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w:t>
      </w:r>
    </w:p>
    <w:p>
      <w:pPr>
        <w:spacing w:after="0" w:line="178"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This prospectus supplement and the accompanying prospectus do not constitute an offer to sell or a solicitation of an offer to buy any securities offered by this prospectus supplement or the accompanying prospectus in any jurisdiction in which such an offer or a solicitation is unlawful.</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Except where the context requires otherwise, references in this prospectus supplement to “OptimizeRx,” “the Company,” “we,” “us” and “our” refer to OptimizeRx Corporation, a Nevada corporation, together with its subsidiaries.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or therein contain forward-looking statements within the meaning of Section 27A of the Securities Act of 1933, as amended, or the Securities Act, and Section 21E of the Securities Exchange Act of 1934, as amended, or the Exchange Act. Such statements contained in this prospectus supplement, the accompanying prospectus and the documents incorporated by reference herein or therein are based upon current expectations that involve risks and uncertainties. Any statements contained in this prospectus supplement, the accompanying prospectus and the documents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the impact of our recent acquisition of CareSpeak Communications and our ability to realize the full benefits and synergies anticipated from the CareSpeak acquisition because of integration and other challenges; competition within the industries in which we operate; the timing, cost and success or failure of new product and service introductions and developments; our ability to attract and retain qualified personnel; maintaining our intellectual property rights and litigation involving intellectual property rights; our ability to operate without infringing the intellectual property rights of others; legislative, regulatory and economic developments; general economic, market or business conditions unrelated to our operating performance; our ability to raise funds in the future through sales of securities or debt financing in order to sustain our operations if an unexpected or unusual event would occur; the incurrence by us of any unanticipated or unusual non-operating expenses which would require us to divert our cash resources from achieving our business plan; and those factors discussed in the “Risk Factors” section, in addition to the other information set forth in this prospectus supplement, the accompanying prospectus and the documents incorporated by reference herein or therein. We claim the protection of the safe harbor for forward-looking statements contained in the Private Securities Litigation Reform Act of 1995 for all forward-looking statements. All forward-looking statements contained in this prospectus supplement, the accompanying prospectus and the documents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supplement and the accompanying prospectus, our Annual Report on Form 10-K for the year ended December 31, 2017 and in our other filings with the SEC. You should carefully consider the risks described in the “Risk Factors” section, in addition to the other information set forth in this prospectus supplement, the accompanying prospectus and the documents incorporated by reference herein or therein, before making an investment decision.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42175" cy="4420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2175" cy="442087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20" w:right="60" w:firstLine="648"/>
        <w:spacing w:after="0" w:line="273" w:lineRule="auto"/>
        <w:rPr>
          <w:sz w:val="20"/>
          <w:szCs w:val="20"/>
          <w:color w:val="auto"/>
        </w:rPr>
      </w:pPr>
      <w:r>
        <w:rPr>
          <w:rFonts w:ascii="Arial" w:cs="Arial" w:eastAsia="Arial" w:hAnsi="Arial"/>
          <w:sz w:val="17"/>
          <w:szCs w:val="17"/>
          <w:i w:val="1"/>
          <w:iCs w:val="1"/>
          <w:color w:val="auto"/>
        </w:rPr>
        <w:t>This summary highlights information contained in other parts of this prospectus supplement.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applicable free writing prospectus and the documents incorporated by reference herein and therein. Investing in our securities involves risks that are described in this prospectus supplement under the heading “Risk Factors,” under the heading “Item 1A. Risk Factors” in our Annual Report on Form 10-K for the year ended December 31, 2017 and in our other filings with the SEC.</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120" w:firstLine="648"/>
        <w:spacing w:after="0" w:line="279" w:lineRule="auto"/>
        <w:rPr>
          <w:sz w:val="20"/>
          <w:szCs w:val="20"/>
          <w:color w:val="auto"/>
        </w:rPr>
      </w:pPr>
      <w:r>
        <w:rPr>
          <w:rFonts w:ascii="Arial" w:cs="Arial" w:eastAsia="Arial" w:hAnsi="Arial"/>
          <w:sz w:val="17"/>
          <w:szCs w:val="17"/>
          <w:color w:val="auto"/>
        </w:rPr>
        <w:t>We are a leading provider of digital health messaging via electronic health records, or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20" w:right="140" w:firstLine="648"/>
        <w:spacing w:after="0" w:line="259" w:lineRule="auto"/>
        <w:rPr>
          <w:sz w:val="20"/>
          <w:szCs w:val="20"/>
          <w:color w:val="auto"/>
        </w:rPr>
      </w:pPr>
      <w:r>
        <w:rPr>
          <w:rFonts w:ascii="Arial" w:cs="Arial" w:eastAsia="Arial" w:hAnsi="Arial"/>
          <w:sz w:val="18"/>
          <w:szCs w:val="18"/>
          <w:color w:val="auto"/>
        </w:rPr>
        <w:t>On October 17, 2018, we entered into a Stock Purchase Agreement to acquire all of the equity interests of CareSpeak Communications, Inc., a New Jersey corporation. The consideration for the acquisition consisted of $5.5 million in cash, as adjusted as set forth in the Stock Purchase Agreement, shares of our common stock equal to $500,000, and earnout payments of up to $3.0 million in connection with the achievement of certain revenue targets for calendar years 2019 and 2020.</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120" w:right="460" w:firstLine="648"/>
        <w:spacing w:after="0" w:line="257" w:lineRule="auto"/>
        <w:rPr>
          <w:sz w:val="20"/>
          <w:szCs w:val="20"/>
          <w:color w:val="auto"/>
        </w:rPr>
      </w:pPr>
      <w:r>
        <w:rPr>
          <w:rFonts w:ascii="Arial" w:cs="Arial" w:eastAsia="Arial" w:hAnsi="Arial"/>
          <w:sz w:val="18"/>
          <w:szCs w:val="18"/>
          <w:color w:val="auto"/>
        </w:rPr>
        <w:t>We were incorporated under the laws of the State of Nevada on September 4, 2008. Our principal executive offices are located at 400 Water Street, Suite 200 Rochester, MI 48307. Our telephone number at this address is (248) 651-6568. Our website is https://www.optimizerx.com. The information contained on, or that can be accessed through, our website is not a part of this prospectus supplement, and you should not consider any information on, or accessible through, our website as part of this prospectus supplement. We have included our website address in this prospectus supplement solely as an inactive textual reference.</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42175" cy="5793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2175" cy="579310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80"/>
          </w:cols>
          <w:pgMar w:left="240" w:top="226" w:right="37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offered by the selling shareholder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2,103,702 shares</w:t>
      </w:r>
    </w:p>
    <w:p>
      <w:pPr>
        <w:spacing w:after="0" w:line="211" w:lineRule="exact"/>
        <w:rPr>
          <w:sz w:val="20"/>
          <w:szCs w:val="20"/>
          <w:color w:val="auto"/>
        </w:rPr>
      </w:pPr>
    </w:p>
    <w:p>
      <w:pPr>
        <w:sectPr>
          <w:pgSz w:w="11900" w:h="16838" w:orient="portrait"/>
          <w:cols w:equalWidth="0" w:num="2">
            <w:col w:w="3880" w:space="720"/>
            <w:col w:w="6680"/>
          </w:cols>
          <w:pgMar w:left="240" w:top="226" w:right="3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Option to purchase additional shares from the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have granted the underwriters an option for a period of 30 days to purchase up to 315,555 additional shares of our common stock.</w:t>
      </w:r>
    </w:p>
    <w:p>
      <w:pPr>
        <w:spacing w:after="0" w:line="170" w:lineRule="exact"/>
        <w:rPr>
          <w:sz w:val="20"/>
          <w:szCs w:val="20"/>
          <w:color w:val="auto"/>
        </w:rPr>
      </w:pPr>
    </w:p>
    <w:p>
      <w:pPr>
        <w:sectPr>
          <w:pgSz w:w="11900" w:h="16838" w:orient="portrait"/>
          <w:cols w:equalWidth="0" w:num="2">
            <w:col w:w="4160" w:space="440"/>
            <w:col w:w="6680"/>
          </w:cols>
          <w:pgMar w:left="240" w:top="226" w:right="379" w:bottom="1440" w:gutter="0" w:footer="0" w:header="0"/>
          <w:type w:val="continuous"/>
        </w:sectPr>
      </w:pPr>
    </w:p>
    <w:p>
      <w:pPr>
        <w:ind w:left="120"/>
        <w:spacing w:after="0" w:line="277" w:lineRule="auto"/>
        <w:rPr>
          <w:sz w:val="20"/>
          <w:szCs w:val="20"/>
          <w:color w:val="auto"/>
        </w:rPr>
      </w:pPr>
      <w:r>
        <w:rPr>
          <w:rFonts w:ascii="Arial" w:cs="Arial" w:eastAsia="Arial" w:hAnsi="Arial"/>
          <w:sz w:val="18"/>
          <w:szCs w:val="18"/>
          <w:color w:val="auto"/>
        </w:rPr>
        <w:t>Total common stock to be outstanding immediately after this offering</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12,014,185 shares, or 12,329,740 shares if the underwriters exercise their option to purchase additional shares from the Company in full.</w:t>
      </w:r>
    </w:p>
    <w:p>
      <w:pPr>
        <w:spacing w:after="0" w:line="170" w:lineRule="exact"/>
        <w:rPr>
          <w:sz w:val="20"/>
          <w:szCs w:val="20"/>
          <w:color w:val="auto"/>
        </w:rPr>
      </w:pPr>
    </w:p>
    <w:p>
      <w:pPr>
        <w:sectPr>
          <w:pgSz w:w="11900" w:h="16838" w:orient="portrait"/>
          <w:cols w:equalWidth="0" w:num="2">
            <w:col w:w="4500" w:space="100"/>
            <w:col w:w="6680"/>
          </w:cols>
          <w:pgMar w:left="240" w:top="226" w:right="37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selling shareholder will receive all net proceeds from the sale of our common stock in this offering, other than shares sold by us pursuant to the underwriters’ option to purchase additional shares. We will not receive any of the proceeds from the sale of shares of our common stock by the selling shareholder.</w:t>
      </w:r>
    </w:p>
    <w:p>
      <w:pPr>
        <w:spacing w:after="0" w:line="187" w:lineRule="exact"/>
        <w:rPr>
          <w:sz w:val="20"/>
          <w:szCs w:val="20"/>
          <w:color w:val="auto"/>
        </w:rPr>
      </w:pPr>
    </w:p>
    <w:p>
      <w:pPr>
        <w:sectPr>
          <w:pgSz w:w="11900" w:h="16838" w:orient="portrait"/>
          <w:cols w:equalWidth="0" w:num="2">
            <w:col w:w="3880" w:space="720"/>
            <w:col w:w="6680"/>
          </w:cols>
          <w:pgMar w:left="240" w:top="226" w:right="379" w:bottom="1440" w:gutter="0" w:footer="0" w:header="0"/>
          <w:type w:val="continuous"/>
        </w:sectPr>
      </w:pPr>
    </w:p>
    <w:p>
      <w:pPr>
        <w:ind w:left="4600"/>
        <w:spacing w:after="0" w:line="272" w:lineRule="auto"/>
        <w:rPr>
          <w:sz w:val="20"/>
          <w:szCs w:val="20"/>
          <w:color w:val="auto"/>
        </w:rPr>
      </w:pPr>
      <w:r>
        <w:rPr>
          <w:rFonts w:ascii="Arial" w:cs="Arial" w:eastAsia="Arial" w:hAnsi="Arial"/>
          <w:sz w:val="17"/>
          <w:szCs w:val="17"/>
          <w:color w:val="auto"/>
        </w:rPr>
        <w:t>If the underwriters’ option to purchase up to an additional 315,555 shares from us is exercised in full, we will receive net proceeds from the sale of those shares of approximately $2.9 million (after deducting underwriting discounts and commissions and estimated offering expenses payable by us), based on the public offering price of $10.00 per share. Such proceeds will be used for working capital and other general corporate purposes. If the underwriters exercise their option to purchase additional shares, the selling shareholder will not receive any proceeds from such exercise.</w:t>
      </w:r>
    </w:p>
    <w:p>
      <w:pPr>
        <w:sectPr>
          <w:pgSz w:w="11900" w:h="16838" w:orient="portrait"/>
          <w:cols w:equalWidth="0" w:num="1">
            <w:col w:w="11280"/>
          </w:cols>
          <w:pgMar w:left="240" w:top="226" w:right="379" w:bottom="1440" w:gutter="0" w:footer="0" w:header="0"/>
          <w:type w:val="continuous"/>
        </w:sectPr>
      </w:pP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You should read the “Risk Factors” section of this prospectus supplement beginning on page S-3 and the documents referred to therein for a discussion of factors to consider carefully before deciding to invest in shares of our common stock.</w:t>
      </w:r>
    </w:p>
    <w:p>
      <w:pPr>
        <w:spacing w:after="0" w:line="147" w:lineRule="exact"/>
        <w:rPr>
          <w:sz w:val="20"/>
          <w:szCs w:val="20"/>
          <w:color w:val="auto"/>
        </w:rPr>
      </w:pPr>
    </w:p>
    <w:p>
      <w:pPr>
        <w:sectPr>
          <w:pgSz w:w="11900" w:h="16838" w:orient="portrait"/>
          <w:cols w:equalWidth="0" w:num="2">
            <w:col w:w="3880" w:space="720"/>
            <w:col w:w="6680"/>
          </w:cols>
          <w:pgMar w:left="240" w:top="226" w:right="3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OPRX</w:t>
      </w:r>
    </w:p>
    <w:p>
      <w:pPr>
        <w:spacing w:after="0" w:line="200" w:lineRule="exact"/>
        <w:rPr>
          <w:sz w:val="20"/>
          <w:szCs w:val="20"/>
          <w:color w:val="auto"/>
        </w:rPr>
      </w:pPr>
    </w:p>
    <w:p>
      <w:pPr>
        <w:sectPr>
          <w:pgSz w:w="11900" w:h="16838" w:orient="portrait"/>
          <w:cols w:equalWidth="0" w:num="2">
            <w:col w:w="3880" w:space="720"/>
            <w:col w:w="6680"/>
          </w:cols>
          <w:pgMar w:left="240" w:top="226" w:right="379" w:bottom="1440" w:gutter="0" w:footer="0" w:header="0"/>
          <w:type w:val="continuous"/>
        </w:sectPr>
      </w:pPr>
    </w:p>
    <w:p>
      <w:pPr>
        <w:spacing w:after="0" w:line="48" w:lineRule="exact"/>
        <w:rPr>
          <w:sz w:val="20"/>
          <w:szCs w:val="20"/>
          <w:color w:val="auto"/>
        </w:rPr>
      </w:pPr>
    </w:p>
    <w:p>
      <w:pPr>
        <w:ind w:left="120" w:right="120" w:firstLine="648"/>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12,014,185 shares of our common stock outstanding as of December 10, 2018 and excludes:</w:t>
      </w:r>
    </w:p>
    <w:p>
      <w:pPr>
        <w:spacing w:after="0" w:line="170" w:lineRule="exact"/>
        <w:rPr>
          <w:sz w:val="20"/>
          <w:szCs w:val="20"/>
          <w:color w:val="auto"/>
        </w:rPr>
      </w:pPr>
    </w:p>
    <w:p>
      <w:pPr>
        <w:ind w:left="1160" w:right="300" w:hanging="387"/>
        <w:spacing w:after="0" w:line="277"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87,059 shares of common stock reserved for future issuance under our 2013 Equity Incentive Plan, or the 2013 Plan, as of December 10, 2018; and</w:t>
      </w:r>
    </w:p>
    <w:p>
      <w:pPr>
        <w:spacing w:after="0" w:line="170" w:lineRule="exact"/>
        <w:rPr>
          <w:rFonts w:ascii="Arial" w:cs="Arial" w:eastAsia="Arial" w:hAnsi="Arial"/>
          <w:sz w:val="18"/>
          <w:szCs w:val="18"/>
          <w:color w:val="auto"/>
        </w:rPr>
      </w:pPr>
    </w:p>
    <w:p>
      <w:pPr>
        <w:ind w:left="1160" w:right="100" w:hanging="387"/>
        <w:spacing w:after="0" w:line="277"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1,561,367 shares of common stock issuable upon the exercise of stock options outstanding as of December 10, 2018 under the 2013 Plan at a weighted average exercise price of $4.62.</w:t>
      </w:r>
    </w:p>
    <w:p>
      <w:pPr>
        <w:spacing w:after="0" w:line="170" w:lineRule="exact"/>
        <w:rPr>
          <w:sz w:val="20"/>
          <w:szCs w:val="20"/>
          <w:color w:val="auto"/>
        </w:rPr>
      </w:pPr>
    </w:p>
    <w:p>
      <w:pPr>
        <w:ind w:left="120" w:right="120" w:firstLine="648"/>
        <w:spacing w:after="0" w:line="308" w:lineRule="auto"/>
        <w:rPr>
          <w:sz w:val="20"/>
          <w:szCs w:val="20"/>
          <w:color w:val="auto"/>
        </w:rPr>
      </w:pPr>
      <w:r>
        <w:rPr>
          <w:rFonts w:ascii="Arial" w:cs="Arial" w:eastAsia="Arial" w:hAnsi="Arial"/>
          <w:sz w:val="17"/>
          <w:szCs w:val="17"/>
          <w:color w:val="auto"/>
        </w:rPr>
        <w:t>Except as otherwise indicated, all information in this prospectus supplement assumes no exercise by the underwriters of their option to purchase up to an additional 315,555 shares of our common stock from us and no exercise of the outstanding options described above.</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i w:val="1"/>
          <w:iCs w:val="1"/>
          <w:color w:val="auto"/>
        </w:rPr>
        <w:t>Investing in our common stock involves risks. You should carefully consider the risks and uncertainties described in our Annual Report on Form 10-K for the fiscal year ended December 31, 2017, which is incorporated by reference into this prospectus supplement, as revised or supplemented by our filings with the SEC since the filing of our most recent Annual Report on Form 10-K, and which may be amended, supplemented or superseded from time to time by other reports we file with the SEC in the future. You should also carefully consider the other information contained or incorporated by reference in this prospectus supplement, in the accompanying prospectus and in any free writing prospectus that we may authorize for use in connection with this offering before acquiring any shares of our common stock. These risks could materially affect our business, results of operations or financial condition and cause the value of our common stock to decline. In addition, the risks and uncertainties we have described are not the only ones facing our company. Additional risks and uncertainties not presently known to us or that we currently deem immaterial may also affect our business operations, and you could lose all or part of your investment. Please also read carefully the section entitled “Cautionary Statement Regarding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integrate operations or to achieve expected growth from our recent acquisition of CareSpeak Communications.</w:t>
      </w:r>
    </w:p>
    <w:p>
      <w:pPr>
        <w:spacing w:after="0" w:line="24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principal benefits expected to result from our acquisition of CareSpeak Communications, Inc., or CareSpeak, will not be achieved fully unless we are able to successfully integrate the operations of CareSpeak with our current business operations and realize the anticipated synergies, cost savings and growth opportunities from such integration. Challenges we may face in this regard include, but are not limited to: (i) estimating the capital, personnel and equipment required for proper integration; (ii) minimizing potential adverse effects on existing business relationships; and (iii) successfully developing and marketing CareSpeak’s products and services. Any difficulties we may experience in connection with the integration of CareSpeak could delay or prevent us from realizing such expected benefits and enhancing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Offering</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Management will have broad discretion as to the use of the Company’s proceeds from the underwriters’ option to purchase additional shares in this offering, and we may not use the proceeds effectively.</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management will have broad discretion in the application of our net proceeds from the underwriters’ option to purchase additional shares of common stock in this offering and could spend the proceeds in ways that do not improve our results of operations or enhance the value of our common stock. Our failure to apply these funds effectively could have a material adverse effect on our business, delay the growth of our business, and cause the price of our common stock to decline. We will not receive any proceeds from sales by the selling shareholder.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shareholders, including investors who purchase shares of common stock in this offering. The price per share at which we sell additional shares of our common stock or securities convertible into common stock in future transactions may be higher or lower than the price per share in this offering.</w:t>
      </w:r>
    </w:p>
    <w:p>
      <w:pPr>
        <w:spacing w:after="0" w:line="1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selling shareholder will receive all net proceeds from the sale of our common stock in this offering, other than shares sold by us pursuant to the underwriters’ option to purchase additional shares. We will not receive any of the proceeds from the sale of shares of our common stock by the selling shareholder. The selling shareholder will pay underwriting discounts and commissions and all other costs, fees and expenses incurred in effecting the registration and sale of the shares covered by this prospectus supplement, other than in connection with the shares sold by us pursuant to the underwriters’ option to purchase additional shares.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If the underwriters’ option to purchase up to an additional 315,555 shares from us is exercised in full, we will receive net proceeds from the sale of those shares of approximately $2.9 million (after deducting underwriting discounts and commissions and estimated offering expenses payable by us), based on the public offering price of $10.00 per share. Such proceeds will be used for working capital and other general corporate purposes. If the underwriters exercise their option to purchase additional shares, the selling shareholder will not receive any proceeds from such exercise.</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selling shareholder in this offering is WPP Luxembourg Gamma Three S.à r.l., a subsidiary of WPP plc, a UK-based, publicly listed provider of communications services worldwide, or WPP. On or about September 24, 2015, WPP, through WPP Luxembourg Gamma Three S.à r.l., made a strategic investment in our company and presently owns approximately 17.5% of our common stock, following a second strategic investment in March 2018.</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At the time of the initial investment, we entered into an investor rights agreement with WPP Luxembourg Gamma Three S.à r.l., or the Investor Rights Agreement, which provides, among other things, demand registration rights for its securities, inspection rights over our books and records, observer rights to attend and observe our director meetings, a seat on our board of directors, budget review of our financial plans, right of first refusal in the event we issue new securities and special board approval for certain matters.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WPP has not demanded registration; we have chosen to register these shares on behalf of the selling shareholder.</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Also at the time of the investment, we amended and restated an existing Co-Marketing Agreement with Grey Healthcare Group, LLC, or GHG, an affiliate of WPP. This agreement was amended to give the GHG the option to receive all or part of the compensation due under the agreement in our common shares. In March 2018, we issued 100,000 shares of our common stock to a subsidiary of WPP related to the finalization and termination of the agreement.</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foregoing description of the Investor Rights Agreement is qualified in its entirety by reference to the full text of the Investor Rights Agreement, which is filed as Exhibit 10.2 to our Current Report on Form 8-K filed with the SEC on September 30,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ind w:left="660"/>
              <w:spacing w:after="0"/>
              <w:rPr>
                <w:sz w:val="20"/>
                <w:szCs w:val="20"/>
                <w:color w:val="auto"/>
              </w:rPr>
            </w:pPr>
            <w:r>
              <w:rPr>
                <w:rFonts w:ascii="Arial" w:cs="Arial" w:eastAsia="Arial" w:hAnsi="Arial"/>
                <w:sz w:val="18"/>
                <w:szCs w:val="18"/>
                <w:color w:val="auto"/>
              </w:rPr>
              <w:t>The following table sets forth the activity between us and WPP in 2017 and 2016.</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6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1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3,696,214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1,542,411</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1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1,108,585</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1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24,519</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1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Accounts payable to WPP Agencies</w:t>
            </w:r>
          </w:p>
        </w:tc>
        <w:tc>
          <w:tcPr>
            <w:tcW w:w="1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 recorded to WPP Agencies</w:t>
            </w:r>
          </w:p>
        </w:tc>
        <w:tc>
          <w:tcPr>
            <w:tcW w:w="1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401,596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177,372</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1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447,670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127,458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the Selling Shareholder</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table sets forth information regarding the beneficial ownership of the shares of our common stock by the selling stockholder as of December 10, 2018, before and after giving effect to this offering by the selling shareholder. The percentage ownership information of the selling shareholder before and after the offering as shown in the table is based upon 12,014,185 shares of our common stock outstanding as of December 10, 2018, which includes 2,103,702 shares to be sold by the selling shareholder in connection with this offering. The information in the table below has been obtained from the selling shareholder.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Shares Beneficially Owned</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to be</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Shares Beneficially Owned</w:t>
            </w:r>
          </w:p>
        </w:tc>
      </w:tr>
      <w:tr>
        <w:trPr>
          <w:trHeight w:val="255"/>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4"/>
              </w:rPr>
              <w:t>Prior to Offering</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Sold in the</w:t>
            </w:r>
          </w:p>
        </w:tc>
        <w:tc>
          <w:tcPr>
            <w:tcW w:w="2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After the Offering</w:t>
            </w: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Selling Shareholder</w:t>
            </w:r>
          </w:p>
        </w:tc>
        <w:tc>
          <w:tcPr>
            <w:tcW w:w="138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1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w w:val="98"/>
              </w:rPr>
              <w:t>Percentage</w:t>
            </w:r>
          </w:p>
        </w:tc>
        <w:tc>
          <w:tcPr>
            <w:tcW w:w="28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Offering</w:t>
            </w:r>
          </w:p>
        </w:tc>
        <w:tc>
          <w:tcPr>
            <w:tcW w:w="136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14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20"/>
                <w:szCs w:val="20"/>
                <w:color w:val="auto"/>
              </w:rPr>
            </w:pPr>
          </w:p>
        </w:tc>
      </w:tr>
      <w:tr>
        <w:trPr>
          <w:trHeight w:val="202"/>
        </w:trPr>
        <w:tc>
          <w:tcPr>
            <w:tcW w:w="45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WPP Luxembourg Gamma Three S.à r.l.</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124 boulevard de la PétrusseL-2330 Luxembourg -</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LUXEMBOURG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AND ESTATE TAX CONSEQUENCES TO NON-U.S. HOLDERS</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following is a discussion of the material U.S. federal income and estate tax consequences of the acquisition, ownership, and disposition of our common stock to a non-U.S. holder that purchases shares of our common stock for cash in this offering. For purposes of this discussion, a “non-U.S. holder” means a beneficial owner (other than a partnership or other pass-through entity) of our common stock that is not, for U.S. federal income tax purposes:</w:t>
      </w:r>
    </w:p>
    <w:p>
      <w:pPr>
        <w:spacing w:after="0" w:line="147" w:lineRule="exact"/>
        <w:rPr>
          <w:sz w:val="20"/>
          <w:szCs w:val="20"/>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1040" w:right="100" w:hanging="384"/>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1040" w:right="100" w:hanging="384"/>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2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This discussion does not address the tax treatment of partnerships (or other entities that are treated as partnerships, grantor trusts, or other pass-through entities for U.S. federal income tax purposes) or persons that hold their common stock through partnerships, grantor trusts, or other pass-through entities. The tax treatment of a partner in a partnership or holder of an interest in another pass-through entity that will hold our common stock generally will depend upon the status of the partner or interest holder and the activities of the partner or interest holder and the partnership or other pass-through entity, as applicable. Such a partner or interest holder should consult his, her, or its own tax advisor regarding the tax consequences of the acquisition, ownership and disposition of our common stock through a partnership or other pass-through entity, as applicable.</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discussion is based upon the provisions of the Internal Revenue Code of 1986, as amended, or the Code, the U.S. Treasury regulations promulgated thereunder, judicial decisions, and published rulings, administrative procedures, and other guidance of the Internal Revenue Service, or the IRS, all as in effect as of the date hereof. These authorities are subject to change and to differing interpretations, possibly with retroactive effect, which could result in U.S. federal income or estate tax consequences different from those summarized below. No ruling has been or is expected to be sought from the IRS with respect to the matters summarized below, and there can be no assurance that the IRS will not take a contrary position regarding the U.S. federal income or estate tax consequences of the acquisition, ownership, or disposition of our common stock, or that any such contrary position would not be sustained by a court.</w:t>
      </w:r>
    </w:p>
    <w:p>
      <w:pPr>
        <w:spacing w:after="0" w:line="18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This discussion is not a complete analysis of all of the potential U.S. federal income and estate tax consequences relating to the acquisition, ownership, and disposition of our common stock by non-U.S. holders, nor does it address any U.S. federal gift or generation-skipping transfer tax consequences, any tax consequences arising under any state, local, or non-U.S. tax laws, the impact of any applicable tax treaty, any consequences under the Medicare contribution tax on net investment income, the alternative minimum tax, or any consequences under other U.S. federal tax laws. In addition, this discussion does not address tax consequences resulting from a non-U.S. holder’s particular circumstances or to non-U.S. holders that may be subject to special tax rules, including, without limitation:</w:t>
      </w:r>
    </w:p>
    <w:p>
      <w:pPr>
        <w:spacing w:after="0" w:line="193" w:lineRule="exact"/>
        <w:rPr>
          <w:sz w:val="20"/>
          <w:szCs w:val="20"/>
          <w:color w:val="auto"/>
        </w:rPr>
      </w:pPr>
    </w:p>
    <w:p>
      <w:pPr>
        <w:ind w:left="1040" w:hanging="384"/>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non-U.S. governments, agencies or instrumentalities thereof, or entities they control;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“controlled foreign corporations” and their shareholders;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“passive foreign investment companies” and their shareholders;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partnerships, grantor trusts or other entities that are treated as pass-through entities for U.S. federal income tax purposes, and their owners;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former citizens or former long-term residents of the United States;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tax-exempt pension funds or other tax-exempt organizations;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employee stock options or otherwise as compensation;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traders, brokers, or dealers in securities, commodities, or currencies;</w:t>
      </w:r>
    </w:p>
    <w:p>
      <w:pPr>
        <w:spacing w:after="0" w:line="225" w:lineRule="exact"/>
        <w:rPr>
          <w:rFonts w:ascii="Arial" w:cs="Arial" w:eastAsia="Arial" w:hAnsi="Arial"/>
          <w:sz w:val="18"/>
          <w:szCs w:val="18"/>
          <w:color w:val="auto"/>
        </w:rPr>
      </w:pPr>
    </w:p>
    <w:p>
      <w:pPr>
        <w:ind w:left="1040" w:right="600" w:hanging="384"/>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wash sale, “straddle,” “conversion transaction” or other risk reduction transaction or synthetic security;</w:t>
      </w:r>
    </w:p>
    <w:p>
      <w:pPr>
        <w:spacing w:after="0" w:line="170" w:lineRule="exact"/>
        <w:rPr>
          <w:rFonts w:ascii="Arial" w:cs="Arial" w:eastAsia="Arial" w:hAnsi="Arial"/>
          <w:sz w:val="18"/>
          <w:szCs w:val="18"/>
          <w:color w:val="auto"/>
        </w:rPr>
      </w:pPr>
    </w:p>
    <w:p>
      <w:pPr>
        <w:ind w:left="1040" w:right="560" w:hanging="384"/>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70" w:lineRule="exact"/>
        <w:rPr>
          <w:rFonts w:ascii="Arial" w:cs="Arial" w:eastAsia="Arial" w:hAnsi="Arial"/>
          <w:sz w:val="18"/>
          <w:szCs w:val="18"/>
          <w:color w:val="auto"/>
        </w:rPr>
      </w:pPr>
    </w:p>
    <w:p>
      <w:pPr>
        <w:ind w:left="1040" w:right="520" w:hanging="384"/>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 financial statement;</w:t>
      </w:r>
    </w:p>
    <w:p>
      <w:pPr>
        <w:spacing w:after="0" w:line="170"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who own or have owned, or are deemed to own or to have owned, more than 5% of our common stock (except to the extent specifically set forth below); or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Prospective investors should consult their own tax advisors regarding the particular U.S. federal income, estate, gift, and generation-skipping transfer tax consequences to them of acquiring, owning, and disposing of our common stock, as well as any tax consequences arising under any state, local, or foreign tax laws and any other U.S. federal tax laws. Prospective investors should also consult their tax advisors regarding the potential impact of any applicable income or estate tax treaty between the United States and such prospective investor’s country of residence and of the rules described below under the heading “Foreign Account Tax Compliance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disclosure in this section addresses the consequences should our board of directors determine to make a distribution of cash or property with respect to our common stock (other than certain distributions of stock which may be made free of tax), or to effect a redemption that is treated for tax purposes as a distribution. Any such distribution will generally constitute a dividend for U.S. federal tax purposes to the extent paid from our current or accumulated earnings and profits, as determined under U.S. federal income tax principles. To the extent such a distribution exceeds both our current and our accumulated earnings and profits, such excess will be allocated ratably among the shares of common stock with respect to which the distribution is made. Any such excess allocated to a share of common stock will constitute a return of capital to the extent of the non-U.S. holder’s adjusted tax basis in that share of common stock, reducing that adjusted tax basis, but not below zero. After the non-U.S. holder’s adjusted tax basis in a share of common stock has been reduced to zero, any remaining excess allocated to that share of common stock will be treated as capital gain from the sale of that share of common stock, subject to the tax treatment described below under “Gain on Disposition of Common Stock.” Any such distributions will also be subject to the discussion below regarding backup withholding and foreign accounts. A non-U.S. holder’s adjusted tax basis in a share of common stock is generally the purchase price of the share, reduced by the amount of any distributions constituting a return of capital with respect to that share.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Any dividend paid to a non-U.S. holder of our common stock generally will be subject to U.S. federal withholding tax at a rate of 30% of the gross amount of the dividend, or such lower rate as may be specified by an applicable income tax treaty between the United States and such non-U.S. holder’s country of residence. If a non-U.S. holder is eligible for benefits under an income tax treaty and wishes to claim a reduced rate of withholding, the non-U.S. holder generally will be required to provide us or our paying agent with a properly completed IRS Form W-8BEN, Form W-8BEN-E, or other applicable form, certifying under penalties of perjury the non-U.S. holder’s qualification for the reduced rate. This certification must be provided to us or our paying agent prior to the payment of the dividend and may be required to be updated periodically. Special certification requirements apply to non-U.S. holders that hold common stock through certain foreign intermediaries. Non-U.S. holders that do not timely provide the required certifications, but that qualify for a reduced treaty rate, may obtain a refund of any excess amounts withheld by timely filing an appropriate claim for refund with the IRS. If we are not able to determine whether or not a distribution will exceed current and accumulated earnings and profits at the time the distribution is made, we may withhold tax on the entire amount of any distribution at the same rate as we would withhold on a dividend. However, a non-U.S. holder may obtain a refund of amounts that we withhold to the extent attributable to the portion of the distribution in excess of our current and accumulated earnings and profits.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U.S., and dividends paid on the common stock are effectively connected with the non-U.S. holder’s U.S. trade or business (and, if required by an applicable income tax treaty between the United States and such non-U.S. holder’s country of residence, are attributable to a permanent establishment or fixed base maintained by the non-U.S. holder in the U.S., as defined under the applicable treaty), the non-U.S. holder will be exempt from U.S. federal withholding tax on the dividends. To claim the exemption, the non-U.S. holder must furnish a properly executed IRS Form W-8ECI (or other applicable form) prior to the payment of the dividends. Any dividends paid on our common stock that are effectively connected with a non-U.S. holder’s U.S. trade or business (and satisfy any other applicable treaty requirements) generally will be subject to U.S. federal income tax on a net income basis at the regular graduated U.S. federal income tax rates generally applicable to U.S. persons (as defined in the Code). A non-U.S. holder that is treated as a corporation for U.S. federal income tax purposes also may be subject to an additional branch profits tax equal to 30% (or such lower rate as is specified by an applicable income tax treaty between the United States and such non-U.S. holder’s country of residence) of a portion of its earnings and profits for the taxable year that are effectively connected with a U.S. trade or business, as adjusted for certain items.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Subject to the discussion below regarding backup withholding and foreign accounts, a non-U.S. holder generally will not be subject to U.S. federal income tax on any gain realized upon the sale, exchange, or other taxable disposition of our common stock unless:</w:t>
      </w:r>
    </w:p>
    <w:p>
      <w:pPr>
        <w:spacing w:after="0" w:line="170" w:lineRule="exact"/>
        <w:rPr>
          <w:sz w:val="20"/>
          <w:szCs w:val="20"/>
          <w:color w:val="auto"/>
        </w:rPr>
      </w:pPr>
    </w:p>
    <w:p>
      <w:pPr>
        <w:ind w:left="1040" w:hanging="384"/>
        <w:spacing w:after="0" w:line="272"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U.S. trade or business (and, if required by an applicable income tax treaty between the United States and such non-U.S. holder’s country of residence, the gain is attributable to a permanent establishment or fixed base maintained by the non-U.S. holder in the U.S.), in which case the non-U.S. holder will generally be required to pay tax on the gain derived from the sale, exchange, or other taxable disposition (net of certain deductions or credits) under regular graduated U.S. federal income tax rates generally applicable to U.S. persons, and in the case of a non-U.S. holder that is treated as a corporation for U.S. federal income tax purposes, such non-U.S. holder may be subject to a branch profits tax at a 30% rate or such lower rate as may be specified by an applicable income tax treaty between the United States and such non-U.S. holder’s country of residence;</w:t>
      </w:r>
    </w:p>
    <w:p>
      <w:pPr>
        <w:spacing w:after="0" w:line="177" w:lineRule="exact"/>
        <w:rPr>
          <w:rFonts w:ascii="Arial" w:cs="Arial" w:eastAsia="Arial" w:hAnsi="Arial"/>
          <w:sz w:val="17"/>
          <w:szCs w:val="17"/>
          <w:color w:val="auto"/>
        </w:rPr>
      </w:pPr>
    </w:p>
    <w:p>
      <w:pPr>
        <w:ind w:left="1040" w:right="140" w:hanging="384"/>
        <w:spacing w:after="0" w:line="273"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a period or periods aggregating 183 days or more during the taxable year in which the sale, exchange, or other taxable disposition occurs and certain other conditions are met, in which case the non-U.S. holder will be subject to U.S. federal income tax at a flat 30% rate (or such lower rate as is specified by an applicable income tax treaty between the United States and such non-U.S. holder’s country of residence) on the net gain derived from the sale, exchange, or other taxable disposition, which gain may be offset by U.S. source capital losses (even though the non-U.S. holder is not considered a resident of the U.S.) provided that the non-U.S. holder has timely filed U.S. federal income tax returns reporting those losses; or</w:t>
      </w:r>
    </w:p>
    <w:p>
      <w:pPr>
        <w:spacing w:after="0" w:line="178" w:lineRule="exact"/>
        <w:rPr>
          <w:rFonts w:ascii="Arial" w:cs="Arial" w:eastAsia="Arial" w:hAnsi="Arial"/>
          <w:sz w:val="17"/>
          <w:szCs w:val="17"/>
          <w:color w:val="auto"/>
        </w:rPr>
      </w:pPr>
    </w:p>
    <w:p>
      <w:pPr>
        <w:jc w:val="both"/>
        <w:ind w:left="1040" w:right="160" w:hanging="384"/>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common stock is a “United States real property interest” by reason of our status as a “United States real property holding corporation,” or USRPHC, for U.S. federal income tax purposes during the five-year period preceding such sale, exchange or other taxable disposition (or the non-U.S. holder’s holding period, if shorter).</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Generally, a corporation is a USRPHC only if the fair market value of its U.S. real property interests equals or exceeds 50% of the sum of the fair market value of its worldwide real property interests plus its other assets used or held for use in a trade or business. We believe we are not now and we do not anticipate becoming a USRPHC. However, there can be no assurance that we are not now a USRPHC or will not become one in the future. Even if we are or become a USRPHC, for so long as our common stock is “regularly traded,” as defined by applicable U.S. Treasury regulations, on an established securities market, sales of our common stock generally will not be subject to tax for non-U.S. holders that have not held more than 5% of our common stock, actually or constructively, during the five-year period preceding such non-U.S. holder’s sale, exchange or other taxable disposition of our common stock (or the non-U.S. holder’s holding period, if shorter). If we are determined to be a USRPHC and the foregoing exception does not apply, then the non-U.S. holder generally will be taxed on its net gain derived from the disposition at the graduated U.S. federal income tax rates applicable to U.S. persons. No assurance can be provided that our common stock will be regularly traded on an established securities market for purposes of the rule described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Generally, we or certain financial middlemen must report annually to the IRS and to each non-U.S. holder the gross amount of dividends and other distributions on our common stock paid to the non-U.S. holder and the amount of tax withheld, if any, with respect to those distributions. Pursuant to applicable income tax treaties or other agreements, the IRS may make these reports available to tax authorities in the non-U.S. holder’s country of residence or incorporation.</w:t>
      </w:r>
    </w:p>
    <w:p>
      <w:pPr>
        <w:spacing w:after="0" w:line="18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 non-U.S. holder may be subject to backup withholding with respect to dividends paid on shares of our common stock, unless, generally, the non-U.S. holder certifies under penalties of perjury (usually on IRS Form W-8BEN or W-8BEN-E) that the non-U.S. holder is not a U.S. person or otherwise establishes an exemption. The backup withholding rate is currently 24%. Dividends that are paid to non-U.S. holders subject to the withholding of U.S. federal income tax, as described above under the heading “Distributions on Common Stock,” generally will be exempt from U.S. backup withholding.</w:t>
      </w:r>
    </w:p>
    <w:p>
      <w:pPr>
        <w:spacing w:after="0" w:line="154"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Additional rules relating to information reporting requirements and backup withholding with respect to payments of the proceeds from the disposition of shares of our common stock are as follows:</w:t>
      </w:r>
    </w:p>
    <w:p>
      <w:pPr>
        <w:spacing w:after="0" w:line="170" w:lineRule="exact"/>
        <w:rPr>
          <w:sz w:val="20"/>
          <w:szCs w:val="20"/>
          <w:color w:val="auto"/>
        </w:rPr>
      </w:pPr>
    </w:p>
    <w:p>
      <w:pPr>
        <w:ind w:left="1040" w:right="100" w:hanging="384"/>
        <w:spacing w:after="0" w:line="286"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proceeds are paid to or through the U.S. office of a broker, the proceeds generally will be subject to backup withholding and information reporting, unless the non-U.S. holder certifies under penalties of perjury (usually on IRS Form W-8BEN or W-8BEN-E) that the non-U.S. holder is not a U.S. person and satisfies certain other requirements or otherwise establishes an exemption.</w:t>
      </w:r>
    </w:p>
    <w:p>
      <w:pPr>
        <w:spacing w:after="0" w:line="165" w:lineRule="exact"/>
        <w:rPr>
          <w:rFonts w:ascii="Arial" w:cs="Arial" w:eastAsia="Arial" w:hAnsi="Arial"/>
          <w:sz w:val="17"/>
          <w:szCs w:val="17"/>
          <w:color w:val="auto"/>
        </w:rPr>
      </w:pPr>
    </w:p>
    <w:p>
      <w:pPr>
        <w:ind w:left="1040" w:right="160" w:hanging="384"/>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proceeds are paid to or through a non-U.S. office of a broker that is not a U.S. person and is not a foreign person with certain specified U.S. connections, which we refer to below as a “U.S.-related person,” information reporting and backup withholding generally will not apply.</w:t>
      </w:r>
    </w:p>
    <w:p>
      <w:pPr>
        <w:spacing w:after="0" w:line="123" w:lineRule="exact"/>
        <w:rPr>
          <w:rFonts w:ascii="Arial" w:cs="Arial" w:eastAsia="Arial" w:hAnsi="Arial"/>
          <w:sz w:val="16"/>
          <w:szCs w:val="16"/>
          <w:color w:val="auto"/>
        </w:rPr>
      </w:pPr>
    </w:p>
    <w:p>
      <w:pPr>
        <w:ind w:left="1040" w:right="40" w:hanging="384"/>
        <w:spacing w:after="0" w:line="272"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proceeds are paid to or through a non-U.S. office of a broker that is a U.S. person or a U.S.-related person, the proceeds generally will be subject to information reporting (but not to backup withholding), unless the non-U.S. holder certifies under penalties of perjury (usually on IRS Form W-8BEN or W-8BEN-E) that the non-U.S. holder is not a U.S. person. A “U.S.-related person” includes (i) an entity classified as a “controlled foreign corporation” for U.S. federal income tax purposes, (ii) a foreign person, 50% or more of whose gross income from certain periods is effectively connected with a U.S. trade or business, or (iii) 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from a non-U.S. holder under the backup withholding rules may be allowed as a refund or a credit against the non-U.S. holder’s U.S. federal income tax liability, if any, provided that the non-U.S. holder timely furnishes the required information to the IRS. Non-U.S. holders should consult their own tax advisors regarding the application of the information reporting and backup withholding rules to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Sections 1471 to 1474 of the Code (commonly referred to as the Foreign Account Tax Compliance Act, or FATCA) generally impose withholding tax on certain types of payments made to “foreign financial institutions” (as defined in the Code) and other non U.S. entities unless those institutions and entities meet additional certification, information reporting and other requirements. FATCA generally imposes a 30% withholding tax on dividends on our common stock paid to a foreign financial institution unless the foreign financial institution enters into an agreement with the U.S. Treasury to, among other things, (i) undertake to identify accounts held by certain U.S. persons (including certain equity and debt holders of such institution) or by U.S. owned foreign entities, (ii) annually report certain information about such accounts, and (iii) withhold 30% on payments to account holders whose actions prevent it from complying with these reporting and other requirements. In addition, subject to certain exceptions, FATCA imposes a 30% withholding tax on dividends on our common stock paid to a “non financial foreign entity” (as defined in the Code) unless the entity certifies that it does not have any substantial U.S. owners (which generally include any U.S. persons who directly or indirectly own more than 10% of the entity) or furnishes identifying information regarding each such substantial U.S. owner or agrees to report that information to the IRS. Withholding under FATCA generally will not be reduced or limited by bilateral income tax treaties. However, intergovernmental agreements between the U.S. and other countries with respect to the implementation of FATCA and non U.S. laws, regulations and other authorities enacted or issued with respect to those intergovernmental agreements may modify the FATCA requirements described above. Non 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Common stock owned or treated as owned at the time of death by an individual who is not a citizen or resident of the United States (as specifically defined for U.S. federal estate tax purposes) is considered a U.S. situs asset and will be included in the individual’s gross estate for U.S. federal estate tax purposes and, therefore, may be subject to U.S. federal estate tax, unless an applicable estate tax or other treaty between the United States and such individual’s country of residence provides otherwise.</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preceding discussion of U.S. federal tax considerations is for information only. It is not tax advice. Each prospective investor should consult its own tax advisor regarding the particular U.S. federal, state and local and non-U.S. tax consequences of purchasing, holding and disposing of our common stock, including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William Blair &amp; Company, L.L.C. and B. Riley FBR, Inc. are acting as representatives of each of the underwriters named below and as lead book-running managers for this offering. Subject to the terms and conditions set forth in the underwriting agreement among us, the selling shareholder and the underwriters, we and the selling shareholder have agreed to sell to the underwriters, and each of the underwriters has agreed, severally and not jointly, to purchase from us and the selling shareholder, the number of shares of common stock set forth opposite its name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41"/>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0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1,472,591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 Riley FBR, Inc.</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631,111</w:t>
            </w:r>
          </w:p>
        </w:tc>
        <w:tc>
          <w:tcPr>
            <w:tcW w:w="100" w:type="dxa"/>
            <w:vAlign w:val="bottom"/>
            <w:tcBorders>
              <w:bottom w:val="single" w:sz="8" w:color="CCEEFF"/>
            </w:tcBorders>
          </w:tcPr>
          <w:p>
            <w:pPr>
              <w:spacing w:after="0"/>
              <w:rPr>
                <w:sz w:val="20"/>
                <w:szCs w:val="20"/>
                <w:color w:val="auto"/>
              </w:rPr>
            </w:pPr>
          </w:p>
        </w:tc>
      </w:tr>
      <w:tr>
        <w:trPr>
          <w:trHeight w:val="250"/>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2,103,702</w:t>
            </w:r>
          </w:p>
        </w:tc>
      </w:tr>
      <w:tr>
        <w:trPr>
          <w:trHeight w:val="21"/>
        </w:trPr>
        <w:tc>
          <w:tcPr>
            <w:tcW w:w="10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4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We and the selling shareholder have agreed to indemnify the underwriters against certain liabilities, including liabilities under the Securities Act of 1933, as amended, or the Securities Act, or to contribute to payments the underwriters may be required to make in respect of those liabilities.</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supplement and to dealers at that price less a concession not in excess of $0.33 per share. After the initial offering of the shares, the public offering price, concession or any other term of the offering may be changed by the representatives.</w:t>
      </w:r>
    </w:p>
    <w:p>
      <w:pPr>
        <w:spacing w:after="0" w:line="181"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and the selling shareholder. The information assumes either no exercise or full exercise by the underwriters of their option to purchase additional shares of our common stock.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Without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7"/>
                <w:szCs w:val="17"/>
                <w:color w:val="auto"/>
              </w:rPr>
            </w:pPr>
          </w:p>
        </w:tc>
      </w:tr>
      <w:tr>
        <w:trPr>
          <w:trHeight w:val="241"/>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 Share</w:t>
            </w: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24,192,570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Underwriting discounts and commissions paid by us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173,555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the selling shareholder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1,157,036</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1,157,036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2,931,995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shareholder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19,879,984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19,879,984</w:t>
            </w: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$50,000. The selling shareholder has agreed to reimburse the underwriters for up to $30,000 for their counsel fees in connection with clearing the offering with FINRA.</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Each of Roth Capital Partners, LLC, or Roth, and Lake Street Capital Markets, LLC, or Lake Street, is acting as financial advisor in connection with this offering. Neither Roth nor Lake Street is acting as an underwriter in connection with this offering, and accordingly, neither Roth nor Lake Street is either purchasing shares or offering shares to the public in connection with this offering. Each of Roth and Lake Street will receive a fee of $57,851 for their respective services. The fees to Roth and Lake Street will be payable in their entirety out of the underwriting discount and will not be an expense to us in addition to the underwriting discount.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supplement, to purchase up to 315,555 additional shares at the public offering price less the underwriting discounts and commissions. If the underwriters exercise this option, each underwriter will be obligated, subject to conditions contained in the underwriting agreement, to purchase a number of additional shares proportionate to that underwriter’s initial amount reflected in the above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We, our executive officers and directors and the selling shareholder have agreed not to sell or transfer any shares of common stock or securities convertible into or exchangeable or exercisable for shares of common stock, for 90 days after the date of this prospectus supplement without first obtaining the written consent of William Blair &amp; Company, L.L.C., on behalf of the underwriters. Specifically, we and these other persons have agreed, with certain exceptions, not to (i) offer, sell, contract to sell, announce the intention to sell, pledge, grant any option to purchase or otherwise dispose of any of our securities or any securities convertible into or exercisable or exchangeable for, or any rights to purchase or otherwise acquire our securities, (ii) request or demand that we file a registration statement related to the shares of common stock or (iii) publicly announce any of the foregoing.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lock-up provision applies to shares of common stock and to securities convertible into or exchangeable or exercisable for shares of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closing of the offering.</w:t>
      </w:r>
    </w:p>
    <w:p>
      <w:pPr>
        <w:spacing w:after="0" w:line="16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Capital Market, in the over-the-counter market or otherwise.</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Neither we, the selling shareholder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this offering, certain of the underwriters or securities dealers may distribute prospectuses by electronic means, such as e-mail.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5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are currently providing investment banking advice to us and may also make investment recommendations and/or publish or express independent research views in respect of such securities or financial instruments and may hold, or recommend to clients that they acquire, long or short positions in such securities and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the European Economic Area</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shares may be made to the public in that Relevant Member State other than:</w:t>
      </w:r>
    </w:p>
    <w:p>
      <w:pPr>
        <w:spacing w:after="0" w:line="170" w:lineRule="exact"/>
        <w:rPr>
          <w:sz w:val="20"/>
          <w:szCs w:val="20"/>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ind w:left="1040" w:right="40" w:hanging="384"/>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167" w:lineRule="exact"/>
        <w:rPr>
          <w:rFonts w:ascii="Arial" w:cs="Arial" w:eastAsia="Arial" w:hAnsi="Arial"/>
          <w:sz w:val="18"/>
          <w:szCs w:val="18"/>
          <w:color w:val="auto"/>
        </w:rPr>
      </w:pPr>
    </w:p>
    <w:p>
      <w:pPr>
        <w:ind w:left="1040" w:right="20" w:hanging="384"/>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require the Company or the representatives to publish a prospectus pursuant to Article 3 of the Prospectus Directive or supplement a prospectus pursuant to Article 16 of the Prospectus Directive.</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the representatives and each of our affiliates will rely upon the truth and accuracy of the foregoing representations, acknowledgements and agreements.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validity of the common stock being offered in this offering will be passed upon for us by The Doney Law Firm, Las Vegas, Nevada. Certain other matters with respect to this offering will be passed upon for us by Morgan, Lewis &amp; Bockius LLP, Boston, Massachusetts. Certain legal matters will be passed upon for the selling shareholder by Davis &amp; Gilbert LLP, New York, New York and Allen &amp; Overy, Luxembourg. Certain legal matters related to this offering will be passed upon for the underwriters by Goodwin Procter LLP, New York, New York.</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subject to the information requirements of the Exchange Act, and in accordance with the Exchange Act,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 Our website is https://www.optimizerx.com. The information contained on, or that can be accessed through, our website is not a part of this prospectus supplement, and you should not consider any information on, or accessible through, our website as part of this prospectus supplement. We have included our website address in this prospectus supplement solely as an inactive textual reference.</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This prospectus supplement is part of the registration statement on Form S-3 we filed with the SEC under the Securities Act and does not contain all the information set forth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SEC allows us to incorporate by reference into this prospectus supplement the information contained in documents that we file with them,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before the date of this prospectus supplement, while information that we file later with the SEC will automatically update and supersede prior information. Any information so updated and superseded shall not be deemed, except as so updated and superseded, to constitute a part of this prospectus supplement. We incorporate by reference the documents listed below and any future filings we will make with the SEC under Sections 13(a), 13(c), 14 or 15(d) of the Exchange Act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182" w:lineRule="exact"/>
        <w:rPr>
          <w:sz w:val="20"/>
          <w:szCs w:val="20"/>
          <w:color w:val="auto"/>
        </w:rPr>
      </w:pPr>
    </w:p>
    <w:p>
      <w:pPr>
        <w:ind w:left="1040" w:hanging="384"/>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2017, filed with the SEC on March 8, 2018 (the “Form 10-K”);</w:t>
      </w:r>
    </w:p>
    <w:p>
      <w:pPr>
        <w:spacing w:after="0" w:line="236" w:lineRule="exact"/>
        <w:rPr>
          <w:rFonts w:ascii="Arial" w:cs="Arial" w:eastAsia="Arial" w:hAnsi="Arial"/>
          <w:sz w:val="17"/>
          <w:szCs w:val="17"/>
          <w:color w:val="auto"/>
        </w:rPr>
      </w:pPr>
    </w:p>
    <w:p>
      <w:pPr>
        <w:ind w:left="1040" w:right="80" w:hanging="384"/>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June 30, 2018 and September 30, 2018, filed with the SEC on May 2, 2018, August 7, 2018 and November 5, 2018, respectively;</w:t>
      </w:r>
    </w:p>
    <w:p>
      <w:pPr>
        <w:spacing w:after="0" w:line="170" w:lineRule="exact"/>
        <w:rPr>
          <w:rFonts w:ascii="Arial" w:cs="Arial" w:eastAsia="Arial" w:hAnsi="Arial"/>
          <w:sz w:val="18"/>
          <w:szCs w:val="18"/>
          <w:color w:val="auto"/>
        </w:rPr>
      </w:pPr>
    </w:p>
    <w:p>
      <w:pPr>
        <w:ind w:left="1040" w:right="80" w:hanging="384"/>
        <w:spacing w:after="0" w:line="30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January 10, 2018, January 18, 2018, February 2, 2018, February 16, 2018, February 20, 2018, March 5, 2018, March 27, 2018, April 25, 2018, May 3, 2018, May 4, 2018, May 8, 2018, May 9, 2018, May 16, 2018, May 23, 2018, June 13, 2018, June 19, 2018, August 29, 2018, September 13, 2018, September 14, 2018, September 27, 2018, October 10, 2018, October 17, 2018, October 29, 2018, November 7, 2018, November 9, 2018, November 30, 2018, December 10, 2018 and December 17, 2018; and</w:t>
      </w:r>
    </w:p>
    <w:p>
      <w:pPr>
        <w:spacing w:after="0" w:line="154" w:lineRule="exact"/>
        <w:rPr>
          <w:rFonts w:ascii="Arial" w:cs="Arial" w:eastAsia="Arial" w:hAnsi="Arial"/>
          <w:sz w:val="16"/>
          <w:szCs w:val="16"/>
          <w:color w:val="auto"/>
        </w:rPr>
      </w:pPr>
    </w:p>
    <w:p>
      <w:pPr>
        <w:ind w:left="1040" w:right="400" w:hanging="384"/>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description of our common stock contained in the registration statement on Form 8-A, filed on June 19, 2018, and all amendments and reports updating such description.</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supplement) by writing or calling us at the following address and telephone number: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OptimizeRx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Rochester, MI 48307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(248) 651-6568</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authorized anyone to provide you with different information. Neither the selling shareholder nor we are making an offer of these securities in any state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154940</wp:posOffset>
            </wp:positionV>
            <wp:extent cx="2573020" cy="514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30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OptimizeRx Corporation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$40,000,000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2,103,702 Common Shares Offered by the Selling Shareholder</w:t>
      </w:r>
    </w:p>
    <w:p>
      <w:pPr>
        <w:spacing w:after="0" w:line="21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We may offer and sell from time to time common shares, preferred shares, debt securities, warrants or units. We may offer and sell these securities to or through one or more underwriters, dealers and agents, or directly to purchasers, on a continuous or delayed basis. Specific amounts and terms of these securities will be provided in supplements to this prospectus. The aggregate initial offering price of all securities sold by us will not exceed $40,000,000.</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 selling shareholder named in this prospectus (the “selling shareholder”) may from time to time offer and sell up to 2,103,702 of our common shares. The selling shareholder may offer and sell our common shares in public or private transactions, or both. These sales may occur at fixed prices, at market prices prevailing at the time of sale, at prices related to prevailing market prices, or at negotiated prices. See “Plan of Distribution” for more information on how the selling shareholder may conduct sales of our common shares. We will not receive any proceeds from any sale of these common shares by the selling shareholders.</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Each time we or the selling shareholder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3"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3 OF THIS PROSPECTUS AND ANY SIMILAR SECTION CONTAINED IN THE APPLICABLE PROSPECTUS SUPPLEMENT CONCERNING FACTORS YOU SHOULD CONSIDER BEFORE INVESTING IN OUR SECURITIES.</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shares are listed on the Nasdaq Capital Market under the symbol “OPRX.” On December 10, 2018, the last reported sale price of our common shares on the Nasdaq Capital Market was $14.90 per share.</w:t>
      </w:r>
    </w:p>
    <w:p>
      <w:pPr>
        <w:spacing w:after="0" w:line="166"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40" w:type="dxa"/>
            <w:vAlign w:val="bottom"/>
            <w:gridSpan w:val="2"/>
          </w:tcPr>
          <w:p>
            <w:pPr>
              <w:ind w:left="18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OptimizeRx Corporation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top w:val="single" w:sz="8" w:color="0000EE"/>
            </w:tcBorders>
            <w:gridSpan w:val="8"/>
          </w:tcPr>
          <w:p>
            <w:pPr>
              <w:spacing w:after="0" w:line="176"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About This Prospectus</w:t>
              </w:r>
            </w:hyperlink>
          </w:p>
        </w:tc>
        <w:tc>
          <w:tcPr>
            <w:tcW w:w="872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Forward-Looking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Incorporation By Reference</w:t>
              </w:r>
            </w:hyperlink>
          </w:p>
        </w:tc>
        <w:tc>
          <w:tcPr>
            <w:tcW w:w="850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Use of Proceeds</w:t>
              </w:r>
            </w:hyperlink>
          </w:p>
        </w:tc>
        <w:tc>
          <w:tcPr>
            <w:tcW w:w="934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Selling Shareholder</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Share Capital</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Debt Securities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Description of Warrants</w:t>
              </w:r>
            </w:hyperlink>
          </w:p>
        </w:tc>
        <w:tc>
          <w:tcPr>
            <w:tcW w:w="878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Units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Plan of Distribution</w:t>
              </w:r>
            </w:hyperlink>
          </w:p>
        </w:tc>
        <w:tc>
          <w:tcPr>
            <w:tcW w:w="908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Disclosure of Commission Position on Indemnification for Securities Act Liabilities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Neither we nor the selling shareholders have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Neither we nor the selling shareholders are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Unless otherwise indicated or the context otherwise requires, all references in this prospectus to “OptimizeRx Corporation” or the “Company,” “Registrant,” “we,” “our,” “ours,” “us” or similar terms refer to OptimizeRx Corporation, together with its subsidiaries, and, where the context requires, our predecessor entities.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5878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140" cy="587883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jc w:val="both"/>
        <w:ind w:left="100" w:right="260"/>
        <w:spacing w:after="0" w:line="279" w:lineRule="auto"/>
        <w:rPr>
          <w:sz w:val="20"/>
          <w:szCs w:val="20"/>
          <w:color w:val="auto"/>
        </w:rPr>
      </w:pPr>
      <w:r>
        <w:rPr>
          <w:rFonts w:ascii="Arial" w:cs="Arial" w:eastAsia="Arial" w:hAnsi="Arial"/>
          <w:sz w:val="17"/>
          <w:szCs w:val="17"/>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71" w:lineRule="exact"/>
        <w:rPr>
          <w:sz w:val="20"/>
          <w:szCs w:val="20"/>
          <w:color w:val="auto"/>
        </w:rPr>
      </w:pPr>
    </w:p>
    <w:p>
      <w:pPr>
        <w:ind w:left="100" w:right="780"/>
        <w:spacing w:after="0" w:line="342" w:lineRule="auto"/>
        <w:rPr>
          <w:sz w:val="20"/>
          <w:szCs w:val="20"/>
          <w:color w:val="auto"/>
        </w:rPr>
      </w:pPr>
      <w:r>
        <w:rPr>
          <w:rFonts w:ascii="Arial" w:cs="Arial" w:eastAsia="Arial" w:hAnsi="Arial"/>
          <w:sz w:val="16"/>
          <w:szCs w:val="16"/>
          <w:color w:val="auto"/>
        </w:rPr>
        <w:t>Our address 400 Water Street, Suite 200 Rochester, MI 48307. Our telephone number at this address is (248) 651-6568. Our principal website is https://optimizerx.com/. The information contained on, or that can be accessed through, our website is not a part of this prospectus.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process. By using a shelf registration statement, we may sell securities from time to time and in one or more offerings up to a total dollar amount of</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$40,000,000 as described in this prospectus. In addition, under this shelf registration statement, the selling shareholder named in this prospectus may sell,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from time to time, up to 2,103,702 of our common shares. Each time that we or the selling shareholders offer and sell securities, we will provide a</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prospectus supplement to this prospectus that contains specific information about the securities being offered and sold and the specific terms of that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offering. The prospectus supplement may also add, update or change information contained in this prospectus with respect to that offering. If there is any</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inconsistency between the information in this prospectus and the applicable prospectus supplement, you should rely on the prospectus supplement. Before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purchasing any securities, you should carefully read both this prospectus and the applicable prospectus supplement, together with the additional</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information described under the headings “Where You Can Find More Information” and “Incorporation by Reference.”</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00"/>
        <w:spacing w:after="0" w:line="285" w:lineRule="auto"/>
        <w:rPr>
          <w:sz w:val="20"/>
          <w:szCs w:val="20"/>
          <w:color w:val="auto"/>
        </w:rPr>
      </w:pPr>
      <w:r>
        <w:rPr>
          <w:rFonts w:ascii="Arial" w:cs="Arial" w:eastAsia="Arial" w:hAnsi="Arial"/>
          <w:sz w:val="16"/>
          <w:szCs w:val="16"/>
          <w:color w:val="auto"/>
        </w:rPr>
        <w:t>This prospectus, any prospectus supplement and the documents incorporated by reference herein or therein contain forward-looking statements within the meaning of Section 27A of the Securities Act of 1933, as amended (the “Securities Act”), and Section 21E of the Securities Exchange Act of 1934, as amended (the “Exchange Act”). Such statements contained in this prospectus or any prospectus supplement or incorporated by reference herein or therein are based upon current expectations that involve risks and uncertainties. Any statements contained in this prospectus or any prospectus supplement or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those discussed in the “Risk Factors” section, in addition to the other information set forth in this prospectus or any prospectus supplement or incorporated by reference herein or therein. We claim the protection of the safe harbor for forward-looking statements contained in the Private Securities Litigation Reform Act of 1995 for all forward-looking statements. All forward-looking statements contained in this prospectus or any prospectus supplement or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our Annual Report on Form 10-K for the year ended December 31, 2017 and our Quarterly Reports on Form 10-Q for the quarters ended March 31, 2018, June 30, 2018 and September 30, 2018. You should carefully consider the risks described in the “Risk Factors” section, in addition to the other information set forth in this prospectus or any prospectus supplement or incorporated by reference herein or therein, before making an investment decision.</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226" w:right="3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6015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140" cy="60159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00" w:right="40"/>
        <w:spacing w:after="0" w:line="253"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10-K, quarterly reports on Form 10-Q and current reports on Form 8-K.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 We also maintain a website at ir.smartm.com,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shares. We have included our website address in this prospectus solely as an inactive textual reference.</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00" w:right="40"/>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Exchange Act of 1934, as amended, prior to the termination of the offering under this prospectus:</w:t>
      </w:r>
    </w:p>
    <w:p>
      <w:pPr>
        <w:spacing w:after="0" w:line="188" w:lineRule="exact"/>
        <w:rPr>
          <w:sz w:val="20"/>
          <w:szCs w:val="20"/>
          <w:color w:val="auto"/>
        </w:rPr>
      </w:pPr>
    </w:p>
    <w:p>
      <w:pPr>
        <w:ind w:left="760" w:hanging="33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8, 2018;</w:t>
      </w:r>
    </w:p>
    <w:p>
      <w:pPr>
        <w:spacing w:after="0" w:line="23" w:lineRule="exact"/>
        <w:rPr>
          <w:rFonts w:ascii="Arial" w:cs="Arial" w:eastAsia="Arial" w:hAnsi="Arial"/>
          <w:sz w:val="18"/>
          <w:szCs w:val="18"/>
          <w:color w:val="auto"/>
        </w:rPr>
      </w:pPr>
    </w:p>
    <w:p>
      <w:pPr>
        <w:ind w:left="760" w:right="60" w:hanging="333"/>
        <w:spacing w:after="0" w:line="250"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2018, June 30, 2018 and September 30, 2018, filed with the SEC on May 2, 2018, August 7, 2018 and November 5, 2018, respectively;</w:t>
      </w:r>
    </w:p>
    <w:p>
      <w:pPr>
        <w:ind w:left="760" w:right="220" w:hanging="333"/>
        <w:spacing w:after="0" w:line="250"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Reports on Form 8-K or 8-K/A, as the case may be, filed with the SEC on December 10, 2018, October 17, 2018, September 14, 2018, March 27, 2018 and February 2, 2018; and</w:t>
      </w:r>
    </w:p>
    <w:p>
      <w:pPr>
        <w:ind w:left="760" w:right="20" w:hanging="333"/>
        <w:spacing w:after="0" w:line="26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8-A, filed with the SEC on June 19, 2018, including any amendment or reports filed for the purpose of updating such description.</w:t>
      </w:r>
    </w:p>
    <w:p>
      <w:pPr>
        <w:spacing w:after="0" w:line="184" w:lineRule="exact"/>
        <w:rPr>
          <w:sz w:val="20"/>
          <w:szCs w:val="20"/>
          <w:color w:val="auto"/>
        </w:rPr>
      </w:pPr>
    </w:p>
    <w:p>
      <w:pPr>
        <w:ind w:left="100" w:right="80"/>
        <w:spacing w:after="0" w:line="264" w:lineRule="auto"/>
        <w:rPr>
          <w:sz w:val="20"/>
          <w:szCs w:val="20"/>
          <w:color w:val="auto"/>
        </w:rPr>
      </w:pPr>
      <w:r>
        <w:rPr>
          <w:rFonts w:ascii="Arial" w:cs="Arial" w:eastAsia="Arial" w:hAnsi="Arial"/>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7.01 or 8.01 of Form 8-K or certain exhibits furnished pursuant to Item 9.01 of Form 8-K.</w:t>
      </w:r>
    </w:p>
    <w:p>
      <w:pPr>
        <w:spacing w:after="0" w:line="181" w:lineRule="exact"/>
        <w:rPr>
          <w:sz w:val="20"/>
          <w:szCs w:val="20"/>
          <w:color w:val="auto"/>
        </w:rPr>
      </w:pPr>
    </w:p>
    <w:p>
      <w:pPr>
        <w:ind w:left="100" w:right="380"/>
        <w:spacing w:after="0" w:line="277" w:lineRule="auto"/>
        <w:rPr>
          <w:sz w:val="20"/>
          <w:szCs w:val="20"/>
          <w:color w:val="auto"/>
        </w:rPr>
      </w:pPr>
      <w:r>
        <w:rPr>
          <w:rFonts w:ascii="Arial" w:cs="Arial" w:eastAsia="Arial" w:hAnsi="Arial"/>
          <w:sz w:val="18"/>
          <w:szCs w:val="18"/>
          <w:color w:val="auto"/>
        </w:rPr>
        <w:t>You may request, and we will provide you with, a copy of these filings, at no cost, by calling us at (248) 651-6568 or by writing to us at the following address: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An investment in our securities involves significant risks. Before purchasing any securities, you should carefully consider and evaluate all of the information included and incorporated by reference or deemed to be incorporated by reference in this prospectus or the applicable prospectus supplement, including the risk factors incorporated by reference herein from our Annual Report on Form 10-K for the year ended December 31, 2017, as updated by annual, quarterly and other reports and documents we file with the SEC after the date of this prospectus and that are incorporated by reference herein or in the applicable prospectus supplement. Our business, results of operations or financial condition could be adversely affected by any of these risks or by additional risks and uncertainties not currently known to us or that we currently consider immaterial.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Unless otherwise indicated in a prospectus supplement, the net proceeds from the sale of the securities will be used for general corporate purposes, including working capital, acquisitions, retirement of debt and other business opportunities. We will not receive any proceeds from any shares sold by the selling shareholder.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prepared this prospectus to allow the selling shareholder or its transferees to sell or otherwise dispose of, from time to time, up to 2,103,702 common shares. On or about September 24, 2015, the selling shareholder, through a subsidiary company, made a strategic investment in our company and presently owns approximately 18% of the common shares in our company.</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the time of the investment, we entered into an Investor Rights Agreement, which provides, among other things, demand registration rights for its securities, inspection rights over our books and records, observer rights to attend and observe our director meetings, a seat on our board of directors, budget review of our financial plans, right of first refusal in the event we issue new securities and special board approval for certain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WPP has not demanded registration; we have chosen to register these shares on behalf of the selling shareholder.</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Also at the time of the investment, we amended and restated an existing Co-Marketing Agreement with Grey Healthcare Group, LLC (“GHG”) an affiliate of WPP. This agreement was amended to give the GHG the option to receive all or part of the compensation due under the agreement in our common shares. In March of 2018, we issued 100,000 shares of our common stock to a subsidiary of WPP related to the finalization and termination of the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The following table sets forth the activity between us and WPP in 2017 and 2016.</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6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3,696,214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1,542,411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1,108,585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24,519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Accounts payable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 recorded to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401,596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177,372</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447,670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127,458</w:t>
            </w:r>
          </w:p>
        </w:tc>
      </w:tr>
    </w:tbl>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table below presents information regarding the selling shareholder and the common shares that they may sell or otherwise dispose of from time to time under this prospectus. Percentages of beneficial ownership are based upon 12,014,185 common shares issued and outstanding as of December 10, 2018. Beneficial ownership is determined under Section 13(d) of the Exchange Act and generally includes voting or investment power with respect to securities and including any securities that grant the selling shareholder the right to acquire common shares within 60 days of December 10, 2018. Unless otherwise noted, each person or group identified possesses sole voting and investment power with respect to the shares, subject to community property laws where applicable.</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do not know when or in what amounts the selling shareholder may sell or otherwise dispose of the shares covered hereby. We currently have no agreements, arrangements or understandings with the selling shareholder regarding the sale or other disposition of any of the shares by them other than the registration rights agreement described above. The selling shareholder might not sell any or all of the shares covered by this prospectus or may sell or dispose of some or all of the shares other than pursuant to this prospectus. Because the selling shareholder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 after completion of the offering. For purposes of determining the beneficial ownership of the selling shareholder after this offering, we have assumed that all of the shares covered hereby have been sold pursuant to the registration statement of which this prospectus forms a part.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89"/>
              </w:rPr>
              <w:t>Common</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to be</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89"/>
              </w:rPr>
              <w:t>Beneficially</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Sold Pursuant</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93"/>
              </w:rPr>
              <w:t>Owned Prior</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 this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Owned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Owned</w:t>
            </w:r>
          </w:p>
        </w:tc>
      </w:tr>
      <w:tr>
        <w:trPr>
          <w:trHeight w:val="241"/>
        </w:trPr>
        <w:tc>
          <w:tcPr>
            <w:tcW w:w="4540" w:type="dxa"/>
            <w:vAlign w:val="bottom"/>
          </w:tcPr>
          <w:p>
            <w:pPr>
              <w:spacing w:after="0"/>
              <w:rPr>
                <w:sz w:val="20"/>
                <w:szCs w:val="20"/>
                <w:color w:val="auto"/>
              </w:rPr>
            </w:pPr>
            <w:r>
              <w:rPr>
                <w:rFonts w:ascii="Arial" w:cs="Arial" w:eastAsia="Arial" w:hAnsi="Arial"/>
                <w:sz w:val="18"/>
                <w:szCs w:val="18"/>
                <w:b w:val="1"/>
                <w:bCs w:val="1"/>
                <w:color w:val="auto"/>
              </w:rPr>
              <w:t>Name of Selling Shareholder</w:t>
            </w:r>
          </w:p>
        </w:tc>
        <w:tc>
          <w:tcPr>
            <w:tcW w:w="282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3"/>
              </w:rPr>
              <w:t>to Offering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Prospectus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After Offering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After Offering</w:t>
            </w:r>
          </w:p>
        </w:tc>
      </w:tr>
      <w:tr>
        <w:trPr>
          <w:trHeight w:val="216"/>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WPP Luxembourg Gamma Three S.a r.l.</w:t>
            </w: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5" w:lineRule="exact"/>
        <w:rPr>
          <w:sz w:val="20"/>
          <w:szCs w:val="20"/>
          <w:color w:val="auto"/>
        </w:rPr>
      </w:pPr>
    </w:p>
    <w:p>
      <w:pPr>
        <w:sectPr>
          <w:pgSz w:w="11900" w:h="16838" w:orient="portrait"/>
          <w:cols w:equalWidth="0" w:num="1">
            <w:col w:w="11420"/>
          </w:cols>
          <w:pgMar w:left="240" w:top="226" w:right="239" w:bottom="1064"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064" w:gutter="0" w:footer="0" w:header="0"/>
          <w:type w:val="continuous"/>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authorized capital stock consists of 166,666,667 shares of common stock and 10,000,000 shares of preferred stock, par value $0.001 per share. As of December 10, 2018, there were 12,014,185 shares of our common stock issued and outstanding and 0 shares of our preferred stock issued and outstanding. Our Board of Directors approved a one for three reverse stock split that became effective May 14, 2018. The effects of this reverse split have been retroactively reflected in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46"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ind w:left="660" w:right="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ind w:left="660" w:right="50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2, 2018, we entered into a registration rights agreement with certain investors pursuant to which we agreed to register for resale the 1,666,669 shares of common stock (the “Registrable Securities”) acquired by the investors in an offering that closed on May 4, 2018.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filed a registration statement covering these shares in a post-effective amendment to Form S-1 on Form S-3, filed with the SEC on July 3,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right="7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Demand Registration Rights</w:t>
      </w:r>
      <w:r>
        <w:rPr>
          <w:rFonts w:ascii="Arial" w:cs="Arial" w:eastAsia="Arial" w:hAnsi="Arial"/>
          <w:sz w:val="18"/>
          <w:szCs w:val="18"/>
          <w:color w:val="auto"/>
        </w:rPr>
        <w:t>. We granted the Investor registration rights for the 2,003,702 acquired from us and any securities acquired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an Amended and Restated Co-Marketing Agreement after a period of two years.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right="28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Inspection Rights</w:t>
      </w:r>
      <w:r>
        <w:rPr>
          <w:rFonts w:ascii="Arial" w:cs="Arial" w:eastAsia="Arial" w:hAnsi="Arial"/>
          <w:sz w:val="18"/>
          <w:szCs w:val="18"/>
          <w:color w:val="auto"/>
        </w:rPr>
        <w:t>. So long as the Investor owns not less than 25% of the Shares, we granted the Investor an annual right to inspect our books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records.</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ind w:left="660" w:right="1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Board Seat</w:t>
      </w:r>
      <w:r>
        <w:rPr>
          <w:rFonts w:ascii="Arial" w:cs="Arial" w:eastAsia="Arial" w:hAnsi="Arial"/>
          <w:sz w:val="18"/>
          <w:szCs w:val="18"/>
          <w:color w:val="auto"/>
        </w:rPr>
        <w:t>. So long as the Investor owns not less than 25% of the Shares, we agreed to appoint a nominee of the Investor as a member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We also agreed to a five member Board of Directors provided that it is not prohibited by the rules and regulations of an exchange that we trade on. We also agreed to enter into an Indemnity Agreement with the nominee.</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Budget Review</w:t>
      </w:r>
      <w:r>
        <w:rPr>
          <w:rFonts w:ascii="Arial" w:cs="Arial" w:eastAsia="Arial" w:hAnsi="Arial"/>
          <w:sz w:val="18"/>
          <w:szCs w:val="18"/>
          <w:color w:val="auto"/>
        </w:rPr>
        <w:t>. So long as the Investor owns not less than 25% of the Shares, we agreed to review our budget plans with the Investor’s nominee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submission to the Board of Directors, at the request of the Investor.</w:t>
      </w: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 We agreed that, in the event that it proposes to sell new securities, we will first offer such new securities to the Investor.</w:t>
      </w:r>
    </w:p>
    <w:p>
      <w:pPr>
        <w:spacing w:after="0" w:line="32" w:lineRule="exact"/>
        <w:rPr>
          <w:rFonts w:ascii="Arial" w:cs="Arial" w:eastAsia="Arial" w:hAnsi="Arial"/>
          <w:sz w:val="16"/>
          <w:szCs w:val="16"/>
          <w:color w:val="auto"/>
        </w:rPr>
      </w:pPr>
    </w:p>
    <w:p>
      <w:pPr>
        <w:ind w:left="660" w:right="500" w:hanging="328"/>
        <w:spacing w:after="0" w:line="32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Special Approval Matters</w:t>
      </w:r>
      <w:r>
        <w:rPr>
          <w:rFonts w:ascii="Arial" w:cs="Arial" w:eastAsia="Arial" w:hAnsi="Arial"/>
          <w:sz w:val="16"/>
          <w:szCs w:val="16"/>
          <w:color w:val="auto"/>
        </w:rPr>
        <w:t>. So long as the Investor owns not less than 25% of the Shares, and provided that it is not prohibited by the rules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of an exchange that we trades on, we agreed that 80% Board approval will be required for certain decisions, including:</w:t>
      </w:r>
    </w:p>
    <w:p>
      <w:pPr>
        <w:spacing w:after="0" w:line="166"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9" w:lineRule="exact"/>
        <w:rPr>
          <w:rFonts w:ascii="Arial" w:cs="Arial" w:eastAsia="Arial" w:hAnsi="Arial"/>
          <w:sz w:val="18"/>
          <w:szCs w:val="18"/>
          <w:color w:val="auto"/>
        </w:rPr>
      </w:pPr>
    </w:p>
    <w:p>
      <w:pPr>
        <w:ind w:left="1300" w:right="4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ind w:left="1300" w:right="14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ind w:left="130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ind w:left="1300" w:right="32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ind w:left="1300" w:right="240" w:hanging="320"/>
        <w:spacing w:after="0" w:line="25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 issued and outstanding capital stock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WPP has not demanded registration; we have chosen to register these shares on behalf of the selling shareholder.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outstanding warrants to purchase our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options outstanding to purchase 1,444,464 shares of our common stock at a weighted average exercise price of $3.62 as of September 30,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Nasdaq Capital Market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Any debt securities we may issue will constitute either senior or subordinated debt of our company. Any debt securities that are sold may be exchangeable for and/or convertible into common shares or any of the other securities that may be sold under this prospectus. Any debt securities will be issued under an indenture between us and a trustee we will designate, or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preferred shares, common shares or any combination of such securities.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and/or the selling shareholder, including its pledgees, donees, transferees, distributees, beneficiaries or other successors in interest, if applicable, may sell the securities in one or more of the following ways (or in any combination) from time to time:</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one or more block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ordinary brokerage transactions or transactions in which a broker solicits purchases;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 pledge of the securities for any loan or obligation, including pledges to brokers or dealers who may from time to time effect distributions of the securities, and, in the case of any collateral call or default on such loan or obligation, pledges or sales of the securities by such pledges or secured parties;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one or more exchanges or over the counter market transactions;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distribution by a selling shareholder or its successor in interest to its members, general or limited partners or shareholders (or their respective members, general or limited partners or shareholders);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the writing of options, whether the options are listed on an options exchange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distributions to creditors and equityholders or the selling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agents;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necessary, the prospectus supplement will state the terms of the offering of the securities,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or names of any selling shareholder;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details regarding over-allotment options under which underwriters may purchase additional securities from us,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we and/or the selling shareholder, if applicable, use underwriters or broker-dealers in the sale, the securities will be acquired by the underwriters or broker-dealers, as applicable, for their own account and may be resold from time to time in one or more transactions, including:</w:t>
      </w:r>
    </w:p>
    <w:p>
      <w:pPr>
        <w:spacing w:after="0" w:line="1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market offerings,” within the meaning of Rule 415(a)(4) of the Securities Act, to or through a market maker or into an existing trading market, on an exchange or otherwise;</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and/or the selling shareholder, if applicable, may sell the securities through agents from time to time. The prospectus supplement will name any agent involved in the offer or sale of the securities and any commissions we pay to them. Generally, any agent will be acting on a best-efforts basis for the period of its appointment.</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and/or the selling shareholder, if applicable,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Underwriters and agents may be entitled under agreements entered into with us and/or the selling shareholders, if applicable, to indemnification by us and/or the selling shareholders,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us and our affiliates in the ordinary course of business.</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selling shareholder may also resell all or a portion of its securities in open market transactions in reliance upon Rule 144 under the Securities Act, provided it meets the criteria and conforms to the requirements of Rule 144 and all applicable laws and regulations.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selling shareholder that is an entity may elect to make a pro rata in-kind distribution of shares of our common stock to its members, partners or stockholders pursuant to the registration statement of which this prospectus forms a part by delivering a prospectus. To the extent that such members, partners or stockholders are not affiliates of such selling shareholder, such members, partners or stockholders would thereby receive freely tradeable shares of our common stock pursuant to the distribution through a registration statement.</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selling shareholder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securities covered by this prospectus, including in short sale transactions and by issuing securities that are not covered by this prospectus but are exchangeable for or represent beneficial interests in our common shares. The third parties also may use shares of the common shares received under those sale, forward sale or derivative arrangements or shares of the common shares pledged by the selling shareholder or borrowed from the selling shareholders or others to settle such third-party sales or to close out any related open borrowings of our common shares.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w:t>
      </w:r>
    </w:p>
    <w:p>
      <w:pPr>
        <w:spacing w:after="0" w:line="1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the selling shareholder may engage in hedging transactions with broker-dealers in connection with distributions of the securities or otherwise. In those transactions, broker-dealers may engage in short sales of securities in the course of hedging the positions they assume with selling shareholders. The selling shareholder may also sell securities short and redeliver securities to close out such short positions. The selling shareholder may also enter into option or other transactions with broker-dealers which require the delivery of securities to the broker-dealer. The broker-dealer may then resell or otherwise transfer such securities pursuant to this prospectus. The selling shareholders also may loan or pledge the securities, and the borrower or pledgee may sell or otherwise transfer the securities so loaned or pledged pursuant to this prospectus. Such borrower or pledgee also may transfer those securities to investors in our securities or the selling shareholders’ securities or in connection with the offering of other securities not covered by this prospectus.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series of securities other than the common shares, which is listed on the Nasdaq Capital Market, and any series of debt securities outstanding on the date hereof, will be a new issue of securities and will have no established trading market. Any underwriters to whom securities are sold for public offering and sale may make a market in the securities, but such underwriters will not be obligated to do so and may discontinue any market making at any time without notice. The securities, other than the common shares, may or may not be listed on a national securities exchange.</w:t>
      </w:r>
    </w:p>
    <w:p>
      <w:pPr>
        <w:sectPr>
          <w:pgSz w:w="11900" w:h="16838" w:orient="portrait"/>
          <w:cols w:equalWidth="0" w:num="1">
            <w:col w:w="11400"/>
          </w:cols>
          <w:pgMar w:left="240" w:top="226" w:right="25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SECURITIES ACT LIABILITIES</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2,103,702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148590</wp:posOffset>
            </wp:positionV>
            <wp:extent cx="2573020" cy="514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730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748665</wp:posOffset>
            </wp:positionV>
            <wp:extent cx="18097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148590</wp:posOffset>
            </wp:positionV>
            <wp:extent cx="18097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196" w:lineRule="exact"/>
        <w:rPr>
          <w:sz w:val="20"/>
          <w:szCs w:val="20"/>
          <w:color w:val="auto"/>
        </w:rPr>
      </w:pPr>
    </w:p>
    <w:p>
      <w:pPr>
        <w:spacing w:after="0"/>
        <w:tabs>
          <w:tab w:leader="none" w:pos="9780" w:val="left"/>
        </w:tabs>
        <w:rPr>
          <w:sz w:val="20"/>
          <w:szCs w:val="20"/>
          <w:color w:val="auto"/>
        </w:rPr>
      </w:pPr>
      <w:r>
        <w:rPr>
          <w:rFonts w:ascii="Arial" w:cs="Arial" w:eastAsia="Arial" w:hAnsi="Arial"/>
          <w:sz w:val="29"/>
          <w:szCs w:val="29"/>
          <w:b w:val="1"/>
          <w:bCs w:val="1"/>
          <w:color w:val="auto"/>
        </w:rPr>
        <w:t>William Blair</w:t>
      </w:r>
      <w:r>
        <w:rPr>
          <w:sz w:val="20"/>
          <w:szCs w:val="20"/>
          <w:color w:val="auto"/>
        </w:rPr>
        <w:tab/>
      </w:r>
      <w:r>
        <w:rPr>
          <w:rFonts w:ascii="Arial" w:cs="Arial" w:eastAsia="Arial" w:hAnsi="Arial"/>
          <w:sz w:val="26"/>
          <w:szCs w:val="26"/>
          <w:b w:val="1"/>
          <w:bCs w:val="1"/>
          <w:color w:val="auto"/>
        </w:rPr>
        <w:t>B. Riley FBR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160020</wp:posOffset>
            </wp:positionV>
            <wp:extent cx="18097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upperLetter"/>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o"/>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2019-12-07T14:52:48Z</dcterms:created>
  <dcterms:modified xsi:type="dcterms:W3CDTF">2019-12-07T14:52:48Z</dcterms:modified>
</cp:coreProperties>
</file>