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33" w:lineRule="exact"/>
        <w:rPr>
          <w:sz w:val="24"/>
          <w:szCs w:val="24"/>
          <w:color w:val="auto"/>
        </w:rPr>
      </w:pPr>
    </w:p>
    <w:p>
      <w:pPr>
        <w:jc w:val="both"/>
        <w:ind w:left="660" w:right="9180" w:hanging="4"/>
        <w:spacing w:after="0" w:line="276" w:lineRule="auto"/>
        <w:tabs>
          <w:tab w:leader="none" w:pos="894" w:val="left"/>
        </w:tabs>
        <w:numPr>
          <w:ilvl w:val="1"/>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jc w:val="both"/>
        <w:spacing w:after="0"/>
        <w:rPr>
          <w:rFonts w:ascii="Arial" w:cs="Arial" w:eastAsia="Arial" w:hAnsi="Arial"/>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463" w:right="239" w:bottom="1440" w:gutter="0" w:footer="0" w:header="0"/>
        </w:sectPr>
      </w:pPr>
    </w:p>
    <w:bookmarkStart w:id="1" w:name="page2"/>
    <w:bookmarkEnd w:id="1"/>
    <w:p>
      <w:pPr>
        <w:ind w:left="100"/>
        <w:spacing w:after="0"/>
        <w:rPr>
          <w:sz w:val="20"/>
          <w:szCs w:val="20"/>
          <w:color w:val="auto"/>
        </w:rPr>
      </w:pPr>
      <w:r>
        <w:rPr>
          <w:rFonts w:ascii="Arial" w:cs="Arial" w:eastAsia="Arial" w:hAnsi="Arial"/>
          <w:sz w:val="22"/>
          <w:szCs w:val="22"/>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jc w:val="right"/>
              <w:spacing w:after="0"/>
              <w:rPr>
                <w:sz w:val="20"/>
                <w:szCs w:val="20"/>
                <w:color w:val="auto"/>
              </w:rPr>
            </w:pPr>
            <w:r>
              <w:rPr>
                <w:rFonts w:ascii="Arial" w:cs="Arial" w:eastAsia="Arial" w:hAnsi="Arial"/>
                <w:sz w:val="22"/>
                <w:szCs w:val="22"/>
                <w:color w:val="auto"/>
                <w:w w:val="89"/>
              </w:rPr>
              <w:t>(1)</w:t>
            </w:r>
          </w:p>
        </w:tc>
        <w:tc>
          <w:tcPr>
            <w:tcW w:w="5960" w:type="dxa"/>
            <w:vAlign w:val="bottom"/>
          </w:tcPr>
          <w:p>
            <w:pPr>
              <w:ind w:left="40"/>
              <w:spacing w:after="0"/>
              <w:rPr>
                <w:sz w:val="20"/>
                <w:szCs w:val="20"/>
                <w:color w:val="auto"/>
              </w:rPr>
            </w:pPr>
            <w:r>
              <w:rPr>
                <w:rFonts w:ascii="Arial" w:cs="Arial" w:eastAsia="Arial" w:hAnsi="Arial"/>
                <w:sz w:val="22"/>
                <w:szCs w:val="22"/>
                <w:color w:val="auto"/>
              </w:rPr>
              <w:t>Names of Reporting Persons</w:t>
            </w:r>
          </w:p>
        </w:tc>
        <w:tc>
          <w:tcPr>
            <w:tcW w:w="190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5960" w:type="dxa"/>
            <w:vAlign w:val="bottom"/>
          </w:tcPr>
          <w:p>
            <w:pPr>
              <w:ind w:left="740"/>
              <w:spacing w:after="0"/>
              <w:rPr>
                <w:sz w:val="20"/>
                <w:szCs w:val="20"/>
                <w:color w:val="auto"/>
              </w:rPr>
            </w:pPr>
            <w:r>
              <w:rPr>
                <w:rFonts w:ascii="Arial" w:cs="Arial" w:eastAsia="Arial" w:hAnsi="Arial"/>
                <w:sz w:val="22"/>
                <w:szCs w:val="22"/>
                <w:color w:val="auto"/>
              </w:rPr>
              <w:t>Park West Asset Management LLC</w:t>
            </w:r>
          </w:p>
        </w:tc>
        <w:tc>
          <w:tcPr>
            <w:tcW w:w="19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59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r>
      <w:tr>
        <w:trPr>
          <w:trHeight w:val="323"/>
        </w:trPr>
        <w:tc>
          <w:tcPr>
            <w:tcW w:w="280" w:type="dxa"/>
            <w:vAlign w:val="bottom"/>
          </w:tcPr>
          <w:p>
            <w:pPr>
              <w:jc w:val="right"/>
              <w:spacing w:after="0"/>
              <w:rPr>
                <w:sz w:val="20"/>
                <w:szCs w:val="20"/>
                <w:color w:val="auto"/>
              </w:rPr>
            </w:pPr>
            <w:r>
              <w:rPr>
                <w:rFonts w:ascii="Arial" w:cs="Arial" w:eastAsia="Arial" w:hAnsi="Arial"/>
                <w:sz w:val="22"/>
                <w:szCs w:val="22"/>
                <w:color w:val="auto"/>
                <w:w w:val="89"/>
              </w:rPr>
              <w:t>(2)</w:t>
            </w:r>
          </w:p>
        </w:tc>
        <w:tc>
          <w:tcPr>
            <w:tcW w:w="5960" w:type="dxa"/>
            <w:vAlign w:val="bottom"/>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900" w:type="dxa"/>
            <w:vAlign w:val="bottom"/>
          </w:tcPr>
          <w:p>
            <w:pPr>
              <w:ind w:left="1420"/>
              <w:spacing w:after="0"/>
              <w:rPr>
                <w:sz w:val="20"/>
                <w:szCs w:val="20"/>
                <w:color w:val="auto"/>
              </w:rPr>
            </w:pPr>
            <w:r>
              <w:rPr>
                <w:rFonts w:ascii="Arial" w:cs="Arial" w:eastAsia="Arial" w:hAnsi="Arial"/>
                <w:sz w:val="22"/>
                <w:szCs w:val="22"/>
                <w:color w:val="auto"/>
              </w:rPr>
              <w:t>(a) [</w:t>
            </w:r>
          </w:p>
        </w:tc>
        <w:tc>
          <w:tcPr>
            <w:tcW w:w="3280" w:type="dxa"/>
            <w:vAlign w:val="bottom"/>
          </w:tcPr>
          <w:p>
            <w:pPr>
              <w:jc w:val="right"/>
              <w:ind w:right="2992"/>
              <w:spacing w:after="0"/>
              <w:rPr>
                <w:sz w:val="20"/>
                <w:szCs w:val="20"/>
                <w:color w:val="auto"/>
              </w:rPr>
            </w:pPr>
            <w:r>
              <w:rPr>
                <w:rFonts w:ascii="Arial" w:cs="Arial" w:eastAsia="Arial" w:hAnsi="Arial"/>
                <w:sz w:val="22"/>
                <w:szCs w:val="22"/>
                <w:color w:val="auto"/>
              </w:rPr>
              <w:t>]</w:t>
            </w:r>
          </w:p>
        </w:tc>
      </w:tr>
      <w:tr>
        <w:trPr>
          <w:trHeight w:val="275"/>
        </w:trPr>
        <w:tc>
          <w:tcPr>
            <w:tcW w:w="28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1900" w:type="dxa"/>
            <w:vAlign w:val="bottom"/>
          </w:tcPr>
          <w:p>
            <w:pPr>
              <w:ind w:left="1420"/>
              <w:spacing w:after="0"/>
              <w:rPr>
                <w:sz w:val="20"/>
                <w:szCs w:val="20"/>
                <w:color w:val="auto"/>
              </w:rPr>
            </w:pPr>
            <w:r>
              <w:rPr>
                <w:rFonts w:ascii="Arial" w:cs="Arial" w:eastAsia="Arial" w:hAnsi="Arial"/>
                <w:sz w:val="22"/>
                <w:szCs w:val="22"/>
                <w:color w:val="auto"/>
              </w:rPr>
              <w:t>(b) [</w:t>
            </w:r>
          </w:p>
        </w:tc>
        <w:tc>
          <w:tcPr>
            <w:tcW w:w="3280" w:type="dxa"/>
            <w:vAlign w:val="bottom"/>
          </w:tcPr>
          <w:p>
            <w:pPr>
              <w:jc w:val="right"/>
              <w:ind w:right="297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0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90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510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254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10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860" w:type="dxa"/>
            <w:vAlign w:val="bottom"/>
          </w:tcPr>
          <w:p>
            <w:pPr>
              <w:jc w:val="right"/>
              <w:spacing w:after="0"/>
              <w:rPr>
                <w:sz w:val="20"/>
                <w:szCs w:val="20"/>
                <w:color w:val="auto"/>
              </w:rPr>
            </w:pPr>
            <w:r>
              <w:rPr>
                <w:rFonts w:ascii="Arial" w:cs="Arial" w:eastAsia="Arial" w:hAnsi="Arial"/>
                <w:sz w:val="22"/>
                <w:szCs w:val="22"/>
                <w:color w:val="auto"/>
              </w:rPr>
              <w:t>2,030,000*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510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510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2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020" w:right="5340" w:hanging="1012"/>
        <w:spacing w:after="0" w:line="353" w:lineRule="auto"/>
        <w:tabs>
          <w:tab w:leader="none" w:pos="311"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2,030,000*</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  ]</w:t>
      </w:r>
    </w:p>
    <w:p>
      <w:pPr>
        <w:spacing w:after="0" w:line="238" w:lineRule="exact"/>
        <w:rPr>
          <w:rFonts w:ascii="Arial" w:cs="Arial" w:eastAsia="Arial" w:hAnsi="Arial"/>
          <w:sz w:val="22"/>
          <w:szCs w:val="22"/>
          <w:color w:val="auto"/>
        </w:rPr>
      </w:pPr>
    </w:p>
    <w:p>
      <w:pPr>
        <w:ind w:left="420" w:hanging="412"/>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ind w:firstLine="8"/>
        <w:spacing w:after="0" w:line="270" w:lineRule="auto"/>
        <w:tabs>
          <w:tab w:leader="none" w:pos="162" w:val="left"/>
        </w:tabs>
        <w:numPr>
          <w:ilvl w:val="0"/>
          <w:numId w:val="5"/>
        </w:numPr>
        <w:rPr>
          <w:rFonts w:ascii="Arial" w:cs="Arial" w:eastAsia="Arial" w:hAnsi="Arial"/>
          <w:sz w:val="17"/>
          <w:szCs w:val="17"/>
          <w:color w:val="auto"/>
        </w:rPr>
      </w:pPr>
      <w:r>
        <w:rPr>
          <w:rFonts w:ascii="Arial" w:cs="Arial" w:eastAsia="Arial" w:hAnsi="Arial"/>
          <w:sz w:val="17"/>
          <w:szCs w:val="17"/>
          <w:color w:val="auto"/>
        </w:rPr>
        <w:t>Beneficial ownership percentage is based upon 34,636,831 shares of common stock, $0.001 par value per share (“Common Stock”), of OptimizeRx Corporation, a Nevada corporation (the “Company”), issued and outstanding as of the filing date of this report (the “Filing Date”), based on information from the Company and other public information. Park West Asset Management LLC (“PWAM”) is the investment manager to Park West Investors Master Fund, Limited, a Cayman Islands exempted company (“PWIMF”), and Park West Partners International, Limited, a Cayman Islands exempted company (“PWPI” and, collectively with PWIMF, the “PW Funds”), and Peter S. Park (“Mr. Park” and, collectively with PWAM and PWIMF, the “Reporting Persons”) is the sole member and manager of PWAM. As of May 4, 2018, PWIMF held 1,823,801 shares of Common Stock and PWPI held 206,199 shares of Common Stock. As a result of the foregoing, for purposes of Reg. Section 240.13d-3, PWAM and Mr. Park may be deemed to beneficially own the 2,030,000 shares of Common Stock held in the aggregate by the PW Funds for an aggregate beneficial ownership percentage of approximately 5.9% of the shares of Common Stock deemed issued and outstanding as of May 4, 2018.</w:t>
      </w:r>
    </w:p>
    <w:p>
      <w:pPr>
        <w:sectPr>
          <w:pgSz w:w="11900" w:h="16838" w:orient="portrait"/>
          <w:cols w:equalWidth="0" w:num="1">
            <w:col w:w="11420"/>
          </w:cols>
          <w:pgMar w:left="240" w:top="712" w:right="239" w:bottom="1440" w:gutter="0" w:footer="0" w:header="0"/>
        </w:sectPr>
      </w:pPr>
    </w:p>
    <w:bookmarkStart w:id="2" w:name="page3"/>
    <w:bookmarkEnd w:id="2"/>
    <w:p>
      <w:pPr>
        <w:ind w:left="100"/>
        <w:spacing w:after="0"/>
        <w:rPr>
          <w:sz w:val="20"/>
          <w:szCs w:val="20"/>
          <w:color w:val="auto"/>
        </w:rPr>
      </w:pPr>
      <w:r>
        <w:rPr>
          <w:rFonts w:ascii="Arial" w:cs="Arial" w:eastAsia="Arial" w:hAnsi="Arial"/>
          <w:sz w:val="22"/>
          <w:szCs w:val="22"/>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jc w:val="right"/>
              <w:spacing w:after="0"/>
              <w:rPr>
                <w:sz w:val="20"/>
                <w:szCs w:val="20"/>
                <w:color w:val="auto"/>
              </w:rPr>
            </w:pPr>
            <w:r>
              <w:rPr>
                <w:rFonts w:ascii="Arial" w:cs="Arial" w:eastAsia="Arial" w:hAnsi="Arial"/>
                <w:sz w:val="22"/>
                <w:szCs w:val="22"/>
                <w:color w:val="auto"/>
                <w:w w:val="89"/>
              </w:rPr>
              <w:t>(1)</w:t>
            </w:r>
          </w:p>
        </w:tc>
        <w:tc>
          <w:tcPr>
            <w:tcW w:w="5960" w:type="dxa"/>
            <w:vAlign w:val="bottom"/>
          </w:tcPr>
          <w:p>
            <w:pPr>
              <w:ind w:left="40"/>
              <w:spacing w:after="0"/>
              <w:rPr>
                <w:sz w:val="20"/>
                <w:szCs w:val="20"/>
                <w:color w:val="auto"/>
              </w:rPr>
            </w:pPr>
            <w:r>
              <w:rPr>
                <w:rFonts w:ascii="Arial" w:cs="Arial" w:eastAsia="Arial" w:hAnsi="Arial"/>
                <w:sz w:val="22"/>
                <w:szCs w:val="22"/>
                <w:color w:val="auto"/>
              </w:rPr>
              <w:t>Names of Reporting Persons</w:t>
            </w:r>
          </w:p>
        </w:tc>
        <w:tc>
          <w:tcPr>
            <w:tcW w:w="190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5960" w:type="dxa"/>
            <w:vAlign w:val="bottom"/>
          </w:tcPr>
          <w:p>
            <w:pPr>
              <w:ind w:left="740"/>
              <w:spacing w:after="0"/>
              <w:rPr>
                <w:sz w:val="20"/>
                <w:szCs w:val="20"/>
                <w:color w:val="auto"/>
              </w:rPr>
            </w:pPr>
            <w:r>
              <w:rPr>
                <w:rFonts w:ascii="Arial" w:cs="Arial" w:eastAsia="Arial" w:hAnsi="Arial"/>
                <w:sz w:val="22"/>
                <w:szCs w:val="22"/>
                <w:color w:val="auto"/>
              </w:rPr>
              <w:t>Park West Investors Master Fund, Limited</w:t>
            </w:r>
          </w:p>
        </w:tc>
        <w:tc>
          <w:tcPr>
            <w:tcW w:w="19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59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r>
      <w:tr>
        <w:trPr>
          <w:trHeight w:val="323"/>
        </w:trPr>
        <w:tc>
          <w:tcPr>
            <w:tcW w:w="280" w:type="dxa"/>
            <w:vAlign w:val="bottom"/>
          </w:tcPr>
          <w:p>
            <w:pPr>
              <w:jc w:val="right"/>
              <w:spacing w:after="0"/>
              <w:rPr>
                <w:sz w:val="20"/>
                <w:szCs w:val="20"/>
                <w:color w:val="auto"/>
              </w:rPr>
            </w:pPr>
            <w:r>
              <w:rPr>
                <w:rFonts w:ascii="Arial" w:cs="Arial" w:eastAsia="Arial" w:hAnsi="Arial"/>
                <w:sz w:val="22"/>
                <w:szCs w:val="22"/>
                <w:color w:val="auto"/>
                <w:w w:val="89"/>
              </w:rPr>
              <w:t>(2)</w:t>
            </w:r>
          </w:p>
        </w:tc>
        <w:tc>
          <w:tcPr>
            <w:tcW w:w="5960" w:type="dxa"/>
            <w:vAlign w:val="bottom"/>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900" w:type="dxa"/>
            <w:vAlign w:val="bottom"/>
          </w:tcPr>
          <w:p>
            <w:pPr>
              <w:ind w:left="1420"/>
              <w:spacing w:after="0"/>
              <w:rPr>
                <w:sz w:val="20"/>
                <w:szCs w:val="20"/>
                <w:color w:val="auto"/>
              </w:rPr>
            </w:pPr>
            <w:r>
              <w:rPr>
                <w:rFonts w:ascii="Arial" w:cs="Arial" w:eastAsia="Arial" w:hAnsi="Arial"/>
                <w:sz w:val="22"/>
                <w:szCs w:val="22"/>
                <w:color w:val="auto"/>
              </w:rPr>
              <w:t>(a) [</w:t>
            </w:r>
          </w:p>
        </w:tc>
        <w:tc>
          <w:tcPr>
            <w:tcW w:w="3280" w:type="dxa"/>
            <w:vAlign w:val="bottom"/>
          </w:tcPr>
          <w:p>
            <w:pPr>
              <w:jc w:val="right"/>
              <w:ind w:right="2992"/>
              <w:spacing w:after="0"/>
              <w:rPr>
                <w:sz w:val="20"/>
                <w:szCs w:val="20"/>
                <w:color w:val="auto"/>
              </w:rPr>
            </w:pPr>
            <w:r>
              <w:rPr>
                <w:rFonts w:ascii="Arial" w:cs="Arial" w:eastAsia="Arial" w:hAnsi="Arial"/>
                <w:sz w:val="22"/>
                <w:szCs w:val="22"/>
                <w:color w:val="auto"/>
              </w:rPr>
              <w:t>]</w:t>
            </w:r>
          </w:p>
        </w:tc>
      </w:tr>
      <w:tr>
        <w:trPr>
          <w:trHeight w:val="275"/>
        </w:trPr>
        <w:tc>
          <w:tcPr>
            <w:tcW w:w="28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1900" w:type="dxa"/>
            <w:vAlign w:val="bottom"/>
          </w:tcPr>
          <w:p>
            <w:pPr>
              <w:ind w:left="1420"/>
              <w:spacing w:after="0"/>
              <w:rPr>
                <w:sz w:val="20"/>
                <w:szCs w:val="20"/>
                <w:color w:val="auto"/>
              </w:rPr>
            </w:pPr>
            <w:r>
              <w:rPr>
                <w:rFonts w:ascii="Arial" w:cs="Arial" w:eastAsia="Arial" w:hAnsi="Arial"/>
                <w:sz w:val="22"/>
                <w:szCs w:val="22"/>
                <w:color w:val="auto"/>
              </w:rPr>
              <w:t>(b) [</w:t>
            </w:r>
          </w:p>
        </w:tc>
        <w:tc>
          <w:tcPr>
            <w:tcW w:w="3280" w:type="dxa"/>
            <w:vAlign w:val="bottom"/>
          </w:tcPr>
          <w:p>
            <w:pPr>
              <w:jc w:val="right"/>
              <w:ind w:right="297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0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90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510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254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10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860" w:type="dxa"/>
            <w:vAlign w:val="bottom"/>
          </w:tcPr>
          <w:p>
            <w:pPr>
              <w:jc w:val="right"/>
              <w:spacing w:after="0"/>
              <w:rPr>
                <w:sz w:val="20"/>
                <w:szCs w:val="20"/>
                <w:color w:val="auto"/>
              </w:rPr>
            </w:pPr>
            <w:r>
              <w:rPr>
                <w:rFonts w:ascii="Arial" w:cs="Arial" w:eastAsia="Arial" w:hAnsi="Arial"/>
                <w:sz w:val="22"/>
                <w:szCs w:val="22"/>
                <w:color w:val="auto"/>
              </w:rPr>
              <w:t>1,823,801*</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510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510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2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1,823,801*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020" w:right="5340" w:hanging="1012"/>
        <w:spacing w:after="0" w:line="353" w:lineRule="auto"/>
        <w:tabs>
          <w:tab w:leader="none" w:pos="311"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1,823,801*</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  ]</w:t>
      </w:r>
    </w:p>
    <w:p>
      <w:pPr>
        <w:spacing w:after="0" w:line="238" w:lineRule="exact"/>
        <w:rPr>
          <w:rFonts w:ascii="Arial" w:cs="Arial" w:eastAsia="Arial" w:hAnsi="Arial"/>
          <w:sz w:val="22"/>
          <w:szCs w:val="22"/>
          <w:color w:val="auto"/>
        </w:rPr>
      </w:pPr>
    </w:p>
    <w:p>
      <w:pPr>
        <w:ind w:left="420" w:hanging="412"/>
        <w:spacing w:after="0"/>
        <w:tabs>
          <w:tab w:leader="none" w:pos="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ind w:firstLine="112"/>
        <w:spacing w:after="0" w:line="276"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Beneficial ownership percentage is based upon 34,636,831 shares of Common Stock of the Company issued and outstanding as of the Filing Date, based on information from the Company and other public information. PWAM is the investment manager to the PW Funds, and Mr. Park is the sole member and manager of PWAM. As of May 4, 2018, PWIMF held 1,823,801 shares of Common Stock. As a result of the foregoing, for purposes of Reg. Section 240.13d-3, PWIMF may be deemed to beneficially own 1,823,801 shares of Common Stock of the Company for an aggregate beneficial ownership percentage of approximately 5.3% of the shares of Common Stock deemed issued and outstanding as of May 4, 2018.</w:t>
      </w:r>
    </w:p>
    <w:p>
      <w:pPr>
        <w:sectPr>
          <w:pgSz w:w="11900" w:h="16838" w:orient="portrait"/>
          <w:cols w:equalWidth="0" w:num="1">
            <w:col w:w="11420"/>
          </w:cols>
          <w:pgMar w:left="240" w:top="645" w:right="239" w:bottom="1440" w:gutter="0" w:footer="0" w:header="0"/>
        </w:sectPr>
      </w:pPr>
    </w:p>
    <w:bookmarkStart w:id="3" w:name="page4"/>
    <w:bookmarkEnd w:id="3"/>
    <w:p>
      <w:pPr>
        <w:ind w:left="100"/>
        <w:spacing w:after="0"/>
        <w:rPr>
          <w:sz w:val="20"/>
          <w:szCs w:val="20"/>
          <w:color w:val="auto"/>
        </w:rPr>
      </w:pPr>
      <w:r>
        <w:rPr>
          <w:rFonts w:ascii="Arial" w:cs="Arial" w:eastAsia="Arial" w:hAnsi="Arial"/>
          <w:sz w:val="22"/>
          <w:szCs w:val="22"/>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jc w:val="right"/>
              <w:spacing w:after="0"/>
              <w:rPr>
                <w:sz w:val="20"/>
                <w:szCs w:val="20"/>
                <w:color w:val="auto"/>
              </w:rPr>
            </w:pPr>
            <w:r>
              <w:rPr>
                <w:rFonts w:ascii="Arial" w:cs="Arial" w:eastAsia="Arial" w:hAnsi="Arial"/>
                <w:sz w:val="22"/>
                <w:szCs w:val="22"/>
                <w:color w:val="auto"/>
                <w:w w:val="89"/>
              </w:rPr>
              <w:t>(1)</w:t>
            </w:r>
          </w:p>
        </w:tc>
        <w:tc>
          <w:tcPr>
            <w:tcW w:w="5960" w:type="dxa"/>
            <w:vAlign w:val="bottom"/>
          </w:tcPr>
          <w:p>
            <w:pPr>
              <w:ind w:left="40"/>
              <w:spacing w:after="0"/>
              <w:rPr>
                <w:sz w:val="20"/>
                <w:szCs w:val="20"/>
                <w:color w:val="auto"/>
              </w:rPr>
            </w:pPr>
            <w:r>
              <w:rPr>
                <w:rFonts w:ascii="Arial" w:cs="Arial" w:eastAsia="Arial" w:hAnsi="Arial"/>
                <w:sz w:val="22"/>
                <w:szCs w:val="22"/>
                <w:color w:val="auto"/>
              </w:rPr>
              <w:t>Names of Reporting Persons</w:t>
            </w:r>
          </w:p>
        </w:tc>
        <w:tc>
          <w:tcPr>
            <w:tcW w:w="190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5960" w:type="dxa"/>
            <w:vAlign w:val="bottom"/>
          </w:tcPr>
          <w:p>
            <w:pPr>
              <w:ind w:left="740"/>
              <w:spacing w:after="0"/>
              <w:rPr>
                <w:sz w:val="20"/>
                <w:szCs w:val="20"/>
                <w:color w:val="auto"/>
              </w:rPr>
            </w:pPr>
            <w:r>
              <w:rPr>
                <w:rFonts w:ascii="Arial" w:cs="Arial" w:eastAsia="Arial" w:hAnsi="Arial"/>
                <w:sz w:val="22"/>
                <w:szCs w:val="22"/>
                <w:color w:val="auto"/>
              </w:rPr>
              <w:t>Peter S. Park</w:t>
            </w:r>
          </w:p>
        </w:tc>
        <w:tc>
          <w:tcPr>
            <w:tcW w:w="19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59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r>
      <w:tr>
        <w:trPr>
          <w:trHeight w:val="323"/>
        </w:trPr>
        <w:tc>
          <w:tcPr>
            <w:tcW w:w="280" w:type="dxa"/>
            <w:vAlign w:val="bottom"/>
          </w:tcPr>
          <w:p>
            <w:pPr>
              <w:jc w:val="right"/>
              <w:spacing w:after="0"/>
              <w:rPr>
                <w:sz w:val="20"/>
                <w:szCs w:val="20"/>
                <w:color w:val="auto"/>
              </w:rPr>
            </w:pPr>
            <w:r>
              <w:rPr>
                <w:rFonts w:ascii="Arial" w:cs="Arial" w:eastAsia="Arial" w:hAnsi="Arial"/>
                <w:sz w:val="22"/>
                <w:szCs w:val="22"/>
                <w:color w:val="auto"/>
                <w:w w:val="89"/>
              </w:rPr>
              <w:t>(2)</w:t>
            </w:r>
          </w:p>
        </w:tc>
        <w:tc>
          <w:tcPr>
            <w:tcW w:w="5960" w:type="dxa"/>
            <w:vAlign w:val="bottom"/>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900" w:type="dxa"/>
            <w:vAlign w:val="bottom"/>
          </w:tcPr>
          <w:p>
            <w:pPr>
              <w:ind w:left="1420"/>
              <w:spacing w:after="0"/>
              <w:rPr>
                <w:sz w:val="20"/>
                <w:szCs w:val="20"/>
                <w:color w:val="auto"/>
              </w:rPr>
            </w:pPr>
            <w:r>
              <w:rPr>
                <w:rFonts w:ascii="Arial" w:cs="Arial" w:eastAsia="Arial" w:hAnsi="Arial"/>
                <w:sz w:val="22"/>
                <w:szCs w:val="22"/>
                <w:color w:val="auto"/>
              </w:rPr>
              <w:t>(a) [</w:t>
            </w:r>
          </w:p>
        </w:tc>
        <w:tc>
          <w:tcPr>
            <w:tcW w:w="3280" w:type="dxa"/>
            <w:vAlign w:val="bottom"/>
          </w:tcPr>
          <w:p>
            <w:pPr>
              <w:jc w:val="right"/>
              <w:ind w:right="2992"/>
              <w:spacing w:after="0"/>
              <w:rPr>
                <w:sz w:val="20"/>
                <w:szCs w:val="20"/>
                <w:color w:val="auto"/>
              </w:rPr>
            </w:pPr>
            <w:r>
              <w:rPr>
                <w:rFonts w:ascii="Arial" w:cs="Arial" w:eastAsia="Arial" w:hAnsi="Arial"/>
                <w:sz w:val="22"/>
                <w:szCs w:val="22"/>
                <w:color w:val="auto"/>
              </w:rPr>
              <w:t>]</w:t>
            </w:r>
          </w:p>
        </w:tc>
      </w:tr>
      <w:tr>
        <w:trPr>
          <w:trHeight w:val="275"/>
        </w:trPr>
        <w:tc>
          <w:tcPr>
            <w:tcW w:w="28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1900" w:type="dxa"/>
            <w:vAlign w:val="bottom"/>
          </w:tcPr>
          <w:p>
            <w:pPr>
              <w:ind w:left="1420"/>
              <w:spacing w:after="0"/>
              <w:rPr>
                <w:sz w:val="20"/>
                <w:szCs w:val="20"/>
                <w:color w:val="auto"/>
              </w:rPr>
            </w:pPr>
            <w:r>
              <w:rPr>
                <w:rFonts w:ascii="Arial" w:cs="Arial" w:eastAsia="Arial" w:hAnsi="Arial"/>
                <w:sz w:val="22"/>
                <w:szCs w:val="22"/>
                <w:color w:val="auto"/>
              </w:rPr>
              <w:t>(b) [</w:t>
            </w:r>
          </w:p>
        </w:tc>
        <w:tc>
          <w:tcPr>
            <w:tcW w:w="3280" w:type="dxa"/>
            <w:vAlign w:val="bottom"/>
          </w:tcPr>
          <w:p>
            <w:pPr>
              <w:jc w:val="right"/>
              <w:ind w:right="297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020" w:right="7960" w:hanging="1012"/>
        <w:spacing w:after="0" w:line="447" w:lineRule="auto"/>
        <w:tabs>
          <w:tab w:leader="none" w:pos="311" w:val="left"/>
        </w:tabs>
        <w:numPr>
          <w:ilvl w:val="0"/>
          <w:numId w:val="10"/>
        </w:numPr>
        <w:rPr>
          <w:rFonts w:ascii="Arial" w:cs="Arial" w:eastAsia="Arial" w:hAnsi="Arial"/>
          <w:sz w:val="19"/>
          <w:szCs w:val="19"/>
          <w:color w:val="auto"/>
        </w:rPr>
      </w:pPr>
      <w:r>
        <w:rPr>
          <w:rFonts w:ascii="Arial" w:cs="Arial" w:eastAsia="Arial" w:hAnsi="Arial"/>
          <w:sz w:val="19"/>
          <w:szCs w:val="19"/>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800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90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510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254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10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860" w:type="dxa"/>
            <w:vAlign w:val="bottom"/>
          </w:tcPr>
          <w:p>
            <w:pPr>
              <w:jc w:val="right"/>
              <w:spacing w:after="0"/>
              <w:rPr>
                <w:sz w:val="20"/>
                <w:szCs w:val="20"/>
                <w:color w:val="auto"/>
              </w:rPr>
            </w:pPr>
            <w:r>
              <w:rPr>
                <w:rFonts w:ascii="Arial" w:cs="Arial" w:eastAsia="Arial" w:hAnsi="Arial"/>
                <w:sz w:val="22"/>
                <w:szCs w:val="22"/>
                <w:color w:val="auto"/>
              </w:rPr>
              <w:t>2,030,000*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510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86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510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2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020" w:right="5340" w:hanging="1012"/>
        <w:spacing w:after="0" w:line="353" w:lineRule="auto"/>
        <w:tabs>
          <w:tab w:leader="none" w:pos="311" w:val="left"/>
        </w:tabs>
        <w:numPr>
          <w:ilvl w:val="0"/>
          <w:numId w:val="11"/>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2,030,000*</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  ]</w:t>
      </w:r>
    </w:p>
    <w:p>
      <w:pPr>
        <w:spacing w:after="0" w:line="238" w:lineRule="exact"/>
        <w:rPr>
          <w:rFonts w:ascii="Arial" w:cs="Arial" w:eastAsia="Arial" w:hAnsi="Arial"/>
          <w:sz w:val="22"/>
          <w:szCs w:val="22"/>
          <w:color w:val="auto"/>
        </w:rPr>
      </w:pPr>
    </w:p>
    <w:p>
      <w:pPr>
        <w:ind w:left="420" w:hanging="412"/>
        <w:spacing w:after="0"/>
        <w:tabs>
          <w:tab w:leader="none" w:pos="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ind w:firstLine="8"/>
        <w:spacing w:after="0" w:line="255" w:lineRule="auto"/>
        <w:tabs>
          <w:tab w:leader="none" w:pos="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ownership percentage is based upon 34,636,831 shares of Common Stock of the Company issued and outstanding as of the Filing Date, based on information from the Company and other public information. PWAM is the investment manager to the PW Funds, and Mr. Park is the sole member and manager of PWAM. As of May 4, 2018, PWIMF held 1,823,801 shares of Common Stock and PWPI held 206,199 shares of Common Stock. As a result of the foregoing, for purposes of Reg. Section 240.13d-3, PWAM and Mr. Park may be deemed to beneficially own the 2,030,000 shares of Common Stock held in the aggregate by the PW Funds for an aggregate beneficial ownership percentage of approximately 5.9% of the shares of Common Stock deemed issued and outstanding as of May 4, 2018.</w:t>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 xml:space="preserve">Item 1(a). Name Of Issuer: </w:t>
      </w:r>
      <w:r>
        <w:rPr>
          <w:rFonts w:ascii="Arial" w:cs="Arial" w:eastAsia="Arial" w:hAnsi="Arial"/>
          <w:sz w:val="22"/>
          <w:szCs w:val="22"/>
          <w:color w:val="auto"/>
        </w:rPr>
        <w:t>OptimizeRx Corporation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400 Water Street, Suite 200</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Rochester, MI 48307</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104" w:lineRule="exact"/>
        <w:rPr>
          <w:sz w:val="20"/>
          <w:szCs w:val="20"/>
          <w:color w:val="auto"/>
        </w:rPr>
      </w:pPr>
    </w:p>
    <w:p>
      <w:pPr>
        <w:jc w:val="both"/>
        <w:ind w:left="920" w:firstLine="648"/>
        <w:spacing w:after="0" w:line="277" w:lineRule="auto"/>
        <w:rPr>
          <w:sz w:val="20"/>
          <w:szCs w:val="20"/>
          <w:color w:val="auto"/>
        </w:rPr>
      </w:pPr>
      <w:r>
        <w:rPr>
          <w:rFonts w:ascii="Arial" w:cs="Arial" w:eastAsia="Arial" w:hAnsi="Arial"/>
          <w:sz w:val="19"/>
          <w:szCs w:val="19"/>
          <w:color w:val="auto"/>
        </w:rPr>
        <w:t>This report on Schedule 13G (this “Schedule 13G”), is being jointly filed by (i) Park West Asset Management LLC (“PWAM”), a Delaware limited liability company and the investment manager to (a) Park West Investors Master Fund, Limited (“PWIMF”), a Cayman Islands exempted company that is the holder of 1,823,801 shares of common stock, $0.001 par value per share (“Common Stock”), of the Company and (b) Park West Partners International, Limited (“PWPI” and, collectively with PWIMF, the “PW Funds”), a Cayman Islands exempted company that is the holder of 206,199 shares of Common Stock; (ii) PWIMF; and (iii) Peter S. Park, as the sole member and manager of PWAM (“Mr. Park” and, collectively with PWAM and PWIMF, the “Reporting Persons”).</w:t>
      </w:r>
    </w:p>
    <w:p>
      <w:pPr>
        <w:spacing w:after="0" w:line="180" w:lineRule="exact"/>
        <w:rPr>
          <w:sz w:val="20"/>
          <w:szCs w:val="20"/>
          <w:color w:val="auto"/>
        </w:rPr>
      </w:pPr>
    </w:p>
    <w:p>
      <w:pPr>
        <w:jc w:val="both"/>
        <w:ind w:left="920" w:firstLine="648"/>
        <w:spacing w:after="0" w:line="252" w:lineRule="auto"/>
        <w:rPr>
          <w:sz w:val="20"/>
          <w:szCs w:val="20"/>
          <w:color w:val="auto"/>
        </w:rPr>
      </w:pPr>
      <w:r>
        <w:rPr>
          <w:rFonts w:ascii="Arial" w:cs="Arial" w:eastAsia="Arial" w:hAnsi="Arial"/>
          <w:sz w:val="21"/>
          <w:szCs w:val="21"/>
          <w:color w:val="auto"/>
        </w:rPr>
        <w:t>The 2,030,000 shares of Common Stock of the Company held in the aggregate by the PW Funds, which constitute approximately 5.9% of the shares of Common Stock of the Company deemed to be issued and outstanding as of the date hereof, may be deemed to be beneficially owned (x) indirectly by PWAM, as the investment manager to the PW Funds, and (y) indirectly by Mr. Park, as the managing member of PWAM.</w:t>
      </w:r>
    </w:p>
    <w:p>
      <w:pPr>
        <w:spacing w:after="0" w:line="201" w:lineRule="exact"/>
        <w:rPr>
          <w:sz w:val="20"/>
          <w:szCs w:val="20"/>
          <w:color w:val="auto"/>
        </w:rPr>
      </w:pPr>
    </w:p>
    <w:p>
      <w:pPr>
        <w:jc w:val="both"/>
        <w:ind w:left="920" w:firstLine="648"/>
        <w:spacing w:after="0" w:line="251" w:lineRule="auto"/>
        <w:rPr>
          <w:sz w:val="20"/>
          <w:szCs w:val="20"/>
          <w:color w:val="auto"/>
        </w:rPr>
      </w:pPr>
      <w:r>
        <w:rPr>
          <w:rFonts w:ascii="Arial" w:cs="Arial" w:eastAsia="Arial" w:hAnsi="Arial"/>
          <w:sz w:val="22"/>
          <w:szCs w:val="22"/>
          <w:color w:val="auto"/>
        </w:rPr>
        <w:t>As of May 4, 2018, PWIMF held 1,823,801 shares of Common Stock, constituting approximately 5.3% of the Common Stock deemed to be issued and outstanding as of May 4, 2018.</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address for the Reporting Persons is: 900 Larkspur Landing Circle, Suite 165, Larkspur, California 94939.</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PWAM is organized under the laws of the State of Delaware. PWIMF is a Cayman Islands exempted company.</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Mr. Park is a citizen of the United States.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$0.001 par value per share.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68401U105</w:t>
      </w:r>
    </w:p>
    <w:p>
      <w:pPr>
        <w:sectPr>
          <w:pgSz w:w="11900" w:h="16838" w:orient="portrait"/>
          <w:cols w:equalWidth="0" w:num="1">
            <w:col w:w="11320"/>
          </w:cols>
          <w:pgMar w:left="240" w:top="1125" w:right="339" w:bottom="1440" w:gutter="0" w:footer="0" w:header="0"/>
        </w:sectPr>
      </w:pPr>
    </w:p>
    <w:bookmarkStart w:id="5" w:name="page6"/>
    <w:bookmarkEnd w:id="5"/>
    <w:p>
      <w:pPr>
        <w:ind w:left="740" w:right="120" w:hanging="728"/>
        <w:spacing w:after="0" w:line="256" w:lineRule="auto"/>
        <w:rPr>
          <w:sz w:val="20"/>
          <w:szCs w:val="20"/>
          <w:color w:val="auto"/>
        </w:rPr>
      </w:pPr>
      <w:r>
        <w:rPr>
          <w:rFonts w:ascii="Arial" w:cs="Arial" w:eastAsia="Arial" w:hAnsi="Arial"/>
          <w:sz w:val="22"/>
          <w:szCs w:val="22"/>
          <w:b w:val="1"/>
          <w:bCs w:val="1"/>
          <w:color w:val="auto"/>
        </w:rPr>
        <w:t>Item 3. If This Statement Is Filed Pursuant to Section 240.13d-1(b) or 240.13d-2(b) or (c), check whether the Person Filing is a:</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1"/>
          <w:szCs w:val="21"/>
          <w:color w:val="auto"/>
        </w:rPr>
        <w:t>As reported in the cover pages to this report, the ownership information with respect to each of PWAM and Mr.</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Park is as follows:</w:t>
      </w:r>
    </w:p>
    <w:p>
      <w:pPr>
        <w:spacing w:after="0" w:line="323"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7360" w:type="dxa"/>
            <w:vAlign w:val="bottom"/>
          </w:tcPr>
          <w:p>
            <w:pPr>
              <w:ind w:left="140"/>
              <w:spacing w:after="0"/>
              <w:rPr>
                <w:sz w:val="20"/>
                <w:szCs w:val="20"/>
                <w:color w:val="auto"/>
              </w:rPr>
            </w:pPr>
            <w:r>
              <w:rPr>
                <w:rFonts w:ascii="Arial" w:cs="Arial" w:eastAsia="Arial" w:hAnsi="Arial"/>
                <w:sz w:val="22"/>
                <w:szCs w:val="22"/>
                <w:color w:val="auto"/>
              </w:rPr>
              <w:t>Amount Beneficially Owned:</w:t>
            </w:r>
          </w:p>
        </w:tc>
        <w:tc>
          <w:tcPr>
            <w:tcW w:w="2240" w:type="dxa"/>
            <w:vAlign w:val="bottom"/>
          </w:tcPr>
          <w:p>
            <w:pPr>
              <w:jc w:val="right"/>
              <w:spacing w:after="0"/>
              <w:rPr>
                <w:sz w:val="20"/>
                <w:szCs w:val="20"/>
                <w:color w:val="auto"/>
              </w:rPr>
            </w:pPr>
            <w:r>
              <w:rPr>
                <w:rFonts w:ascii="Arial" w:cs="Arial" w:eastAsia="Arial" w:hAnsi="Arial"/>
                <w:sz w:val="22"/>
                <w:szCs w:val="22"/>
                <w:color w:val="auto"/>
              </w:rPr>
              <w:t>2,030,000*</w:t>
            </w:r>
          </w:p>
        </w:tc>
      </w:tr>
      <w:tr>
        <w:trPr>
          <w:trHeight w:val="351"/>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7360" w:type="dxa"/>
            <w:vAlign w:val="bottom"/>
          </w:tcPr>
          <w:p>
            <w:pPr>
              <w:ind w:left="100"/>
              <w:spacing w:after="0"/>
              <w:rPr>
                <w:sz w:val="20"/>
                <w:szCs w:val="20"/>
                <w:color w:val="auto"/>
              </w:rPr>
            </w:pPr>
            <w:r>
              <w:rPr>
                <w:rFonts w:ascii="Arial" w:cs="Arial" w:eastAsia="Arial" w:hAnsi="Arial"/>
                <w:sz w:val="22"/>
                <w:szCs w:val="22"/>
                <w:color w:val="auto"/>
              </w:rPr>
              <w:t>Percent of Class:</w:t>
            </w:r>
          </w:p>
        </w:tc>
        <w:tc>
          <w:tcPr>
            <w:tcW w:w="22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51"/>
        </w:trPr>
        <w:tc>
          <w:tcPr>
            <w:tcW w:w="772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2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   Sole power to vote or to direct the vote:</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(ii)   Shared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2,030,000*</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(iii)   Sole power to dispose or to direct the disposition of:</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(iv)   Shared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2,030,000*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Arial" w:cs="Arial" w:eastAsia="Arial" w:hAnsi="Arial"/>
          <w:sz w:val="21"/>
          <w:szCs w:val="21"/>
          <w:color w:val="auto"/>
        </w:rPr>
        <w:t>As reported in the cover pages to this report, the ownership information with respect to PWIMF is as follows:</w:t>
      </w:r>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7360" w:type="dxa"/>
            <w:vAlign w:val="bottom"/>
          </w:tcPr>
          <w:p>
            <w:pPr>
              <w:ind w:left="140"/>
              <w:spacing w:after="0"/>
              <w:rPr>
                <w:sz w:val="20"/>
                <w:szCs w:val="20"/>
                <w:color w:val="auto"/>
              </w:rPr>
            </w:pPr>
            <w:r>
              <w:rPr>
                <w:rFonts w:ascii="Arial" w:cs="Arial" w:eastAsia="Arial" w:hAnsi="Arial"/>
                <w:sz w:val="22"/>
                <w:szCs w:val="22"/>
                <w:color w:val="auto"/>
              </w:rPr>
              <w:t>Amount Beneficially Owned:</w:t>
            </w:r>
          </w:p>
        </w:tc>
        <w:tc>
          <w:tcPr>
            <w:tcW w:w="2240" w:type="dxa"/>
            <w:vAlign w:val="bottom"/>
          </w:tcPr>
          <w:p>
            <w:pPr>
              <w:jc w:val="right"/>
              <w:spacing w:after="0"/>
              <w:rPr>
                <w:sz w:val="20"/>
                <w:szCs w:val="20"/>
                <w:color w:val="auto"/>
              </w:rPr>
            </w:pPr>
            <w:r>
              <w:rPr>
                <w:rFonts w:ascii="Arial" w:cs="Arial" w:eastAsia="Arial" w:hAnsi="Arial"/>
                <w:sz w:val="22"/>
                <w:szCs w:val="22"/>
                <w:color w:val="auto"/>
              </w:rPr>
              <w:t>1,823,801*</w:t>
            </w:r>
          </w:p>
        </w:tc>
      </w:tr>
      <w:tr>
        <w:trPr>
          <w:trHeight w:val="351"/>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7360" w:type="dxa"/>
            <w:vAlign w:val="bottom"/>
          </w:tcPr>
          <w:p>
            <w:pPr>
              <w:ind w:left="100"/>
              <w:spacing w:after="0"/>
              <w:rPr>
                <w:sz w:val="20"/>
                <w:szCs w:val="20"/>
                <w:color w:val="auto"/>
              </w:rPr>
            </w:pPr>
            <w:r>
              <w:rPr>
                <w:rFonts w:ascii="Arial" w:cs="Arial" w:eastAsia="Arial" w:hAnsi="Arial"/>
                <w:sz w:val="22"/>
                <w:szCs w:val="22"/>
                <w:color w:val="auto"/>
              </w:rPr>
              <w:t>Percent of Class:</w:t>
            </w:r>
          </w:p>
        </w:tc>
        <w:tc>
          <w:tcPr>
            <w:tcW w:w="22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772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2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   Sole power to vote or to direct the vote:</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(ii)   Shared power to vote or to direct the vote:</w:t>
            </w:r>
          </w:p>
        </w:tc>
        <w:tc>
          <w:tcPr>
            <w:tcW w:w="2240" w:type="dxa"/>
            <w:vAlign w:val="bottom"/>
          </w:tcPr>
          <w:p>
            <w:pPr>
              <w:jc w:val="right"/>
              <w:spacing w:after="0"/>
              <w:rPr>
                <w:sz w:val="20"/>
                <w:szCs w:val="20"/>
                <w:color w:val="auto"/>
              </w:rPr>
            </w:pPr>
            <w:r>
              <w:rPr>
                <w:rFonts w:ascii="Arial" w:cs="Arial" w:eastAsia="Arial" w:hAnsi="Arial"/>
                <w:sz w:val="22"/>
                <w:szCs w:val="22"/>
                <w:color w:val="auto"/>
              </w:rPr>
              <w:t>1,823,801*</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(iii)   Sole power to dispose or to direct the disposition of:</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6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(iv)   Shared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2"/>
                <w:szCs w:val="22"/>
                <w:color w:val="auto"/>
              </w:rPr>
              <w:t>1,823,801*</w:t>
            </w:r>
          </w:p>
        </w:tc>
      </w:tr>
    </w:tbl>
    <w:p>
      <w:pPr>
        <w:spacing w:after="0" w:line="327" w:lineRule="exact"/>
        <w:rPr>
          <w:sz w:val="20"/>
          <w:szCs w:val="20"/>
          <w:color w:val="auto"/>
        </w:rPr>
      </w:pPr>
    </w:p>
    <w:p>
      <w:pPr>
        <w:jc w:val="both"/>
        <w:ind w:firstLine="8"/>
        <w:spacing w:after="0" w:line="264" w:lineRule="auto"/>
        <w:tabs>
          <w:tab w:leader="none" w:pos="1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being jointly filed by (i) PWAM, a Delaware limited liability company and the investment manager to (a) PWIMF, a Cayman Islands exempted company that is the holder of 1,823,801 shares of Common Stock and (b) PWPI, a Cayman Islands exempted company that is the holder of 206,199 shares of Common Stock; (ii) PWIMF; and (iii) Mr. Park, as the sole member and manager of PWAM.</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2,030,000 shares of Common Stock held in the aggregate by the PW Funds, which constitutes approximately 5.9% of the shares of Common Stock deemed issued and outstanding as of May 4, 2018, may be deemed to be beneficially owned (x) indirectly by PWAM, as the investment adviser to PWIMF and PWPI, and (y) indirectly by Mr. Park, as the sole member and manager of PWAM. The foregoing beneficial ownership percentage is based upon 34,636,831 shares of Common Stock, issued and outstanding as of the Filing Date, based on information from the Company and other public information.</w:t>
      </w:r>
    </w:p>
    <w:p>
      <w:pPr>
        <w:sectPr>
          <w:pgSz w:w="11900" w:h="16838" w:orient="portrait"/>
          <w:cols w:equalWidth="0" w:num="1">
            <w:col w:w="11420"/>
          </w:cols>
          <w:pgMar w:left="240" w:top="814"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jc w:val="both"/>
        <w:ind w:left="920" w:right="20" w:firstLine="632"/>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740" w:right="140" w:hanging="728"/>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jc w:val="both"/>
        <w:ind w:left="920" w:firstLine="63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20"/>
          </w:cols>
          <w:pgMar w:left="240" w:top="99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585"/>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May 14, 2018</w:t>
      </w:r>
    </w:p>
    <w:p>
      <w:pPr>
        <w:spacing w:after="0" w:line="227"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PARK WEST ASSET MANAGEMENT LLC</w:t>
      </w:r>
    </w:p>
    <w:p>
      <w:pPr>
        <w:spacing w:after="0" w:line="200" w:lineRule="exact"/>
        <w:rPr>
          <w:sz w:val="20"/>
          <w:szCs w:val="20"/>
          <w:color w:val="auto"/>
        </w:rPr>
      </w:pPr>
    </w:p>
    <w:p>
      <w:pPr>
        <w:spacing w:after="0" w:line="282" w:lineRule="exact"/>
        <w:rPr>
          <w:sz w:val="20"/>
          <w:szCs w:val="20"/>
          <w:color w:val="auto"/>
        </w:rPr>
      </w:pPr>
    </w:p>
    <w:p>
      <w:pPr>
        <w:ind w:left="5340"/>
        <w:spacing w:after="0"/>
        <w:tabs>
          <w:tab w:leader="none" w:pos="588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7620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2"/>
          <w:szCs w:val="22"/>
          <w:color w:val="auto"/>
        </w:rPr>
        <w:t>Name: Grace Jimenez</w:t>
      </w: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PARK WEST INVESTORS MASTER FUND, LIMITED</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Park West Asset Management LLC, 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38" w:lineRule="exact"/>
        <w:rPr>
          <w:sz w:val="20"/>
          <w:szCs w:val="20"/>
          <w:color w:val="auto"/>
        </w:rPr>
      </w:pPr>
    </w:p>
    <w:p>
      <w:pPr>
        <w:ind w:left="512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7620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Name: Grace Jimenez</w:t>
      </w:r>
    </w:p>
    <w:p>
      <w:pPr>
        <w:ind w:left="5800"/>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7620</wp:posOffset>
            </wp:positionV>
            <wp:extent cx="3961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Peter S. Park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Federal criminal violations (See 18 U.S.C. 1001)</w:t>
      </w:r>
    </w:p>
    <w:p>
      <w:pPr>
        <w:sectPr>
          <w:pgSz w:w="11900" w:h="16838" w:orient="portrait"/>
          <w:cols w:equalWidth="0" w:num="1">
            <w:col w:w="11420"/>
          </w:cols>
          <w:pgMar w:left="240" w:top="8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47" w:lineRule="exact"/>
        <w:rPr>
          <w:sz w:val="20"/>
          <w:szCs w:val="20"/>
          <w:color w:val="auto"/>
        </w:rPr>
      </w:pPr>
    </w:p>
    <w:p>
      <w:pPr>
        <w:ind w:left="1"/>
        <w:spacing w:after="0"/>
        <w:rPr>
          <w:sz w:val="20"/>
          <w:szCs w:val="20"/>
          <w:color w:val="auto"/>
        </w:rPr>
      </w:pPr>
      <w:r>
        <w:rPr>
          <w:rFonts w:ascii="Arial" w:cs="Arial" w:eastAsia="Arial" w:hAnsi="Arial"/>
          <w:sz w:val="22"/>
          <w:szCs w:val="22"/>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-151130</wp:posOffset>
            </wp:positionV>
            <wp:extent cx="7246620" cy="711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98" w:lineRule="exact"/>
        <w:rPr>
          <w:sz w:val="20"/>
          <w:szCs w:val="20"/>
          <w:color w:val="auto"/>
        </w:rPr>
      </w:pPr>
    </w:p>
    <w:p>
      <w:pPr>
        <w:ind w:left="1" w:hanging="1"/>
        <w:spacing w:after="0" w:line="251" w:lineRule="auto"/>
        <w:tabs>
          <w:tab w:leader="none" w:pos="398"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 dated as of May 14, 2018, by and among Park West Asset Management, LLC, Park West Investors Master Fund, Limited, and Peter S. Park.</w:t>
      </w:r>
    </w:p>
    <w:p>
      <w:pPr>
        <w:sectPr>
          <w:pgSz w:w="11900" w:h="16838" w:orient="portrait"/>
          <w:cols w:equalWidth="0" w:num="1">
            <w:col w:w="11181"/>
          </w:cols>
          <w:pgMar w:left="359" w:top="949"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accordance with Rule 13d-1(k) under the Securities Exchange Act of 1934, as amended, the persons named below agree to the joint filing on behalf of them of a statement on Schedule 13G (including amendments thereto) with respect to the shares of Common Stock, $0.001 par value per share, of OptimizeRx Corporation, a Nevada corporation, and further agree that this Joint Filing Agreement be included as Exhibit A to such Schedule 13G. In evidence thereof, the undersigned hereby execute this agreement this 14th day of May, 2018.</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PARK WEST ASSET MANAGEMENT LLC</w:t>
      </w:r>
    </w:p>
    <w:p>
      <w:pPr>
        <w:spacing w:after="0" w:line="200" w:lineRule="exact"/>
        <w:rPr>
          <w:sz w:val="20"/>
          <w:szCs w:val="20"/>
          <w:color w:val="auto"/>
        </w:rPr>
      </w:pPr>
    </w:p>
    <w:p>
      <w:pPr>
        <w:spacing w:after="0" w:line="282" w:lineRule="exact"/>
        <w:rPr>
          <w:sz w:val="20"/>
          <w:szCs w:val="20"/>
          <w:color w:val="auto"/>
        </w:rPr>
      </w:pPr>
    </w:p>
    <w:p>
      <w:pPr>
        <w:ind w:left="5340"/>
        <w:spacing w:after="0"/>
        <w:tabs>
          <w:tab w:leader="none" w:pos="588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7620</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2"/>
          <w:szCs w:val="22"/>
          <w:color w:val="auto"/>
        </w:rPr>
        <w:t>Name: Grace Jimenez</w:t>
      </w: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PARK WEST INVESTORS MASTER FUND, LIMITED</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Park West Asset Management LLC, 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473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38" w:lineRule="exact"/>
        <w:rPr>
          <w:sz w:val="20"/>
          <w:szCs w:val="20"/>
          <w:color w:val="auto"/>
        </w:rPr>
      </w:pPr>
    </w:p>
    <w:p>
      <w:pPr>
        <w:ind w:left="512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7620</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Name: Grace Jimenez</w:t>
      </w:r>
    </w:p>
    <w:p>
      <w:pPr>
        <w:ind w:left="58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7620</wp:posOffset>
            </wp:positionV>
            <wp:extent cx="3961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Peter S. Park</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9"/>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2019-12-16T07:55:36Z</dcterms:created>
  <dcterms:modified xsi:type="dcterms:W3CDTF">2019-12-16T07:55:36Z</dcterms:modified>
</cp:coreProperties>
</file>