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48" w:lineRule="exact"/>
        <w:rPr>
          <w:sz w:val="24"/>
          <w:szCs w:val="24"/>
          <w:color w:val="auto"/>
        </w:rPr>
      </w:pPr>
    </w:p>
    <w:p>
      <w:pPr>
        <w:ind w:left="520" w:hanging="516"/>
        <w:spacing w:after="0"/>
        <w:tabs>
          <w:tab w:leader="none" w:pos="5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7"/>
          <w:szCs w:val="17"/>
          <w:color w:val="auto"/>
        </w:rPr>
        <w:t xml:space="preserve">For the quarterly period ended </w:t>
      </w:r>
      <w:r>
        <w:rPr>
          <w:rFonts w:ascii="Times New Roman" w:cs="Times New Roman" w:eastAsia="Times New Roman" w:hAnsi="Times New Roman"/>
          <w:sz w:val="17"/>
          <w:szCs w:val="17"/>
          <w:u w:val="single" w:color="auto"/>
          <w:color w:val="auto"/>
        </w:rPr>
        <w:t>March 31, 2009</w:t>
      </w:r>
    </w:p>
    <w:p>
      <w:pPr>
        <w:spacing w:after="0" w:line="220" w:lineRule="exact"/>
        <w:rPr>
          <w:sz w:val="24"/>
          <w:szCs w:val="24"/>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Transition Report pursuant to 13 or 15(d) of the Securities Exchange Act of 1934</w:t>
      </w:r>
    </w:p>
    <w:p>
      <w:pPr>
        <w:spacing w:after="0" w:line="220"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7"/>
          <w:szCs w:val="17"/>
          <w:color w:val="auto"/>
        </w:rPr>
        <w:t>For the transition period  to __________</w:t>
      </w:r>
    </w:p>
    <w:p>
      <w:pPr>
        <w:spacing w:after="0" w:line="220" w:lineRule="exact"/>
        <w:rPr>
          <w:sz w:val="24"/>
          <w:szCs w:val="24"/>
          <w:color w:val="auto"/>
        </w:rPr>
      </w:pPr>
    </w:p>
    <w:p>
      <w:pPr>
        <w:ind w:left="57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000-53605</w:t>
      </w:r>
    </w:p>
    <w:p>
      <w:pPr>
        <w:spacing w:after="0" w:line="246"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u w:val="single" w:color="auto"/>
          <w:color w:val="auto"/>
        </w:rPr>
        <w:t>OptimizeRx Cororation</w:t>
      </w:r>
    </w:p>
    <w:p>
      <w:pPr>
        <w:spacing w:after="0" w:line="31"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(Exact name of small business issuer as specified in its charter)</w:t>
      </w:r>
    </w:p>
    <w:p>
      <w:pPr>
        <w:spacing w:after="0" w:line="220"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1720" w:type="dxa"/>
            <w:vAlign w:val="bottom"/>
          </w:tcPr>
          <w:p>
            <w:pPr>
              <w:spacing w:after="0"/>
              <w:rPr>
                <w:sz w:val="17"/>
                <w:szCs w:val="17"/>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Nevada</w:t>
            </w:r>
          </w:p>
        </w:tc>
        <w:tc>
          <w:tcPr>
            <w:tcW w:w="270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color w:val="auto"/>
              </w:rPr>
              <w:t>26-1265381</w:t>
            </w:r>
          </w:p>
        </w:tc>
      </w:tr>
      <w:tr>
        <w:trPr>
          <w:trHeight w:val="20"/>
        </w:trPr>
        <w:tc>
          <w:tcPr>
            <w:tcW w:w="1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7"/>
        </w:trPr>
        <w:tc>
          <w:tcPr>
            <w:tcW w:w="62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36"/>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3"/>
          </w:tcPr>
          <w:p>
            <w:pPr>
              <w:jc w:val="center"/>
              <w:ind w:right="1180"/>
              <w:spacing w:after="0"/>
              <w:rPr>
                <w:sz w:val="20"/>
                <w:szCs w:val="20"/>
                <w:color w:val="auto"/>
              </w:rPr>
            </w:pPr>
            <w:r>
              <w:rPr>
                <w:rFonts w:ascii="Times New Roman" w:cs="Times New Roman" w:eastAsia="Times New Roman" w:hAnsi="Times New Roman"/>
                <w:sz w:val="17"/>
                <w:szCs w:val="17"/>
                <w:color w:val="auto"/>
                <w:w w:val="99"/>
              </w:rPr>
              <w:t>407 6</w:t>
            </w:r>
            <w:r>
              <w:rPr>
                <w:rFonts w:ascii="Times New Roman" w:cs="Times New Roman" w:eastAsia="Times New Roman" w:hAnsi="Times New Roman"/>
                <w:sz w:val="24"/>
                <w:szCs w:val="24"/>
                <w:color w:val="auto"/>
                <w:w w:val="99"/>
                <w:vertAlign w:val="superscript"/>
              </w:rPr>
              <w:t>th</w:t>
            </w:r>
            <w:r>
              <w:rPr>
                <w:rFonts w:ascii="Times New Roman" w:cs="Times New Roman" w:eastAsia="Times New Roman" w:hAnsi="Times New Roman"/>
                <w:sz w:val="17"/>
                <w:szCs w:val="17"/>
                <w:color w:val="auto"/>
                <w:w w:val="99"/>
              </w:rPr>
              <w:t xml:space="preserve"> Street</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7"/>
        </w:trPr>
        <w:tc>
          <w:tcPr>
            <w:tcW w:w="1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20" w:type="dxa"/>
            <w:vAlign w:val="bottom"/>
            <w:gridSpan w:val="4"/>
          </w:tcPr>
          <w:p>
            <w:pPr>
              <w:jc w:val="center"/>
              <w:ind w:right="920"/>
              <w:spacing w:after="0" w:line="187" w:lineRule="exact"/>
              <w:rPr>
                <w:sz w:val="20"/>
                <w:szCs w:val="20"/>
                <w:color w:val="auto"/>
              </w:rPr>
            </w:pPr>
            <w:r>
              <w:rPr>
                <w:rFonts w:ascii="Times New Roman" w:cs="Times New Roman" w:eastAsia="Times New Roman" w:hAnsi="Times New Roman"/>
                <w:sz w:val="17"/>
                <w:szCs w:val="17"/>
                <w:color w:val="auto"/>
              </w:rPr>
              <w:t>Rochester, MI, 48307</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7"/>
        </w:trPr>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40" w:type="dxa"/>
            <w:vAlign w:val="bottom"/>
            <w:gridSpan w:val="5"/>
          </w:tcPr>
          <w:p>
            <w:pPr>
              <w:jc w:val="center"/>
              <w:ind w:left="61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03"/>
        </w:trPr>
        <w:tc>
          <w:tcPr>
            <w:tcW w:w="4120" w:type="dxa"/>
            <w:vAlign w:val="bottom"/>
            <w:gridSpan w:val="4"/>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248-651-6558</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7"/>
        </w:trPr>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40" w:type="dxa"/>
            <w:vAlign w:val="bottom"/>
            <w:gridSpan w:val="5"/>
          </w:tcPr>
          <w:p>
            <w:pPr>
              <w:jc w:val="center"/>
              <w:ind w:left="613"/>
              <w:spacing w:after="0"/>
              <w:rPr>
                <w:sz w:val="20"/>
                <w:szCs w:val="20"/>
                <w:color w:val="auto"/>
              </w:rPr>
            </w:pPr>
            <w:r>
              <w:rPr>
                <w:rFonts w:ascii="Times New Roman" w:cs="Times New Roman" w:eastAsia="Times New Roman" w:hAnsi="Times New Roman"/>
                <w:sz w:val="17"/>
                <w:szCs w:val="17"/>
                <w:color w:val="auto"/>
              </w:rPr>
              <w:t>(Issuer’s telephone number)</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18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w:t>
      </w:r>
    </w:p>
    <w:p>
      <w:pPr>
        <w:spacing w:after="0" w:line="3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228" w:lineRule="exact"/>
        <w:rPr>
          <w:sz w:val="24"/>
          <w:szCs w:val="24"/>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Check whether the issuer (1) filed all reports required to be filed by Section 13 or 15(d) of the Securities Exchange Act of 1934 during the preceding 12 months (or for such shorter period that the issuer was required to file such reports), and (2) has been subject to such filing requirements for the past 90 days [X] Yes [ ] No</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40"/>
          </w:cols>
          <w:pgMar w:left="240" w:top="225" w:right="219" w:bottom="1440" w:gutter="0" w:footer="0" w:header="0"/>
        </w:sectPr>
      </w:pPr>
    </w:p>
    <w:p>
      <w:pPr>
        <w:spacing w:after="0" w:line="246" w:lineRule="exact"/>
        <w:rPr>
          <w:sz w:val="24"/>
          <w:szCs w:val="24"/>
          <w:color w:val="auto"/>
        </w:rPr>
      </w:pPr>
    </w:p>
    <w:p>
      <w:pPr>
        <w:ind w:right="2020"/>
        <w:spacing w:after="0" w:line="293" w:lineRule="auto"/>
        <w:rPr>
          <w:sz w:val="20"/>
          <w:szCs w:val="20"/>
          <w:color w:val="auto"/>
        </w:rPr>
      </w:pPr>
      <w:r>
        <w:rPr>
          <w:rFonts w:ascii="Times New Roman" w:cs="Times New Roman" w:eastAsia="Times New Roman" w:hAnsi="Times New Roman"/>
          <w:sz w:val="17"/>
          <w:szCs w:val="17"/>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 Non-accelerated filer</w:t>
      </w:r>
    </w:p>
    <w:p>
      <w:pPr>
        <w:spacing w:after="0" w:line="453" w:lineRule="exact"/>
        <w:rPr>
          <w:sz w:val="24"/>
          <w:szCs w:val="24"/>
          <w:color w:val="auto"/>
        </w:rPr>
      </w:pPr>
    </w:p>
    <w:p>
      <w:pPr>
        <w:sectPr>
          <w:pgSz w:w="11900" w:h="16838" w:orient="portrait"/>
          <w:cols w:equalWidth="0" w:num="2">
            <w:col w:w="4980" w:space="720"/>
            <w:col w:w="5740"/>
          </w:cols>
          <w:pgMar w:left="240" w:top="225"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Yes [ ]  No [X]</w:t>
      </w:r>
    </w:p>
    <w:p>
      <w:pPr>
        <w:spacing w:after="0" w:line="246" w:lineRule="exact"/>
        <w:rPr>
          <w:sz w:val="24"/>
          <w:szCs w:val="24"/>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State the number of shares outstanding of each of the issuer’s classes of common stock, as of the latest practicable date: 12,422,958 Common Shares as of March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2561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40"/>
          </w:cols>
          <w:pgMar w:left="240" w:top="22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TABLE OF CONTENTS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87"/>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Page</w:t>
            </w:r>
          </w:p>
        </w:tc>
        <w:tc>
          <w:tcPr>
            <w:tcW w:w="1720" w:type="dxa"/>
            <w:vAlign w:val="bottom"/>
          </w:tcPr>
          <w:p>
            <w:pPr>
              <w:spacing w:after="0"/>
              <w:rPr>
                <w:sz w:val="24"/>
                <w:szCs w:val="24"/>
                <w:color w:val="auto"/>
              </w:rPr>
            </w:pPr>
          </w:p>
        </w:tc>
      </w:tr>
      <w:tr>
        <w:trPr>
          <w:trHeight w:val="403"/>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12"/>
          </w:tcPr>
          <w:p>
            <w:pPr>
              <w:jc w:val="center"/>
              <w:ind w:right="166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3"/>
        </w:trPr>
        <w:tc>
          <w:tcPr>
            <w:tcW w:w="1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69"/>
        </w:trPr>
        <w:tc>
          <w:tcPr>
            <w:tcW w:w="1720" w:type="dxa"/>
            <w:vAlign w:val="bottom"/>
          </w:tcPr>
          <w:p>
            <w:pPr>
              <w:spacing w:after="0"/>
              <w:rPr>
                <w:sz w:val="14"/>
                <w:szCs w:val="14"/>
                <w:color w:val="auto"/>
              </w:rPr>
            </w:pPr>
          </w:p>
        </w:tc>
        <w:tc>
          <w:tcPr>
            <w:tcW w:w="500" w:type="dxa"/>
            <w:vAlign w:val="bottom"/>
            <w:shd w:val="clear" w:color="auto" w:fill="CBDBD1"/>
          </w:tcPr>
          <w:p>
            <w:pPr>
              <w:spacing w:after="0" w:line="169" w:lineRule="exact"/>
              <w:rPr>
                <w:rFonts w:ascii="Times New Roman" w:cs="Times New Roman" w:eastAsia="Times New Roman" w:hAnsi="Times New Roman"/>
                <w:sz w:val="17"/>
                <w:szCs w:val="17"/>
                <w:color w:val="0000EE"/>
                <w:w w:val="98"/>
              </w:rPr>
            </w:pPr>
            <w:hyperlink w:anchor="page3">
              <w:r>
                <w:rPr>
                  <w:rFonts w:ascii="Times New Roman" w:cs="Times New Roman" w:eastAsia="Times New Roman" w:hAnsi="Times New Roman"/>
                  <w:sz w:val="17"/>
                  <w:szCs w:val="17"/>
                  <w:color w:val="0000EE"/>
                  <w:w w:val="98"/>
                </w:rPr>
                <w:t>Item 1:</w:t>
              </w:r>
            </w:hyperlink>
          </w:p>
        </w:tc>
        <w:tc>
          <w:tcPr>
            <w:tcW w:w="400" w:type="dxa"/>
            <w:vAlign w:val="bottom"/>
            <w:gridSpan w:val="2"/>
            <w:shd w:val="clear" w:color="auto" w:fill="CBDBD1"/>
          </w:tcPr>
          <w:p>
            <w:pPr>
              <w:spacing w:after="0"/>
              <w:rPr>
                <w:sz w:val="14"/>
                <w:szCs w:val="14"/>
                <w:color w:val="auto"/>
              </w:rPr>
            </w:pPr>
          </w:p>
        </w:tc>
        <w:tc>
          <w:tcPr>
            <w:tcW w:w="6400" w:type="dxa"/>
            <w:vAlign w:val="bottom"/>
            <w:gridSpan w:val="17"/>
            <w:shd w:val="clear" w:color="auto" w:fill="CBDBD1"/>
          </w:tcPr>
          <w:p>
            <w:pPr>
              <w:spacing w:after="0" w:line="169" w:lineRule="exact"/>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Financial Statements</w:t>
              </w:r>
            </w:hyperlink>
          </w:p>
        </w:tc>
        <w:tc>
          <w:tcPr>
            <w:tcW w:w="680" w:type="dxa"/>
            <w:vAlign w:val="bottom"/>
            <w:gridSpan w:val="3"/>
            <w:shd w:val="clear" w:color="auto" w:fill="CBDBD1"/>
          </w:tcPr>
          <w:p>
            <w:pPr>
              <w:jc w:val="center"/>
              <w:spacing w:after="0" w:line="169" w:lineRule="exact"/>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3</w:t>
              </w:r>
            </w:hyperlink>
          </w:p>
        </w:tc>
        <w:tc>
          <w:tcPr>
            <w:tcW w:w="1720" w:type="dxa"/>
            <w:vAlign w:val="bottom"/>
          </w:tcPr>
          <w:p>
            <w:pPr>
              <w:spacing w:after="0"/>
              <w:rPr>
                <w:sz w:val="14"/>
                <w:szCs w:val="14"/>
                <w:color w:val="auto"/>
              </w:rPr>
            </w:pPr>
          </w:p>
        </w:tc>
      </w:tr>
      <w:tr>
        <w:trPr>
          <w:trHeight w:val="39"/>
        </w:trPr>
        <w:tc>
          <w:tcPr>
            <w:tcW w:w="17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CBDBD1"/>
            </w:tcBorders>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CBDBD1"/>
          </w:tcPr>
          <w:p>
            <w:pPr>
              <w:spacing w:after="0"/>
              <w:rPr>
                <w:sz w:val="3"/>
                <w:szCs w:val="3"/>
                <w:color w:val="auto"/>
              </w:rPr>
            </w:pPr>
          </w:p>
        </w:tc>
        <w:tc>
          <w:tcPr>
            <w:tcW w:w="4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420" w:type="dxa"/>
            <w:vAlign w:val="bottom"/>
            <w:shd w:val="clear" w:color="auto" w:fill="CBDBD1"/>
          </w:tcPr>
          <w:p>
            <w:pPr>
              <w:spacing w:after="0"/>
              <w:rPr>
                <w:sz w:val="3"/>
                <w:szCs w:val="3"/>
                <w:color w:val="auto"/>
              </w:rPr>
            </w:pPr>
          </w:p>
        </w:tc>
        <w:tc>
          <w:tcPr>
            <w:tcW w:w="100" w:type="dxa"/>
            <w:vAlign w:val="bottom"/>
            <w:shd w:val="clear" w:color="auto" w:fill="CBDBD1"/>
          </w:tcPr>
          <w:p>
            <w:pPr>
              <w:spacing w:after="0"/>
              <w:rPr>
                <w:sz w:val="3"/>
                <w:szCs w:val="3"/>
                <w:color w:val="auto"/>
              </w:rPr>
            </w:pPr>
          </w:p>
        </w:tc>
        <w:tc>
          <w:tcPr>
            <w:tcW w:w="1280" w:type="dxa"/>
            <w:vAlign w:val="bottom"/>
            <w:shd w:val="clear" w:color="auto" w:fill="CBDBD1"/>
          </w:tcPr>
          <w:p>
            <w:pPr>
              <w:spacing w:after="0"/>
              <w:rPr>
                <w:sz w:val="3"/>
                <w:szCs w:val="3"/>
                <w:color w:val="auto"/>
              </w:rPr>
            </w:pPr>
          </w:p>
        </w:tc>
        <w:tc>
          <w:tcPr>
            <w:tcW w:w="480" w:type="dxa"/>
            <w:vAlign w:val="bottom"/>
            <w:shd w:val="clear" w:color="auto" w:fill="CBDBD1"/>
          </w:tcPr>
          <w:p>
            <w:pPr>
              <w:spacing w:after="0"/>
              <w:rPr>
                <w:sz w:val="3"/>
                <w:szCs w:val="3"/>
                <w:color w:val="auto"/>
              </w:rPr>
            </w:pPr>
          </w:p>
        </w:tc>
        <w:tc>
          <w:tcPr>
            <w:tcW w:w="80" w:type="dxa"/>
            <w:vAlign w:val="bottom"/>
            <w:shd w:val="clear" w:color="auto" w:fill="CBDBD1"/>
          </w:tcPr>
          <w:p>
            <w:pPr>
              <w:spacing w:after="0"/>
              <w:rPr>
                <w:sz w:val="3"/>
                <w:szCs w:val="3"/>
                <w:color w:val="auto"/>
              </w:rPr>
            </w:pPr>
          </w:p>
        </w:tc>
        <w:tc>
          <w:tcPr>
            <w:tcW w:w="200" w:type="dxa"/>
            <w:vAlign w:val="bottom"/>
            <w:shd w:val="clear" w:color="auto" w:fill="CBDBD1"/>
          </w:tcPr>
          <w:p>
            <w:pPr>
              <w:spacing w:after="0"/>
              <w:rPr>
                <w:sz w:val="3"/>
                <w:szCs w:val="3"/>
                <w:color w:val="auto"/>
              </w:rPr>
            </w:pPr>
          </w:p>
        </w:tc>
        <w:tc>
          <w:tcPr>
            <w:tcW w:w="140" w:type="dxa"/>
            <w:vAlign w:val="bottom"/>
            <w:shd w:val="clear" w:color="auto" w:fill="CBDBD1"/>
          </w:tcPr>
          <w:p>
            <w:pPr>
              <w:spacing w:after="0"/>
              <w:rPr>
                <w:sz w:val="3"/>
                <w:szCs w:val="3"/>
                <w:color w:val="auto"/>
              </w:rPr>
            </w:pPr>
          </w:p>
        </w:tc>
        <w:tc>
          <w:tcPr>
            <w:tcW w:w="1680" w:type="dxa"/>
            <w:vAlign w:val="bottom"/>
            <w:shd w:val="clear" w:color="auto" w:fill="CBDBD1"/>
          </w:tcPr>
          <w:p>
            <w:pPr>
              <w:spacing w:after="0"/>
              <w:rPr>
                <w:sz w:val="3"/>
                <w:szCs w:val="3"/>
                <w:color w:val="auto"/>
              </w:rPr>
            </w:pPr>
          </w:p>
        </w:tc>
        <w:tc>
          <w:tcPr>
            <w:tcW w:w="200" w:type="dxa"/>
            <w:vAlign w:val="bottom"/>
            <w:shd w:val="clear" w:color="auto" w:fill="CBDBD1"/>
          </w:tcPr>
          <w:p>
            <w:pPr>
              <w:spacing w:after="0"/>
              <w:rPr>
                <w:sz w:val="3"/>
                <w:szCs w:val="3"/>
                <w:color w:val="auto"/>
              </w:rPr>
            </w:pPr>
          </w:p>
        </w:tc>
        <w:tc>
          <w:tcPr>
            <w:tcW w:w="3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CBDBD1"/>
          </w:tcPr>
          <w:p>
            <w:pPr>
              <w:spacing w:after="0"/>
              <w:rPr>
                <w:sz w:val="3"/>
                <w:szCs w:val="3"/>
                <w:color w:val="auto"/>
              </w:rPr>
            </w:pPr>
          </w:p>
        </w:tc>
        <w:tc>
          <w:tcPr>
            <w:tcW w:w="1720" w:type="dxa"/>
            <w:vAlign w:val="bottom"/>
          </w:tcPr>
          <w:p>
            <w:pPr>
              <w:spacing w:after="0"/>
              <w:rPr>
                <w:sz w:val="3"/>
                <w:szCs w:val="3"/>
                <w:color w:val="auto"/>
              </w:rPr>
            </w:pPr>
          </w:p>
        </w:tc>
      </w:tr>
      <w:tr>
        <w:trPr>
          <w:trHeight w:val="178"/>
        </w:trPr>
        <w:tc>
          <w:tcPr>
            <w:tcW w:w="1720" w:type="dxa"/>
            <w:vAlign w:val="bottom"/>
          </w:tcPr>
          <w:p>
            <w:pPr>
              <w:spacing w:after="0"/>
              <w:rPr>
                <w:sz w:val="15"/>
                <w:szCs w:val="15"/>
                <w:color w:val="auto"/>
              </w:rPr>
            </w:pPr>
          </w:p>
        </w:tc>
        <w:tc>
          <w:tcPr>
            <w:tcW w:w="500" w:type="dxa"/>
            <w:vAlign w:val="bottom"/>
          </w:tcPr>
          <w:p>
            <w:pPr>
              <w:spacing w:after="0" w:line="169" w:lineRule="exact"/>
              <w:rPr>
                <w:rFonts w:ascii="Times New Roman" w:cs="Times New Roman" w:eastAsia="Times New Roman" w:hAnsi="Times New Roman"/>
                <w:sz w:val="17"/>
                <w:szCs w:val="17"/>
                <w:color w:val="0000EE"/>
                <w:w w:val="98"/>
              </w:rPr>
            </w:pPr>
            <w:hyperlink w:anchor="page16">
              <w:r>
                <w:rPr>
                  <w:rFonts w:ascii="Times New Roman" w:cs="Times New Roman" w:eastAsia="Times New Roman" w:hAnsi="Times New Roman"/>
                  <w:sz w:val="17"/>
                  <w:szCs w:val="17"/>
                  <w:color w:val="0000EE"/>
                  <w:w w:val="98"/>
                </w:rPr>
                <w:t>Item 2:</w:t>
              </w:r>
            </w:hyperlink>
          </w:p>
        </w:tc>
        <w:tc>
          <w:tcPr>
            <w:tcW w:w="400" w:type="dxa"/>
            <w:vAlign w:val="bottom"/>
            <w:gridSpan w:val="2"/>
          </w:tcPr>
          <w:p>
            <w:pPr>
              <w:spacing w:after="0"/>
              <w:rPr>
                <w:sz w:val="15"/>
                <w:szCs w:val="15"/>
                <w:color w:val="auto"/>
              </w:rPr>
            </w:pPr>
          </w:p>
        </w:tc>
        <w:tc>
          <w:tcPr>
            <w:tcW w:w="6400" w:type="dxa"/>
            <w:vAlign w:val="bottom"/>
            <w:gridSpan w:val="17"/>
          </w:tcPr>
          <w:p>
            <w:pPr>
              <w:spacing w:after="0" w:line="169" w:lineRule="exact"/>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Management’s Discussion and Analysis of Financial Condition and Results of Operations</w:t>
              </w:r>
            </w:hyperlink>
          </w:p>
        </w:tc>
        <w:tc>
          <w:tcPr>
            <w:tcW w:w="680" w:type="dxa"/>
            <w:vAlign w:val="bottom"/>
            <w:gridSpan w:val="3"/>
          </w:tcPr>
          <w:p>
            <w:pPr>
              <w:jc w:val="center"/>
              <w:spacing w:after="0" w:line="169" w:lineRule="exact"/>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4</w:t>
              </w:r>
            </w:hyperlink>
          </w:p>
        </w:tc>
        <w:tc>
          <w:tcPr>
            <w:tcW w:w="1720" w:type="dxa"/>
            <w:vAlign w:val="bottom"/>
          </w:tcPr>
          <w:p>
            <w:pPr>
              <w:spacing w:after="0"/>
              <w:rPr>
                <w:sz w:val="15"/>
                <w:szCs w:val="15"/>
                <w:color w:val="auto"/>
              </w:rPr>
            </w:pPr>
          </w:p>
        </w:tc>
      </w:tr>
      <w:tr>
        <w:trPr>
          <w:trHeight w:val="178"/>
        </w:trPr>
        <w:tc>
          <w:tcPr>
            <w:tcW w:w="1720" w:type="dxa"/>
            <w:vAlign w:val="bottom"/>
          </w:tcPr>
          <w:p>
            <w:pPr>
              <w:spacing w:after="0"/>
              <w:rPr>
                <w:sz w:val="15"/>
                <w:szCs w:val="15"/>
                <w:color w:val="auto"/>
              </w:rPr>
            </w:pPr>
          </w:p>
        </w:tc>
        <w:tc>
          <w:tcPr>
            <w:tcW w:w="500" w:type="dxa"/>
            <w:vAlign w:val="bottom"/>
            <w:tcBorders>
              <w:top w:val="single" w:sz="8" w:color="0000EE"/>
            </w:tcBorders>
            <w:shd w:val="clear" w:color="auto" w:fill="CBDBD1"/>
          </w:tcPr>
          <w:p>
            <w:pPr>
              <w:spacing w:after="0" w:line="179" w:lineRule="exact"/>
              <w:rPr>
                <w:rFonts w:ascii="Times New Roman" w:cs="Times New Roman" w:eastAsia="Times New Roman" w:hAnsi="Times New Roman"/>
                <w:sz w:val="17"/>
                <w:szCs w:val="17"/>
                <w:color w:val="0000EE"/>
                <w:w w:val="98"/>
              </w:rPr>
            </w:pPr>
            <w:hyperlink w:anchor="page19">
              <w:r>
                <w:rPr>
                  <w:rFonts w:ascii="Times New Roman" w:cs="Times New Roman" w:eastAsia="Times New Roman" w:hAnsi="Times New Roman"/>
                  <w:sz w:val="17"/>
                  <w:szCs w:val="17"/>
                  <w:color w:val="0000EE"/>
                  <w:w w:val="98"/>
                </w:rPr>
                <w:t>Item 3:</w:t>
              </w:r>
            </w:hyperlink>
          </w:p>
        </w:tc>
        <w:tc>
          <w:tcPr>
            <w:tcW w:w="400" w:type="dxa"/>
            <w:vAlign w:val="bottom"/>
            <w:gridSpan w:val="2"/>
            <w:shd w:val="clear" w:color="auto" w:fill="CBDBD1"/>
          </w:tcPr>
          <w:p>
            <w:pPr>
              <w:spacing w:after="0"/>
              <w:rPr>
                <w:sz w:val="15"/>
                <w:szCs w:val="15"/>
                <w:color w:val="auto"/>
              </w:rPr>
            </w:pPr>
          </w:p>
        </w:tc>
        <w:tc>
          <w:tcPr>
            <w:tcW w:w="6200" w:type="dxa"/>
            <w:vAlign w:val="bottom"/>
            <w:tcBorders>
              <w:top w:val="single" w:sz="8" w:color="0000EE"/>
            </w:tcBorders>
            <w:gridSpan w:val="16"/>
            <w:shd w:val="clear" w:color="auto" w:fill="CBDBD1"/>
          </w:tcPr>
          <w:p>
            <w:pPr>
              <w:spacing w:after="0" w:line="179" w:lineRule="exact"/>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Quantitative and Qualitative Disclosures About Market Risk</w:t>
              </w:r>
            </w:hyperlink>
          </w:p>
        </w:tc>
        <w:tc>
          <w:tcPr>
            <w:tcW w:w="200" w:type="dxa"/>
            <w:vAlign w:val="bottom"/>
            <w:shd w:val="clear" w:color="auto" w:fill="CBDBD1"/>
          </w:tcPr>
          <w:p>
            <w:pPr>
              <w:spacing w:after="0"/>
              <w:rPr>
                <w:sz w:val="15"/>
                <w:szCs w:val="15"/>
                <w:color w:val="auto"/>
              </w:rPr>
            </w:pPr>
          </w:p>
        </w:tc>
        <w:tc>
          <w:tcPr>
            <w:tcW w:w="320" w:type="dxa"/>
            <w:vAlign w:val="bottom"/>
            <w:shd w:val="clear" w:color="auto" w:fill="CBDBD1"/>
          </w:tcPr>
          <w:p>
            <w:pPr>
              <w:spacing w:after="0"/>
              <w:rPr>
                <w:sz w:val="15"/>
                <w:szCs w:val="15"/>
                <w:color w:val="auto"/>
              </w:rPr>
            </w:pPr>
          </w:p>
        </w:tc>
        <w:tc>
          <w:tcPr>
            <w:tcW w:w="100" w:type="dxa"/>
            <w:vAlign w:val="bottom"/>
            <w:tcBorders>
              <w:top w:val="single" w:sz="8" w:color="0000EE"/>
            </w:tcBorders>
            <w:shd w:val="clear" w:color="auto" w:fill="CBDBD1"/>
          </w:tcPr>
          <w:p>
            <w:pPr>
              <w:jc w:val="center"/>
              <w:spacing w:after="0" w:line="179" w:lineRule="exact"/>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7</w:t>
              </w:r>
            </w:hyperlink>
          </w:p>
        </w:tc>
        <w:tc>
          <w:tcPr>
            <w:tcW w:w="260" w:type="dxa"/>
            <w:vAlign w:val="bottom"/>
            <w:shd w:val="clear" w:color="auto" w:fill="CBDBD1"/>
          </w:tcPr>
          <w:p>
            <w:pPr>
              <w:spacing w:after="0"/>
              <w:rPr>
                <w:sz w:val="15"/>
                <w:szCs w:val="15"/>
                <w:color w:val="auto"/>
              </w:rPr>
            </w:pPr>
          </w:p>
        </w:tc>
        <w:tc>
          <w:tcPr>
            <w:tcW w:w="1720" w:type="dxa"/>
            <w:vAlign w:val="bottom"/>
          </w:tcPr>
          <w:p>
            <w:pPr>
              <w:spacing w:after="0"/>
              <w:rPr>
                <w:sz w:val="15"/>
                <w:szCs w:val="15"/>
                <w:color w:val="auto"/>
              </w:rPr>
            </w:pPr>
          </w:p>
        </w:tc>
      </w:tr>
      <w:tr>
        <w:trPr>
          <w:trHeight w:val="39"/>
        </w:trPr>
        <w:tc>
          <w:tcPr>
            <w:tcW w:w="1720" w:type="dxa"/>
            <w:vAlign w:val="bottom"/>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tcBorders>
              <w:right w:val="single" w:sz="8" w:color="CBDBD1"/>
            </w:tcBorders>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CBDBD1"/>
          </w:tcPr>
          <w:p>
            <w:pPr>
              <w:spacing w:after="0"/>
              <w:rPr>
                <w:sz w:val="3"/>
                <w:szCs w:val="3"/>
                <w:color w:val="auto"/>
              </w:rPr>
            </w:pPr>
          </w:p>
        </w:tc>
        <w:tc>
          <w:tcPr>
            <w:tcW w:w="140" w:type="dxa"/>
            <w:vAlign w:val="bottom"/>
            <w:shd w:val="clear" w:color="auto" w:fill="CBDBD1"/>
          </w:tcPr>
          <w:p>
            <w:pPr>
              <w:spacing w:after="0"/>
              <w:rPr>
                <w:sz w:val="3"/>
                <w:szCs w:val="3"/>
                <w:color w:val="auto"/>
              </w:rPr>
            </w:pPr>
          </w:p>
        </w:tc>
        <w:tc>
          <w:tcPr>
            <w:tcW w:w="1680" w:type="dxa"/>
            <w:vAlign w:val="bottom"/>
            <w:shd w:val="clear" w:color="auto" w:fill="CBDBD1"/>
          </w:tcPr>
          <w:p>
            <w:pPr>
              <w:spacing w:after="0"/>
              <w:rPr>
                <w:sz w:val="3"/>
                <w:szCs w:val="3"/>
                <w:color w:val="auto"/>
              </w:rPr>
            </w:pPr>
          </w:p>
        </w:tc>
        <w:tc>
          <w:tcPr>
            <w:tcW w:w="200" w:type="dxa"/>
            <w:vAlign w:val="bottom"/>
            <w:shd w:val="clear" w:color="auto" w:fill="CBDBD1"/>
          </w:tcPr>
          <w:p>
            <w:pPr>
              <w:spacing w:after="0"/>
              <w:rPr>
                <w:sz w:val="3"/>
                <w:szCs w:val="3"/>
                <w:color w:val="auto"/>
              </w:rPr>
            </w:pPr>
          </w:p>
        </w:tc>
        <w:tc>
          <w:tcPr>
            <w:tcW w:w="3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CBDBD1"/>
          </w:tcPr>
          <w:p>
            <w:pPr>
              <w:spacing w:after="0"/>
              <w:rPr>
                <w:sz w:val="3"/>
                <w:szCs w:val="3"/>
                <w:color w:val="auto"/>
              </w:rPr>
            </w:pPr>
          </w:p>
        </w:tc>
        <w:tc>
          <w:tcPr>
            <w:tcW w:w="1720" w:type="dxa"/>
            <w:vAlign w:val="bottom"/>
          </w:tcPr>
          <w:p>
            <w:pPr>
              <w:spacing w:after="0"/>
              <w:rPr>
                <w:sz w:val="3"/>
                <w:szCs w:val="3"/>
                <w:color w:val="auto"/>
              </w:rPr>
            </w:pPr>
          </w:p>
        </w:tc>
      </w:tr>
      <w:tr>
        <w:trPr>
          <w:trHeight w:val="169"/>
        </w:trPr>
        <w:tc>
          <w:tcPr>
            <w:tcW w:w="1720" w:type="dxa"/>
            <w:vAlign w:val="bottom"/>
          </w:tcPr>
          <w:p>
            <w:pPr>
              <w:spacing w:after="0"/>
              <w:rPr>
                <w:sz w:val="14"/>
                <w:szCs w:val="14"/>
                <w:color w:val="auto"/>
              </w:rPr>
            </w:pPr>
          </w:p>
        </w:tc>
        <w:tc>
          <w:tcPr>
            <w:tcW w:w="900" w:type="dxa"/>
            <w:vAlign w:val="bottom"/>
            <w:gridSpan w:val="3"/>
          </w:tcPr>
          <w:p>
            <w:pPr>
              <w:spacing w:after="0" w:line="169" w:lineRule="exact"/>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Item 4T:</w:t>
              </w:r>
            </w:hyperlink>
          </w:p>
        </w:tc>
        <w:tc>
          <w:tcPr>
            <w:tcW w:w="6400" w:type="dxa"/>
            <w:vAlign w:val="bottom"/>
            <w:gridSpan w:val="17"/>
          </w:tcPr>
          <w:p>
            <w:pPr>
              <w:spacing w:after="0" w:line="169" w:lineRule="exact"/>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Controls and Procedures</w:t>
              </w:r>
            </w:hyperlink>
          </w:p>
        </w:tc>
        <w:tc>
          <w:tcPr>
            <w:tcW w:w="680" w:type="dxa"/>
            <w:vAlign w:val="bottom"/>
            <w:gridSpan w:val="3"/>
          </w:tcPr>
          <w:p>
            <w:pPr>
              <w:jc w:val="center"/>
              <w:spacing w:after="0" w:line="169" w:lineRule="exact"/>
              <w:rPr>
                <w:rFonts w:ascii="Times New Roman" w:cs="Times New Roman" w:eastAsia="Times New Roman" w:hAnsi="Times New Roman"/>
                <w:sz w:val="17"/>
                <w:szCs w:val="17"/>
                <w:color w:val="0000EE"/>
              </w:rPr>
            </w:pPr>
            <w:hyperlink w:anchor="page19">
              <w:r>
                <w:rPr>
                  <w:rFonts w:ascii="Times New Roman" w:cs="Times New Roman" w:eastAsia="Times New Roman" w:hAnsi="Times New Roman"/>
                  <w:sz w:val="17"/>
                  <w:szCs w:val="17"/>
                  <w:color w:val="0000EE"/>
                </w:rPr>
                <w:t>7</w:t>
              </w:r>
            </w:hyperlink>
          </w:p>
        </w:tc>
        <w:tc>
          <w:tcPr>
            <w:tcW w:w="1720" w:type="dxa"/>
            <w:vAlign w:val="bottom"/>
          </w:tcPr>
          <w:p>
            <w:pPr>
              <w:spacing w:after="0"/>
              <w:rPr>
                <w:sz w:val="14"/>
                <w:szCs w:val="14"/>
                <w:color w:val="auto"/>
              </w:rPr>
            </w:pPr>
          </w:p>
        </w:tc>
      </w:tr>
      <w:tr>
        <w:trPr>
          <w:trHeight w:val="422"/>
        </w:trPr>
        <w:tc>
          <w:tcPr>
            <w:tcW w:w="17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700" w:type="dxa"/>
            <w:vAlign w:val="bottom"/>
            <w:gridSpan w:val="10"/>
          </w:tcPr>
          <w:p>
            <w:pPr>
              <w:jc w:val="center"/>
              <w:ind w:right="190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3"/>
        </w:trPr>
        <w:tc>
          <w:tcPr>
            <w:tcW w:w="1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88"/>
        </w:trPr>
        <w:tc>
          <w:tcPr>
            <w:tcW w:w="1720" w:type="dxa"/>
            <w:vAlign w:val="bottom"/>
          </w:tcPr>
          <w:p>
            <w:pPr>
              <w:spacing w:after="0"/>
              <w:rPr>
                <w:sz w:val="16"/>
                <w:szCs w:val="16"/>
                <w:color w:val="auto"/>
              </w:rPr>
            </w:pPr>
          </w:p>
        </w:tc>
        <w:tc>
          <w:tcPr>
            <w:tcW w:w="500" w:type="dxa"/>
            <w:vAlign w:val="bottom"/>
            <w:tcBorders>
              <w:bottom w:val="single" w:sz="8" w:color="0000EE"/>
            </w:tcBorders>
            <w:shd w:val="clear" w:color="auto" w:fill="CBDBD1"/>
          </w:tcPr>
          <w:p>
            <w:pPr>
              <w:spacing w:after="0" w:line="16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Item 1:</w:t>
              </w:r>
            </w:hyperlink>
          </w:p>
        </w:tc>
        <w:tc>
          <w:tcPr>
            <w:tcW w:w="400" w:type="dxa"/>
            <w:vAlign w:val="bottom"/>
            <w:tcBorders>
              <w:bottom w:val="single" w:sz="8" w:color="CBDBD1"/>
            </w:tcBorders>
            <w:gridSpan w:val="2"/>
            <w:shd w:val="clear" w:color="auto" w:fill="CBDBD1"/>
          </w:tcPr>
          <w:p>
            <w:pPr>
              <w:spacing w:after="0"/>
              <w:rPr>
                <w:sz w:val="16"/>
                <w:szCs w:val="16"/>
                <w:color w:val="auto"/>
              </w:rPr>
            </w:pPr>
          </w:p>
        </w:tc>
        <w:tc>
          <w:tcPr>
            <w:tcW w:w="1280" w:type="dxa"/>
            <w:vAlign w:val="bottom"/>
            <w:tcBorders>
              <w:bottom w:val="single" w:sz="8" w:color="0000EE"/>
            </w:tcBorders>
            <w:gridSpan w:val="4"/>
            <w:shd w:val="clear" w:color="auto" w:fill="CBDBD1"/>
          </w:tcPr>
          <w:p>
            <w:pPr>
              <w:spacing w:after="0" w:line="169" w:lineRule="exact"/>
              <w:rPr>
                <w:rFonts w:ascii="Times New Roman" w:cs="Times New Roman" w:eastAsia="Times New Roman" w:hAnsi="Times New Roman"/>
                <w:sz w:val="17"/>
                <w:szCs w:val="17"/>
                <w:color w:val="0000EE"/>
                <w:w w:val="99"/>
              </w:rPr>
            </w:pPr>
            <w:hyperlink w:anchor="page20">
              <w:r>
                <w:rPr>
                  <w:rFonts w:ascii="Times New Roman" w:cs="Times New Roman" w:eastAsia="Times New Roman" w:hAnsi="Times New Roman"/>
                  <w:sz w:val="17"/>
                  <w:szCs w:val="17"/>
                  <w:color w:val="0000EE"/>
                  <w:w w:val="99"/>
                </w:rPr>
                <w:t>Legal Proceedings</w:t>
              </w:r>
            </w:hyperlink>
          </w:p>
        </w:tc>
        <w:tc>
          <w:tcPr>
            <w:tcW w:w="5120" w:type="dxa"/>
            <w:vAlign w:val="bottom"/>
            <w:tcBorders>
              <w:bottom w:val="single" w:sz="8" w:color="CBDBD1"/>
            </w:tcBorders>
            <w:gridSpan w:val="13"/>
            <w:shd w:val="clear" w:color="auto" w:fill="CBDBD1"/>
          </w:tcPr>
          <w:p>
            <w:pPr>
              <w:spacing w:after="0"/>
              <w:rPr>
                <w:sz w:val="16"/>
                <w:szCs w:val="16"/>
                <w:color w:val="auto"/>
              </w:rPr>
            </w:pPr>
          </w:p>
        </w:tc>
        <w:tc>
          <w:tcPr>
            <w:tcW w:w="320" w:type="dxa"/>
            <w:vAlign w:val="bottom"/>
            <w:tcBorders>
              <w:bottom w:val="single" w:sz="8" w:color="CBDBD1"/>
            </w:tcBorders>
            <w:shd w:val="clear" w:color="auto" w:fill="CBDBD1"/>
          </w:tcPr>
          <w:p>
            <w:pPr>
              <w:spacing w:after="0"/>
              <w:rPr>
                <w:sz w:val="16"/>
                <w:szCs w:val="16"/>
                <w:color w:val="auto"/>
              </w:rPr>
            </w:pPr>
          </w:p>
        </w:tc>
        <w:tc>
          <w:tcPr>
            <w:tcW w:w="100" w:type="dxa"/>
            <w:vAlign w:val="bottom"/>
            <w:tcBorders>
              <w:bottom w:val="single" w:sz="8" w:color="0000EE"/>
            </w:tcBorders>
            <w:shd w:val="clear" w:color="auto" w:fill="CBDBD1"/>
          </w:tcPr>
          <w:p>
            <w:pPr>
              <w:jc w:val="center"/>
              <w:spacing w:after="0" w:line="16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260" w:type="dxa"/>
            <w:vAlign w:val="bottom"/>
            <w:tcBorders>
              <w:bottom w:val="single" w:sz="8" w:color="CBDBD1"/>
            </w:tcBorders>
            <w:shd w:val="clear" w:color="auto" w:fill="CBDBD1"/>
          </w:tcPr>
          <w:p>
            <w:pPr>
              <w:spacing w:after="0"/>
              <w:rPr>
                <w:sz w:val="16"/>
                <w:szCs w:val="16"/>
                <w:color w:val="auto"/>
              </w:rPr>
            </w:pPr>
          </w:p>
        </w:tc>
        <w:tc>
          <w:tcPr>
            <w:tcW w:w="1720" w:type="dxa"/>
            <w:vAlign w:val="bottom"/>
          </w:tcPr>
          <w:p>
            <w:pPr>
              <w:spacing w:after="0"/>
              <w:rPr>
                <w:sz w:val="16"/>
                <w:szCs w:val="16"/>
                <w:color w:val="auto"/>
              </w:rPr>
            </w:pPr>
          </w:p>
        </w:tc>
      </w:tr>
      <w:tr>
        <w:trPr>
          <w:trHeight w:val="169"/>
        </w:trPr>
        <w:tc>
          <w:tcPr>
            <w:tcW w:w="1720" w:type="dxa"/>
            <w:vAlign w:val="bottom"/>
          </w:tcPr>
          <w:p>
            <w:pPr>
              <w:spacing w:after="0"/>
              <w:rPr>
                <w:sz w:val="14"/>
                <w:szCs w:val="14"/>
                <w:color w:val="auto"/>
              </w:rPr>
            </w:pPr>
          </w:p>
        </w:tc>
        <w:tc>
          <w:tcPr>
            <w:tcW w:w="620" w:type="dxa"/>
            <w:vAlign w:val="bottom"/>
            <w:gridSpan w:val="2"/>
          </w:tcPr>
          <w:p>
            <w:pPr>
              <w:spacing w:after="0" w:line="169" w:lineRule="exact"/>
              <w:rPr>
                <w:rFonts w:ascii="Times New Roman" w:cs="Times New Roman" w:eastAsia="Times New Roman" w:hAnsi="Times New Roman"/>
                <w:sz w:val="17"/>
                <w:szCs w:val="17"/>
                <w:color w:val="0000EE"/>
                <w:w w:val="95"/>
              </w:rPr>
            </w:pPr>
            <w:hyperlink w:anchor="page20">
              <w:r>
                <w:rPr>
                  <w:rFonts w:ascii="Times New Roman" w:cs="Times New Roman" w:eastAsia="Times New Roman" w:hAnsi="Times New Roman"/>
                  <w:sz w:val="17"/>
                  <w:szCs w:val="17"/>
                  <w:color w:val="0000EE"/>
                  <w:w w:val="95"/>
                </w:rPr>
                <w:t>Item 1A:</w:t>
              </w:r>
            </w:hyperlink>
          </w:p>
        </w:tc>
        <w:tc>
          <w:tcPr>
            <w:tcW w:w="280" w:type="dxa"/>
            <w:vAlign w:val="bottom"/>
          </w:tcPr>
          <w:p>
            <w:pPr>
              <w:spacing w:after="0"/>
              <w:rPr>
                <w:sz w:val="14"/>
                <w:szCs w:val="14"/>
                <w:color w:val="auto"/>
              </w:rPr>
            </w:pPr>
          </w:p>
        </w:tc>
        <w:tc>
          <w:tcPr>
            <w:tcW w:w="6400" w:type="dxa"/>
            <w:vAlign w:val="bottom"/>
            <w:gridSpan w:val="17"/>
          </w:tcPr>
          <w:p>
            <w:pPr>
              <w:spacing w:after="0" w:line="16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Risk Factors</w:t>
              </w:r>
            </w:hyperlink>
          </w:p>
        </w:tc>
        <w:tc>
          <w:tcPr>
            <w:tcW w:w="680" w:type="dxa"/>
            <w:vAlign w:val="bottom"/>
            <w:gridSpan w:val="3"/>
          </w:tcPr>
          <w:p>
            <w:pPr>
              <w:jc w:val="center"/>
              <w:spacing w:after="0" w:line="16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1720" w:type="dxa"/>
            <w:vAlign w:val="bottom"/>
          </w:tcPr>
          <w:p>
            <w:pPr>
              <w:spacing w:after="0"/>
              <w:rPr>
                <w:sz w:val="14"/>
                <w:szCs w:val="14"/>
                <w:color w:val="auto"/>
              </w:rPr>
            </w:pPr>
          </w:p>
        </w:tc>
      </w:tr>
      <w:tr>
        <w:trPr>
          <w:trHeight w:val="29"/>
        </w:trPr>
        <w:tc>
          <w:tcPr>
            <w:tcW w:w="172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7"/>
        </w:trPr>
        <w:tc>
          <w:tcPr>
            <w:tcW w:w="1720" w:type="dxa"/>
            <w:vAlign w:val="bottom"/>
          </w:tcPr>
          <w:p>
            <w:pPr>
              <w:spacing w:after="0"/>
              <w:rPr>
                <w:sz w:val="17"/>
                <w:szCs w:val="17"/>
                <w:color w:val="auto"/>
              </w:rPr>
            </w:pPr>
          </w:p>
        </w:tc>
        <w:tc>
          <w:tcPr>
            <w:tcW w:w="500" w:type="dxa"/>
            <w:vAlign w:val="bottom"/>
            <w:tcBorders>
              <w:bottom w:val="single" w:sz="8" w:color="0000EE"/>
            </w:tcBorders>
            <w:shd w:val="clear" w:color="auto" w:fill="CBDBD1"/>
          </w:tcPr>
          <w:p>
            <w:pPr>
              <w:spacing w:after="0" w:line="17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Item 2:</w:t>
              </w:r>
            </w:hyperlink>
          </w:p>
        </w:tc>
        <w:tc>
          <w:tcPr>
            <w:tcW w:w="120" w:type="dxa"/>
            <w:vAlign w:val="bottom"/>
            <w:tcBorders>
              <w:bottom w:val="single" w:sz="8" w:color="CBDBD1"/>
              <w:right w:val="single" w:sz="8" w:color="CBDBD1"/>
            </w:tcBorders>
            <w:shd w:val="clear" w:color="auto" w:fill="CBDBD1"/>
          </w:tcPr>
          <w:p>
            <w:pPr>
              <w:spacing w:after="0"/>
              <w:rPr>
                <w:sz w:val="17"/>
                <w:szCs w:val="17"/>
                <w:color w:val="auto"/>
              </w:rPr>
            </w:pPr>
          </w:p>
        </w:tc>
        <w:tc>
          <w:tcPr>
            <w:tcW w:w="280" w:type="dxa"/>
            <w:vAlign w:val="bottom"/>
            <w:tcBorders>
              <w:bottom w:val="single" w:sz="8" w:color="CBDBD1"/>
            </w:tcBorders>
            <w:shd w:val="clear" w:color="auto" w:fill="CBDBD1"/>
          </w:tcPr>
          <w:p>
            <w:pPr>
              <w:spacing w:after="0"/>
              <w:rPr>
                <w:sz w:val="17"/>
                <w:szCs w:val="17"/>
                <w:color w:val="auto"/>
              </w:rPr>
            </w:pPr>
          </w:p>
        </w:tc>
        <w:tc>
          <w:tcPr>
            <w:tcW w:w="4180" w:type="dxa"/>
            <w:vAlign w:val="bottom"/>
            <w:tcBorders>
              <w:bottom w:val="single" w:sz="8" w:color="0000EE"/>
            </w:tcBorders>
            <w:gridSpan w:val="13"/>
            <w:shd w:val="clear" w:color="auto" w:fill="CBDBD1"/>
          </w:tcPr>
          <w:p>
            <w:pPr>
              <w:spacing w:after="0" w:line="17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Unregistered Sales of Equity Securities and Use of Proceeds</w:t>
              </w:r>
            </w:hyperlink>
          </w:p>
        </w:tc>
        <w:tc>
          <w:tcPr>
            <w:tcW w:w="2220" w:type="dxa"/>
            <w:vAlign w:val="bottom"/>
            <w:tcBorders>
              <w:bottom w:val="single" w:sz="8" w:color="CBDBD1"/>
            </w:tcBorders>
            <w:gridSpan w:val="4"/>
            <w:shd w:val="clear" w:color="auto" w:fill="CBDBD1"/>
          </w:tcPr>
          <w:p>
            <w:pPr>
              <w:spacing w:after="0"/>
              <w:rPr>
                <w:sz w:val="17"/>
                <w:szCs w:val="17"/>
                <w:color w:val="auto"/>
              </w:rPr>
            </w:pPr>
          </w:p>
        </w:tc>
        <w:tc>
          <w:tcPr>
            <w:tcW w:w="320" w:type="dxa"/>
            <w:vAlign w:val="bottom"/>
            <w:tcBorders>
              <w:bottom w:val="single" w:sz="8" w:color="CBDBD1"/>
            </w:tcBorders>
            <w:shd w:val="clear" w:color="auto" w:fill="CBDBD1"/>
          </w:tcPr>
          <w:p>
            <w:pPr>
              <w:spacing w:after="0"/>
              <w:rPr>
                <w:sz w:val="17"/>
                <w:szCs w:val="17"/>
                <w:color w:val="auto"/>
              </w:rPr>
            </w:pPr>
          </w:p>
        </w:tc>
        <w:tc>
          <w:tcPr>
            <w:tcW w:w="100" w:type="dxa"/>
            <w:vAlign w:val="bottom"/>
            <w:tcBorders>
              <w:bottom w:val="single" w:sz="8" w:color="0000EE"/>
            </w:tcBorders>
            <w:shd w:val="clear" w:color="auto" w:fill="CBDBD1"/>
          </w:tcPr>
          <w:p>
            <w:pPr>
              <w:jc w:val="center"/>
              <w:spacing w:after="0" w:line="17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260" w:type="dxa"/>
            <w:vAlign w:val="bottom"/>
            <w:tcBorders>
              <w:bottom w:val="single" w:sz="8" w:color="CBDBD1"/>
            </w:tcBorders>
            <w:shd w:val="clear" w:color="auto" w:fill="CBDBD1"/>
          </w:tcPr>
          <w:p>
            <w:pPr>
              <w:spacing w:after="0"/>
              <w:rPr>
                <w:sz w:val="17"/>
                <w:szCs w:val="17"/>
                <w:color w:val="auto"/>
              </w:rPr>
            </w:pPr>
          </w:p>
        </w:tc>
        <w:tc>
          <w:tcPr>
            <w:tcW w:w="1720" w:type="dxa"/>
            <w:vAlign w:val="bottom"/>
          </w:tcPr>
          <w:p>
            <w:pPr>
              <w:spacing w:after="0"/>
              <w:rPr>
                <w:sz w:val="17"/>
                <w:szCs w:val="17"/>
                <w:color w:val="auto"/>
              </w:rPr>
            </w:pPr>
          </w:p>
        </w:tc>
      </w:tr>
      <w:tr>
        <w:trPr>
          <w:trHeight w:val="178"/>
        </w:trPr>
        <w:tc>
          <w:tcPr>
            <w:tcW w:w="1720" w:type="dxa"/>
            <w:vAlign w:val="bottom"/>
          </w:tcPr>
          <w:p>
            <w:pPr>
              <w:spacing w:after="0"/>
              <w:rPr>
                <w:sz w:val="15"/>
                <w:szCs w:val="15"/>
                <w:color w:val="auto"/>
              </w:rPr>
            </w:pPr>
          </w:p>
        </w:tc>
        <w:tc>
          <w:tcPr>
            <w:tcW w:w="500" w:type="dxa"/>
            <w:vAlign w:val="bottom"/>
            <w:tcBorders>
              <w:bottom w:val="single" w:sz="8" w:color="0000EE"/>
            </w:tcBorders>
          </w:tcPr>
          <w:p>
            <w:pPr>
              <w:spacing w:after="0" w:line="16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Item 3:</w:t>
              </w:r>
            </w:hyperlink>
          </w:p>
        </w:tc>
        <w:tc>
          <w:tcPr>
            <w:tcW w:w="400" w:type="dxa"/>
            <w:vAlign w:val="bottom"/>
            <w:gridSpan w:val="2"/>
          </w:tcPr>
          <w:p>
            <w:pPr>
              <w:spacing w:after="0"/>
              <w:rPr>
                <w:sz w:val="15"/>
                <w:szCs w:val="15"/>
                <w:color w:val="auto"/>
              </w:rPr>
            </w:pPr>
          </w:p>
        </w:tc>
        <w:tc>
          <w:tcPr>
            <w:tcW w:w="2240" w:type="dxa"/>
            <w:vAlign w:val="bottom"/>
            <w:tcBorders>
              <w:bottom w:val="single" w:sz="8" w:color="0000EE"/>
            </w:tcBorders>
            <w:gridSpan w:val="9"/>
          </w:tcPr>
          <w:p>
            <w:pPr>
              <w:spacing w:after="0" w:line="16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Defaults Upon Senior Securities</w:t>
              </w:r>
            </w:hyperlink>
          </w:p>
        </w:tc>
        <w:tc>
          <w:tcPr>
            <w:tcW w:w="4160" w:type="dxa"/>
            <w:vAlign w:val="bottom"/>
            <w:gridSpan w:val="8"/>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6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7"/>
        </w:trPr>
        <w:tc>
          <w:tcPr>
            <w:tcW w:w="1720" w:type="dxa"/>
            <w:vAlign w:val="bottom"/>
          </w:tcPr>
          <w:p>
            <w:pPr>
              <w:spacing w:after="0"/>
              <w:rPr>
                <w:sz w:val="17"/>
                <w:szCs w:val="17"/>
                <w:color w:val="auto"/>
              </w:rPr>
            </w:pPr>
          </w:p>
        </w:tc>
        <w:tc>
          <w:tcPr>
            <w:tcW w:w="500" w:type="dxa"/>
            <w:vAlign w:val="bottom"/>
            <w:tcBorders>
              <w:bottom w:val="single" w:sz="8" w:color="0000EE"/>
            </w:tcBorders>
            <w:shd w:val="clear" w:color="auto" w:fill="CBDBD1"/>
          </w:tcPr>
          <w:p>
            <w:pPr>
              <w:spacing w:after="0" w:line="17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Item 4:</w:t>
              </w:r>
            </w:hyperlink>
          </w:p>
        </w:tc>
        <w:tc>
          <w:tcPr>
            <w:tcW w:w="400" w:type="dxa"/>
            <w:vAlign w:val="bottom"/>
            <w:tcBorders>
              <w:bottom w:val="single" w:sz="8" w:color="CBDBD1"/>
            </w:tcBorders>
            <w:gridSpan w:val="2"/>
            <w:shd w:val="clear" w:color="auto" w:fill="CBDBD1"/>
          </w:tcPr>
          <w:p>
            <w:pPr>
              <w:spacing w:after="0"/>
              <w:rPr>
                <w:sz w:val="17"/>
                <w:szCs w:val="17"/>
                <w:color w:val="auto"/>
              </w:rPr>
            </w:pPr>
          </w:p>
        </w:tc>
        <w:tc>
          <w:tcPr>
            <w:tcW w:w="3620" w:type="dxa"/>
            <w:vAlign w:val="bottom"/>
            <w:tcBorders>
              <w:bottom w:val="single" w:sz="8" w:color="0000EE"/>
            </w:tcBorders>
            <w:gridSpan w:val="11"/>
            <w:shd w:val="clear" w:color="auto" w:fill="CBDBD1"/>
          </w:tcPr>
          <w:p>
            <w:pPr>
              <w:spacing w:after="0" w:line="17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Submission of Matters to a Vote of Security Holders</w:t>
              </w:r>
            </w:hyperlink>
          </w:p>
        </w:tc>
        <w:tc>
          <w:tcPr>
            <w:tcW w:w="2780" w:type="dxa"/>
            <w:vAlign w:val="bottom"/>
            <w:tcBorders>
              <w:bottom w:val="single" w:sz="8" w:color="CBDBD1"/>
            </w:tcBorders>
            <w:gridSpan w:val="6"/>
            <w:shd w:val="clear" w:color="auto" w:fill="CBDBD1"/>
          </w:tcPr>
          <w:p>
            <w:pPr>
              <w:spacing w:after="0"/>
              <w:rPr>
                <w:sz w:val="17"/>
                <w:szCs w:val="17"/>
                <w:color w:val="auto"/>
              </w:rPr>
            </w:pPr>
          </w:p>
        </w:tc>
        <w:tc>
          <w:tcPr>
            <w:tcW w:w="320" w:type="dxa"/>
            <w:vAlign w:val="bottom"/>
            <w:tcBorders>
              <w:bottom w:val="single" w:sz="8" w:color="CBDBD1"/>
            </w:tcBorders>
            <w:shd w:val="clear" w:color="auto" w:fill="CBDBD1"/>
          </w:tcPr>
          <w:p>
            <w:pPr>
              <w:spacing w:after="0"/>
              <w:rPr>
                <w:sz w:val="17"/>
                <w:szCs w:val="17"/>
                <w:color w:val="auto"/>
              </w:rPr>
            </w:pPr>
          </w:p>
        </w:tc>
        <w:tc>
          <w:tcPr>
            <w:tcW w:w="100" w:type="dxa"/>
            <w:vAlign w:val="bottom"/>
            <w:tcBorders>
              <w:bottom w:val="single" w:sz="8" w:color="0000EE"/>
            </w:tcBorders>
            <w:shd w:val="clear" w:color="auto" w:fill="CBDBD1"/>
          </w:tcPr>
          <w:p>
            <w:pPr>
              <w:jc w:val="center"/>
              <w:spacing w:after="0" w:line="17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260" w:type="dxa"/>
            <w:vAlign w:val="bottom"/>
            <w:tcBorders>
              <w:bottom w:val="single" w:sz="8" w:color="CBDBD1"/>
            </w:tcBorders>
            <w:shd w:val="clear" w:color="auto" w:fill="CBDBD1"/>
          </w:tcPr>
          <w:p>
            <w:pPr>
              <w:spacing w:after="0"/>
              <w:rPr>
                <w:sz w:val="17"/>
                <w:szCs w:val="17"/>
                <w:color w:val="auto"/>
              </w:rPr>
            </w:pPr>
          </w:p>
        </w:tc>
        <w:tc>
          <w:tcPr>
            <w:tcW w:w="1720" w:type="dxa"/>
            <w:vAlign w:val="bottom"/>
          </w:tcPr>
          <w:p>
            <w:pPr>
              <w:spacing w:after="0"/>
              <w:rPr>
                <w:sz w:val="17"/>
                <w:szCs w:val="17"/>
                <w:color w:val="auto"/>
              </w:rPr>
            </w:pPr>
          </w:p>
        </w:tc>
      </w:tr>
      <w:tr>
        <w:trPr>
          <w:trHeight w:val="178"/>
        </w:trPr>
        <w:tc>
          <w:tcPr>
            <w:tcW w:w="1720" w:type="dxa"/>
            <w:vAlign w:val="bottom"/>
          </w:tcPr>
          <w:p>
            <w:pPr>
              <w:spacing w:after="0"/>
              <w:rPr>
                <w:sz w:val="15"/>
                <w:szCs w:val="15"/>
                <w:color w:val="auto"/>
              </w:rPr>
            </w:pPr>
          </w:p>
        </w:tc>
        <w:tc>
          <w:tcPr>
            <w:tcW w:w="500" w:type="dxa"/>
            <w:vAlign w:val="bottom"/>
            <w:tcBorders>
              <w:bottom w:val="single" w:sz="8" w:color="0000EE"/>
            </w:tcBorders>
          </w:tcPr>
          <w:p>
            <w:pPr>
              <w:spacing w:after="0" w:line="16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Item 5:</w:t>
              </w:r>
            </w:hyperlink>
          </w:p>
        </w:tc>
        <w:tc>
          <w:tcPr>
            <w:tcW w:w="400" w:type="dxa"/>
            <w:vAlign w:val="bottom"/>
            <w:gridSpan w:val="2"/>
          </w:tcPr>
          <w:p>
            <w:pPr>
              <w:spacing w:after="0"/>
              <w:rPr>
                <w:sz w:val="15"/>
                <w:szCs w:val="15"/>
                <w:color w:val="auto"/>
              </w:rPr>
            </w:pPr>
          </w:p>
        </w:tc>
        <w:tc>
          <w:tcPr>
            <w:tcW w:w="1260" w:type="dxa"/>
            <w:vAlign w:val="bottom"/>
            <w:tcBorders>
              <w:bottom w:val="single" w:sz="8" w:color="0000EE"/>
            </w:tcBorders>
            <w:gridSpan w:val="3"/>
          </w:tcPr>
          <w:p>
            <w:pPr>
              <w:spacing w:after="0" w:line="169" w:lineRule="exact"/>
              <w:rPr>
                <w:rFonts w:ascii="Times New Roman" w:cs="Times New Roman" w:eastAsia="Times New Roman" w:hAnsi="Times New Roman"/>
                <w:sz w:val="17"/>
                <w:szCs w:val="17"/>
                <w:color w:val="0000EE"/>
                <w:w w:val="99"/>
              </w:rPr>
            </w:pPr>
            <w:hyperlink w:anchor="page20">
              <w:r>
                <w:rPr>
                  <w:rFonts w:ascii="Times New Roman" w:cs="Times New Roman" w:eastAsia="Times New Roman" w:hAnsi="Times New Roman"/>
                  <w:sz w:val="17"/>
                  <w:szCs w:val="17"/>
                  <w:color w:val="0000EE"/>
                  <w:w w:val="99"/>
                </w:rPr>
                <w:t>Other Information</w:t>
              </w:r>
            </w:hyperlink>
          </w:p>
        </w:tc>
        <w:tc>
          <w:tcPr>
            <w:tcW w:w="5140" w:type="dxa"/>
            <w:vAlign w:val="bottom"/>
            <w:gridSpan w:val="14"/>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6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7"/>
        </w:trPr>
        <w:tc>
          <w:tcPr>
            <w:tcW w:w="1720" w:type="dxa"/>
            <w:vAlign w:val="bottom"/>
          </w:tcPr>
          <w:p>
            <w:pPr>
              <w:spacing w:after="0"/>
              <w:rPr>
                <w:sz w:val="17"/>
                <w:szCs w:val="17"/>
                <w:color w:val="auto"/>
              </w:rPr>
            </w:pPr>
          </w:p>
        </w:tc>
        <w:tc>
          <w:tcPr>
            <w:tcW w:w="500" w:type="dxa"/>
            <w:vAlign w:val="bottom"/>
            <w:tcBorders>
              <w:bottom w:val="single" w:sz="8" w:color="0000EE"/>
            </w:tcBorders>
            <w:shd w:val="clear" w:color="auto" w:fill="CBDBD1"/>
          </w:tcPr>
          <w:p>
            <w:pPr>
              <w:spacing w:after="0" w:line="17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Item 6:</w:t>
              </w:r>
            </w:hyperlink>
          </w:p>
        </w:tc>
        <w:tc>
          <w:tcPr>
            <w:tcW w:w="400" w:type="dxa"/>
            <w:vAlign w:val="bottom"/>
            <w:tcBorders>
              <w:bottom w:val="single" w:sz="8" w:color="CBDBD1"/>
            </w:tcBorders>
            <w:gridSpan w:val="2"/>
            <w:shd w:val="clear" w:color="auto" w:fill="CBDBD1"/>
          </w:tcPr>
          <w:p>
            <w:pPr>
              <w:spacing w:after="0"/>
              <w:rPr>
                <w:sz w:val="17"/>
                <w:szCs w:val="17"/>
                <w:color w:val="auto"/>
              </w:rPr>
            </w:pPr>
          </w:p>
        </w:tc>
        <w:tc>
          <w:tcPr>
            <w:tcW w:w="580" w:type="dxa"/>
            <w:vAlign w:val="bottom"/>
            <w:tcBorders>
              <w:bottom w:val="single" w:sz="8" w:color="0000EE"/>
            </w:tcBorders>
            <w:shd w:val="clear" w:color="auto" w:fill="CBDBD1"/>
          </w:tcPr>
          <w:p>
            <w:pPr>
              <w:spacing w:after="0" w:line="179" w:lineRule="exact"/>
              <w:rPr>
                <w:rFonts w:ascii="Times New Roman" w:cs="Times New Roman" w:eastAsia="Times New Roman" w:hAnsi="Times New Roman"/>
                <w:sz w:val="17"/>
                <w:szCs w:val="17"/>
                <w:color w:val="0000EE"/>
                <w:w w:val="98"/>
              </w:rPr>
            </w:pPr>
            <w:hyperlink w:anchor="page20">
              <w:r>
                <w:rPr>
                  <w:rFonts w:ascii="Times New Roman" w:cs="Times New Roman" w:eastAsia="Times New Roman" w:hAnsi="Times New Roman"/>
                  <w:sz w:val="17"/>
                  <w:szCs w:val="17"/>
                  <w:color w:val="0000EE"/>
                  <w:w w:val="98"/>
                </w:rPr>
                <w:t>Exhibits</w:t>
              </w:r>
            </w:hyperlink>
          </w:p>
        </w:tc>
        <w:tc>
          <w:tcPr>
            <w:tcW w:w="5820" w:type="dxa"/>
            <w:vAlign w:val="bottom"/>
            <w:tcBorders>
              <w:bottom w:val="single" w:sz="8" w:color="CBDBD1"/>
            </w:tcBorders>
            <w:gridSpan w:val="16"/>
            <w:shd w:val="clear" w:color="auto" w:fill="CBDBD1"/>
          </w:tcPr>
          <w:p>
            <w:pPr>
              <w:spacing w:after="0"/>
              <w:rPr>
                <w:sz w:val="17"/>
                <w:szCs w:val="17"/>
                <w:color w:val="auto"/>
              </w:rPr>
            </w:pPr>
          </w:p>
        </w:tc>
        <w:tc>
          <w:tcPr>
            <w:tcW w:w="320" w:type="dxa"/>
            <w:vAlign w:val="bottom"/>
            <w:tcBorders>
              <w:bottom w:val="single" w:sz="8" w:color="CBDBD1"/>
            </w:tcBorders>
            <w:shd w:val="clear" w:color="auto" w:fill="CBDBD1"/>
          </w:tcPr>
          <w:p>
            <w:pPr>
              <w:spacing w:after="0"/>
              <w:rPr>
                <w:sz w:val="17"/>
                <w:szCs w:val="17"/>
                <w:color w:val="auto"/>
              </w:rPr>
            </w:pPr>
          </w:p>
        </w:tc>
        <w:tc>
          <w:tcPr>
            <w:tcW w:w="100" w:type="dxa"/>
            <w:vAlign w:val="bottom"/>
            <w:tcBorders>
              <w:bottom w:val="single" w:sz="8" w:color="0000EE"/>
            </w:tcBorders>
            <w:shd w:val="clear" w:color="auto" w:fill="CBDBD1"/>
          </w:tcPr>
          <w:p>
            <w:pPr>
              <w:jc w:val="center"/>
              <w:spacing w:after="0" w:line="179" w:lineRule="exact"/>
              <w:rPr>
                <w:rFonts w:ascii="Times New Roman" w:cs="Times New Roman" w:eastAsia="Times New Roman" w:hAnsi="Times New Roman"/>
                <w:sz w:val="17"/>
                <w:szCs w:val="17"/>
                <w:color w:val="0000EE"/>
              </w:rPr>
            </w:pPr>
            <w:hyperlink w:anchor="page20">
              <w:r>
                <w:rPr>
                  <w:rFonts w:ascii="Times New Roman" w:cs="Times New Roman" w:eastAsia="Times New Roman" w:hAnsi="Times New Roman"/>
                  <w:sz w:val="17"/>
                  <w:szCs w:val="17"/>
                  <w:color w:val="0000EE"/>
                </w:rPr>
                <w:t>8</w:t>
              </w:r>
            </w:hyperlink>
          </w:p>
        </w:tc>
        <w:tc>
          <w:tcPr>
            <w:tcW w:w="260" w:type="dxa"/>
            <w:vAlign w:val="bottom"/>
            <w:tcBorders>
              <w:bottom w:val="single" w:sz="8" w:color="CBDBD1"/>
            </w:tcBorders>
            <w:shd w:val="clear" w:color="auto" w:fill="CBDBD1"/>
          </w:tcPr>
          <w:p>
            <w:pPr>
              <w:spacing w:after="0"/>
              <w:rPr>
                <w:sz w:val="17"/>
                <w:szCs w:val="17"/>
                <w:color w:val="auto"/>
              </w:rPr>
            </w:pPr>
          </w:p>
        </w:tc>
        <w:tc>
          <w:tcPr>
            <w:tcW w:w="1720" w:type="dxa"/>
            <w:vAlign w:val="bottom"/>
          </w:tcPr>
          <w:p>
            <w:pPr>
              <w:spacing w:after="0"/>
              <w:rPr>
                <w:sz w:val="17"/>
                <w:szCs w:val="17"/>
                <w:color w:val="auto"/>
              </w:rPr>
            </w:pPr>
          </w:p>
        </w:tc>
      </w:tr>
      <w:tr>
        <w:trPr>
          <w:trHeight w:val="442"/>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11"/>
          </w:tcPr>
          <w:p>
            <w:pPr>
              <w:jc w:val="center"/>
              <w:ind w:left="2493"/>
              <w:spacing w:after="0"/>
              <w:rPr>
                <w:sz w:val="20"/>
                <w:szCs w:val="20"/>
                <w:color w:val="auto"/>
              </w:rPr>
            </w:pPr>
            <w:r>
              <w:rPr>
                <w:rFonts w:ascii="Times New Roman" w:cs="Times New Roman" w:eastAsia="Times New Roman" w:hAnsi="Times New Roman"/>
                <w:sz w:val="17"/>
                <w:szCs w:val="17"/>
                <w:color w:val="auto"/>
                <w:w w:val="93"/>
              </w:rPr>
              <w:t>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3"/>
        </w:trPr>
        <w:tc>
          <w:tcPr>
            <w:tcW w:w="17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consolidated financial statements included in this Form 10-Q are as follows:</w:t>
      </w:r>
    </w:p>
    <w:p>
      <w:pPr>
        <w:sectPr>
          <w:pgSz w:w="11900" w:h="16838" w:orient="portrait"/>
          <w:cols w:equalWidth="0" w:num="1">
            <w:col w:w="11420"/>
          </w:cols>
          <w:pgMar w:left="240" w:top="353" w:right="239" w:bottom="1440" w:gutter="0" w:footer="0" w:header="0"/>
        </w:sectPr>
      </w:pPr>
    </w:p>
    <w:p>
      <w:pPr>
        <w:spacing w:after="0" w:line="246"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F-1</w:t>
        </w:r>
      </w:hyperlink>
    </w:p>
    <w:p>
      <w:pPr>
        <w:spacing w:after="0" w:line="324"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F-2</w:t>
        </w:r>
      </w:hyperlink>
    </w:p>
    <w:p>
      <w:pPr>
        <w:spacing w:after="0" w:line="324"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F-3</w:t>
        </w:r>
      </w:hyperlink>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Consolidated Balance Sheets as of March 31, 2009 (unaudited) and December 31, 2008 (audited);</w:t>
        </w:r>
      </w:hyperlink>
    </w:p>
    <w:p>
      <w:pPr>
        <w:spacing w:after="0" w:line="220" w:lineRule="exact"/>
        <w:rPr>
          <w:sz w:val="20"/>
          <w:szCs w:val="20"/>
          <w:color w:val="auto"/>
        </w:rPr>
      </w:pPr>
    </w:p>
    <w:p>
      <w:pPr>
        <w:spacing w:after="0" w:line="293" w:lineRule="auto"/>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Unaudited Consolidated Statements of Operations for the three months ended March 31, 2009 and 2008 and for the period from January 31, 2006 (Inception)</w:t>
        </w:r>
      </w:hyperlink>
      <w:r>
        <w:rPr>
          <w:rFonts w:ascii="Times New Roman" w:cs="Times New Roman" w:eastAsia="Times New Roman" w:hAnsi="Times New Roman"/>
          <w:sz w:val="17"/>
          <w:szCs w:val="17"/>
          <w:u w:val="single" w:color="auto"/>
          <w:color w:val="0000EE"/>
        </w:rPr>
        <w:t xml:space="preserve"> </w:t>
      </w:r>
      <w:hyperlink w:anchor="page5">
        <w:r>
          <w:rPr>
            <w:rFonts w:ascii="Times New Roman" w:cs="Times New Roman" w:eastAsia="Times New Roman" w:hAnsi="Times New Roman"/>
            <w:sz w:val="17"/>
            <w:szCs w:val="17"/>
            <w:u w:val="single" w:color="auto"/>
            <w:color w:val="0000EE"/>
          </w:rPr>
          <w:t>to March 31, 2009;</w:t>
        </w:r>
      </w:hyperlink>
    </w:p>
    <w:p>
      <w:pPr>
        <w:spacing w:after="0" w:line="146"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Consolidated Statement of Stockholders’ Equity (unaudited) for the period from January 1, 2007 to March 31, 2009</w:t>
        </w:r>
      </w:hyperlink>
    </w:p>
    <w:p>
      <w:pPr>
        <w:spacing w:after="0" w:line="22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Unaudited Consolidated Statements of Cash Flow for the three months ended March 31, 2009 and 2008 and for the period from January 31, 2006 (Inception) to March 31, 2009;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00" w:lineRule="exact"/>
        <w:rPr>
          <w:sz w:val="20"/>
          <w:szCs w:val="20"/>
          <w:color w:val="auto"/>
        </w:rPr>
      </w:pPr>
    </w:p>
    <w:p>
      <w:pPr>
        <w:sectPr>
          <w:pgSz w:w="11900" w:h="16838" w:orient="portrait"/>
          <w:cols w:equalWidth="0" w:num="2">
            <w:col w:w="240" w:space="240"/>
            <w:col w:w="10940"/>
          </w:cols>
          <w:pgMar w:left="240" w:top="353" w:right="239" w:bottom="1440" w:gutter="0" w:footer="0" w:header="0"/>
          <w:type w:val="continuous"/>
        </w:sectPr>
      </w:pPr>
    </w:p>
    <w:p>
      <w:pPr>
        <w:spacing w:after="0" w:line="46"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2009 are not necessarily indicative of the results that can be expected for the full year.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1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 2009 AND DECEMBER 31, 2008</w:t>
      </w: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560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3/31/09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12/31/08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(unaudited)</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(audited)</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1,822,771</w:t>
            </w:r>
          </w:p>
        </w:tc>
        <w:tc>
          <w:tcPr>
            <w:tcW w:w="80" w:type="dxa"/>
            <w:vAlign w:val="bottom"/>
            <w:shd w:val="clear" w:color="auto" w:fill="CBDBD1"/>
          </w:tcPr>
          <w:p>
            <w:pPr>
              <w:spacing w:after="0"/>
              <w:rPr>
                <w:sz w:val="18"/>
                <w:szCs w:val="18"/>
                <w:color w:val="auto"/>
              </w:rPr>
            </w:pPr>
          </w:p>
        </w:tc>
        <w:tc>
          <w:tcPr>
            <w:tcW w:w="180" w:type="dxa"/>
            <w:vAlign w:val="bottom"/>
            <w:shd w:val="clear" w:color="auto" w:fill="CBDBD1"/>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2,502,657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3,205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Loan receivable - employee</w:t>
            </w:r>
          </w:p>
        </w:tc>
        <w:tc>
          <w:tcPr>
            <w:tcW w:w="160" w:type="dxa"/>
            <w:vAlign w:val="bottom"/>
            <w:shd w:val="clear" w:color="auto" w:fill="CBDBD1"/>
          </w:tcPr>
          <w:p>
            <w:pPr>
              <w:spacing w:after="0"/>
              <w:rPr>
                <w:sz w:val="18"/>
                <w:szCs w:val="18"/>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Borders>
              <w:top w:val="single" w:sz="8" w:color="CBDBD1"/>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Borders>
              <w:bottom w:val="single" w:sz="8" w:color="CBDBD1"/>
            </w:tcBorders>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bottom w:val="single" w:sz="8" w:color="auto"/>
            </w:tcBorders>
            <w:shd w:val="clear" w:color="auto" w:fill="CBDBD1"/>
          </w:tcPr>
          <w:p>
            <w:pPr>
              <w:spacing w:after="0"/>
              <w:rPr>
                <w:sz w:val="18"/>
                <w:szCs w:val="18"/>
                <w:color w:val="auto"/>
              </w:rPr>
            </w:pPr>
          </w:p>
        </w:tc>
        <w:tc>
          <w:tcPr>
            <w:tcW w:w="100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1,825,976</w:t>
            </w:r>
          </w:p>
        </w:tc>
        <w:tc>
          <w:tcPr>
            <w:tcW w:w="80" w:type="dxa"/>
            <w:vAlign w:val="bottom"/>
            <w:tcBorders>
              <w:bottom w:val="single" w:sz="8" w:color="CBDBD1"/>
            </w:tcBorders>
            <w:shd w:val="clear" w:color="auto" w:fill="CBDBD1"/>
          </w:tcPr>
          <w:p>
            <w:pPr>
              <w:spacing w:after="0"/>
              <w:rPr>
                <w:sz w:val="18"/>
                <w:szCs w:val="18"/>
                <w:color w:val="auto"/>
              </w:rPr>
            </w:pPr>
          </w:p>
        </w:tc>
        <w:tc>
          <w:tcPr>
            <w:tcW w:w="180" w:type="dxa"/>
            <w:vAlign w:val="bottom"/>
            <w:tcBorders>
              <w:bottom w:val="single" w:sz="8" w:color="auto"/>
            </w:tcBorders>
            <w:shd w:val="clear" w:color="auto" w:fill="CBDBD1"/>
          </w:tcPr>
          <w:p>
            <w:pPr>
              <w:spacing w:after="0"/>
              <w:rPr>
                <w:sz w:val="18"/>
                <w:szCs w:val="18"/>
                <w:color w:val="auto"/>
              </w:rPr>
            </w:pPr>
          </w:p>
        </w:tc>
        <w:tc>
          <w:tcPr>
            <w:tcW w:w="96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2,507,295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Furniture and equipment</w:t>
            </w:r>
          </w:p>
        </w:tc>
        <w:tc>
          <w:tcPr>
            <w:tcW w:w="160" w:type="dxa"/>
            <w:vAlign w:val="bottom"/>
            <w:shd w:val="clear" w:color="auto" w:fill="CBDBD1"/>
          </w:tcPr>
          <w:p>
            <w:pPr>
              <w:spacing w:after="0"/>
              <w:rPr>
                <w:sz w:val="18"/>
                <w:szCs w:val="18"/>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16,888</w:t>
            </w: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(2,040)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spacing w:after="0"/>
              <w:rPr>
                <w:sz w:val="18"/>
                <w:szCs w:val="18"/>
                <w:color w:val="auto"/>
              </w:rPr>
            </w:pPr>
          </w:p>
        </w:tc>
        <w:tc>
          <w:tcPr>
            <w:tcW w:w="160" w:type="dxa"/>
            <w:vAlign w:val="bottom"/>
            <w:tcBorders>
              <w:top w:val="single" w:sz="8" w:color="auto"/>
            </w:tcBorders>
            <w:shd w:val="clear" w:color="auto" w:fill="CBDBD1"/>
          </w:tcPr>
          <w:p>
            <w:pPr>
              <w:spacing w:after="0"/>
              <w:rPr>
                <w:sz w:val="18"/>
                <w:szCs w:val="18"/>
                <w:color w:val="auto"/>
              </w:rPr>
            </w:pPr>
          </w:p>
        </w:tc>
        <w:tc>
          <w:tcPr>
            <w:tcW w:w="10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14,848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spacing w:after="0"/>
              <w:rPr>
                <w:sz w:val="18"/>
                <w:szCs w:val="18"/>
                <w:color w:val="auto"/>
              </w:rPr>
            </w:pPr>
          </w:p>
        </w:tc>
        <w:tc>
          <w:tcPr>
            <w:tcW w:w="160" w:type="dxa"/>
            <w:vAlign w:val="bottom"/>
            <w:tcBorders>
              <w:top w:val="single" w:sz="8" w:color="auto"/>
            </w:tcBorders>
            <w:shd w:val="clear" w:color="auto" w:fill="CBDBD1"/>
          </w:tcPr>
          <w:p>
            <w:pPr>
              <w:spacing w:after="0"/>
              <w:rPr>
                <w:sz w:val="18"/>
                <w:szCs w:val="18"/>
                <w:color w:val="auto"/>
              </w:rPr>
            </w:pPr>
          </w:p>
        </w:tc>
        <w:tc>
          <w:tcPr>
            <w:tcW w:w="10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Website development costs, net</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113,030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spacing w:after="0"/>
              <w:rPr>
                <w:sz w:val="18"/>
                <w:szCs w:val="18"/>
                <w:color w:val="auto"/>
              </w:rPr>
            </w:pPr>
          </w:p>
        </w:tc>
        <w:tc>
          <w:tcPr>
            <w:tcW w:w="160" w:type="dxa"/>
            <w:vAlign w:val="bottom"/>
            <w:tcBorders>
              <w:top w:val="single" w:sz="8" w:color="auto"/>
            </w:tcBorders>
            <w:shd w:val="clear" w:color="auto" w:fill="CBDBD1"/>
          </w:tcPr>
          <w:p>
            <w:pPr>
              <w:spacing w:after="0"/>
              <w:rPr>
                <w:sz w:val="18"/>
                <w:szCs w:val="18"/>
                <w:color w:val="auto"/>
              </w:rPr>
            </w:pPr>
          </w:p>
        </w:tc>
        <w:tc>
          <w:tcPr>
            <w:tcW w:w="10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OTHER ASSETS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113,030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spacing w:after="0"/>
              <w:rPr>
                <w:sz w:val="18"/>
                <w:szCs w:val="18"/>
                <w:color w:val="auto"/>
              </w:rPr>
            </w:pPr>
          </w:p>
        </w:tc>
        <w:tc>
          <w:tcPr>
            <w:tcW w:w="160" w:type="dxa"/>
            <w:vAlign w:val="bottom"/>
            <w:tcBorders>
              <w:top w:val="single" w:sz="8" w:color="auto"/>
            </w:tcBorders>
            <w:shd w:val="clear" w:color="auto" w:fill="CBDBD1"/>
          </w:tcPr>
          <w:p>
            <w:pPr>
              <w:spacing w:after="0"/>
              <w:rPr>
                <w:sz w:val="18"/>
                <w:szCs w:val="18"/>
                <w:color w:val="auto"/>
              </w:rPr>
            </w:pPr>
          </w:p>
        </w:tc>
        <w:tc>
          <w:tcPr>
            <w:tcW w:w="10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1,953,854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600" w:type="dxa"/>
            <w:vAlign w:val="bottom"/>
            <w:shd w:val="clear" w:color="auto" w:fill="CBDBD1"/>
          </w:tcPr>
          <w:p>
            <w:pPr>
              <w:spacing w:after="0"/>
              <w:rPr>
                <w:sz w:val="21"/>
                <w:szCs w:val="21"/>
                <w:color w:val="auto"/>
              </w:rPr>
            </w:pPr>
          </w:p>
        </w:tc>
        <w:tc>
          <w:tcPr>
            <w:tcW w:w="160" w:type="dxa"/>
            <w:vAlign w:val="bottom"/>
            <w:shd w:val="clear" w:color="auto" w:fill="CBDBD1"/>
          </w:tcPr>
          <w:p>
            <w:pPr>
              <w:spacing w:after="0"/>
              <w:rPr>
                <w:sz w:val="21"/>
                <w:szCs w:val="21"/>
                <w:color w:val="auto"/>
              </w:rPr>
            </w:pPr>
          </w:p>
        </w:tc>
        <w:tc>
          <w:tcPr>
            <w:tcW w:w="1000" w:type="dxa"/>
            <w:vAlign w:val="bottom"/>
            <w:shd w:val="clear" w:color="auto" w:fill="CBDBD1"/>
          </w:tcPr>
          <w:p>
            <w:pPr>
              <w:spacing w:after="0"/>
              <w:rPr>
                <w:sz w:val="21"/>
                <w:szCs w:val="21"/>
                <w:color w:val="auto"/>
              </w:rPr>
            </w:pPr>
          </w:p>
        </w:tc>
        <w:tc>
          <w:tcPr>
            <w:tcW w:w="80" w:type="dxa"/>
            <w:vAlign w:val="bottom"/>
            <w:shd w:val="clear" w:color="auto" w:fill="CBDBD1"/>
          </w:tcPr>
          <w:p>
            <w:pPr>
              <w:spacing w:after="0"/>
              <w:rPr>
                <w:sz w:val="21"/>
                <w:szCs w:val="21"/>
                <w:color w:val="auto"/>
              </w:rPr>
            </w:pPr>
          </w:p>
        </w:tc>
        <w:tc>
          <w:tcPr>
            <w:tcW w:w="180" w:type="dxa"/>
            <w:vAlign w:val="bottom"/>
            <w:shd w:val="clear" w:color="auto" w:fill="CBDBD1"/>
          </w:tcPr>
          <w:p>
            <w:pPr>
              <w:spacing w:after="0"/>
              <w:rPr>
                <w:sz w:val="21"/>
                <w:szCs w:val="21"/>
                <w:color w:val="auto"/>
              </w:rPr>
            </w:pPr>
          </w:p>
        </w:tc>
        <w:tc>
          <w:tcPr>
            <w:tcW w:w="960" w:type="dxa"/>
            <w:vAlign w:val="bottom"/>
            <w:shd w:val="clear" w:color="auto" w:fill="CBDBD1"/>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600" w:type="dxa"/>
            <w:vAlign w:val="bottom"/>
            <w:tcBorders>
              <w:bottom w:val="single" w:sz="8" w:color="CBDBD1"/>
            </w:tcBorders>
            <w:shd w:val="clear" w:color="auto" w:fill="CBDBD1"/>
          </w:tcPr>
          <w:p>
            <w:pPr>
              <w:ind w:left="104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160" w:type="dxa"/>
            <w:vAlign w:val="bottom"/>
            <w:tcBorders>
              <w:bottom w:val="single" w:sz="8" w:color="CBDBD1"/>
            </w:tcBorders>
            <w:shd w:val="clear" w:color="auto" w:fill="CBDBD1"/>
          </w:tcPr>
          <w:p>
            <w:pPr>
              <w:spacing w:after="0"/>
              <w:rPr>
                <w:sz w:val="20"/>
                <w:szCs w:val="20"/>
                <w:color w:val="auto"/>
              </w:rPr>
            </w:pPr>
          </w:p>
        </w:tc>
        <w:tc>
          <w:tcPr>
            <w:tcW w:w="1000" w:type="dxa"/>
            <w:vAlign w:val="bottom"/>
            <w:tcBorders>
              <w:bottom w:val="single" w:sz="8" w:color="CBDBD1"/>
            </w:tcBorders>
            <w:shd w:val="clear" w:color="auto" w:fill="CBDBD1"/>
          </w:tcPr>
          <w:p>
            <w:pPr>
              <w:spacing w:after="0"/>
              <w:rPr>
                <w:sz w:val="20"/>
                <w:szCs w:val="20"/>
                <w:color w:val="auto"/>
              </w:rPr>
            </w:pPr>
          </w:p>
        </w:tc>
        <w:tc>
          <w:tcPr>
            <w:tcW w:w="80" w:type="dxa"/>
            <w:vAlign w:val="bottom"/>
            <w:tcBorders>
              <w:bottom w:val="single" w:sz="8" w:color="CBDBD1"/>
            </w:tcBorders>
            <w:shd w:val="clear" w:color="auto" w:fill="CBDBD1"/>
          </w:tcPr>
          <w:p>
            <w:pPr>
              <w:spacing w:after="0"/>
              <w:rPr>
                <w:sz w:val="20"/>
                <w:szCs w:val="20"/>
                <w:color w:val="auto"/>
              </w:rPr>
            </w:pPr>
          </w:p>
        </w:tc>
        <w:tc>
          <w:tcPr>
            <w:tcW w:w="180" w:type="dxa"/>
            <w:vAlign w:val="bottom"/>
            <w:tcBorders>
              <w:bottom w:val="single" w:sz="8" w:color="CBDBD1"/>
            </w:tcBorders>
            <w:shd w:val="clear" w:color="auto" w:fill="CBDBD1"/>
          </w:tcPr>
          <w:p>
            <w:pPr>
              <w:spacing w:after="0"/>
              <w:rPr>
                <w:sz w:val="20"/>
                <w:szCs w:val="20"/>
                <w:color w:val="auto"/>
              </w:rPr>
            </w:pPr>
          </w:p>
        </w:tc>
        <w:tc>
          <w:tcPr>
            <w:tcW w:w="960" w:type="dxa"/>
            <w:vAlign w:val="bottom"/>
            <w:tcBorders>
              <w:bottom w:val="single" w:sz="8" w:color="CBDBD1"/>
            </w:tcBorders>
            <w:shd w:val="clear" w:color="auto" w:fill="CBDBD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600" w:type="dxa"/>
            <w:vAlign w:val="bottom"/>
            <w:tcBorders>
              <w:bottom w:val="single" w:sz="8" w:color="CBDBD1"/>
            </w:tcBorders>
            <w:shd w:val="clear" w:color="auto" w:fill="CBDBD1"/>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Borders>
              <w:bottom w:val="single" w:sz="8" w:color="CBDBD1"/>
            </w:tcBorders>
            <w:shd w:val="clear" w:color="auto" w:fill="CBDBD1"/>
          </w:tcPr>
          <w:p>
            <w:pPr>
              <w:spacing w:after="0"/>
              <w:rPr>
                <w:sz w:val="20"/>
                <w:szCs w:val="20"/>
                <w:color w:val="auto"/>
              </w:rPr>
            </w:pPr>
          </w:p>
        </w:tc>
        <w:tc>
          <w:tcPr>
            <w:tcW w:w="1000" w:type="dxa"/>
            <w:vAlign w:val="bottom"/>
            <w:tcBorders>
              <w:bottom w:val="single" w:sz="8" w:color="CBDBD1"/>
            </w:tcBorders>
            <w:shd w:val="clear" w:color="auto" w:fill="CBDBD1"/>
          </w:tcPr>
          <w:p>
            <w:pPr>
              <w:spacing w:after="0"/>
              <w:rPr>
                <w:sz w:val="20"/>
                <w:szCs w:val="20"/>
                <w:color w:val="auto"/>
              </w:rPr>
            </w:pPr>
          </w:p>
        </w:tc>
        <w:tc>
          <w:tcPr>
            <w:tcW w:w="80" w:type="dxa"/>
            <w:vAlign w:val="bottom"/>
            <w:tcBorders>
              <w:bottom w:val="single" w:sz="8" w:color="CBDBD1"/>
            </w:tcBorders>
            <w:shd w:val="clear" w:color="auto" w:fill="CBDBD1"/>
          </w:tcPr>
          <w:p>
            <w:pPr>
              <w:spacing w:after="0"/>
              <w:rPr>
                <w:sz w:val="20"/>
                <w:szCs w:val="20"/>
                <w:color w:val="auto"/>
              </w:rPr>
            </w:pPr>
          </w:p>
        </w:tc>
        <w:tc>
          <w:tcPr>
            <w:tcW w:w="180" w:type="dxa"/>
            <w:vAlign w:val="bottom"/>
            <w:tcBorders>
              <w:bottom w:val="single" w:sz="8" w:color="CBDBD1"/>
            </w:tcBorders>
            <w:shd w:val="clear" w:color="auto" w:fill="CBDBD1"/>
          </w:tcPr>
          <w:p>
            <w:pPr>
              <w:spacing w:after="0"/>
              <w:rPr>
                <w:sz w:val="20"/>
                <w:szCs w:val="20"/>
                <w:color w:val="auto"/>
              </w:rPr>
            </w:pPr>
          </w:p>
        </w:tc>
        <w:tc>
          <w:tcPr>
            <w:tcW w:w="960" w:type="dxa"/>
            <w:vAlign w:val="bottom"/>
            <w:tcBorders>
              <w:bottom w:val="single" w:sz="8" w:color="CBDBD1"/>
            </w:tcBorders>
            <w:shd w:val="clear" w:color="auto" w:fill="CBDBD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 - 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182,800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172, 796</w:t>
            </w:r>
          </w:p>
        </w:tc>
        <w:tc>
          <w:tcPr>
            <w:tcW w:w="0" w:type="dxa"/>
            <w:vAlign w:val="bottom"/>
          </w:tcPr>
          <w:p>
            <w:pPr>
              <w:spacing w:after="0"/>
              <w:rPr>
                <w:sz w:val="1"/>
                <w:szCs w:val="1"/>
                <w:color w:val="auto"/>
              </w:rPr>
            </w:pPr>
          </w:p>
        </w:tc>
      </w:tr>
      <w:tr>
        <w:trPr>
          <w:trHeight w:val="260"/>
        </w:trPr>
        <w:tc>
          <w:tcPr>
            <w:tcW w:w="56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Payroll taxes payable</w:t>
            </w:r>
          </w:p>
        </w:tc>
        <w:tc>
          <w:tcPr>
            <w:tcW w:w="160" w:type="dxa"/>
            <w:vAlign w:val="bottom"/>
            <w:shd w:val="clear" w:color="auto" w:fill="CBDBD1"/>
          </w:tcPr>
          <w:p>
            <w:pPr>
              <w:spacing w:after="0"/>
              <w:rPr>
                <w:sz w:val="22"/>
                <w:szCs w:val="22"/>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BDBD1"/>
          </w:tcPr>
          <w:p>
            <w:pPr>
              <w:spacing w:after="0"/>
              <w:rPr>
                <w:sz w:val="22"/>
                <w:szCs w:val="22"/>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24,091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6,273</w:t>
            </w: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16,939</w:t>
            </w:r>
          </w:p>
        </w:tc>
        <w:tc>
          <w:tcPr>
            <w:tcW w:w="0" w:type="dxa"/>
            <w:vAlign w:val="bottom"/>
          </w:tcPr>
          <w:p>
            <w:pPr>
              <w:spacing w:after="0"/>
              <w:rPr>
                <w:sz w:val="1"/>
                <w:szCs w:val="1"/>
                <w:color w:val="auto"/>
              </w:rPr>
            </w:pPr>
          </w:p>
        </w:tc>
      </w:tr>
      <w:tr>
        <w:trPr>
          <w:trHeight w:val="214"/>
        </w:trPr>
        <w:tc>
          <w:tcPr>
            <w:tcW w:w="56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Note payable - related parties</w:t>
            </w:r>
          </w:p>
        </w:tc>
        <w:tc>
          <w:tcPr>
            <w:tcW w:w="160" w:type="dxa"/>
            <w:vAlign w:val="bottom"/>
            <w:shd w:val="clear" w:color="auto" w:fill="CBDBD1"/>
          </w:tcPr>
          <w:p>
            <w:pPr>
              <w:spacing w:after="0"/>
              <w:rPr>
                <w:sz w:val="18"/>
                <w:szCs w:val="18"/>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4,000</w:t>
            </w: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00" w:type="dxa"/>
            <w:vAlign w:val="bottom"/>
            <w:tcBorders>
              <w:top w:val="single" w:sz="8" w:color="CBDBD1"/>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Borders>
              <w:top w:val="single" w:sz="8" w:color="CBDBD1"/>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600" w:type="dxa"/>
            <w:vAlign w:val="bottom"/>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BDBD1"/>
          </w:tcPr>
          <w:p>
            <w:pPr>
              <w:spacing w:after="0"/>
              <w:rPr>
                <w:sz w:val="18"/>
                <w:szCs w:val="18"/>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193,073</w:t>
            </w: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217,799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00" w:type="dxa"/>
            <w:vAlign w:val="bottom"/>
            <w:tcBorders>
              <w:top w:val="single" w:sz="8" w:color="CBDBD1"/>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Borders>
              <w:top w:val="single" w:sz="8" w:color="CBDBD1"/>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600" w:type="dxa"/>
            <w:vAlign w:val="bottom"/>
            <w:tcBorders>
              <w:bottom w:val="single" w:sz="8" w:color="CBDBD1"/>
            </w:tcBorders>
            <w:shd w:val="clear" w:color="auto" w:fill="CBDBD1"/>
          </w:tcPr>
          <w:p>
            <w:pPr>
              <w:spacing w:after="0"/>
              <w:rPr>
                <w:sz w:val="20"/>
                <w:szCs w:val="20"/>
                <w:color w:val="auto"/>
              </w:rPr>
            </w:pPr>
            <w:r>
              <w:rPr>
                <w:rFonts w:ascii="Times New Roman" w:cs="Times New Roman" w:eastAsia="Times New Roman" w:hAnsi="Times New Roman"/>
                <w:sz w:val="17"/>
                <w:szCs w:val="17"/>
                <w:color w:val="auto"/>
              </w:rPr>
              <w:t>LONG TERM LIABILITIES</w:t>
            </w:r>
          </w:p>
        </w:tc>
        <w:tc>
          <w:tcPr>
            <w:tcW w:w="160" w:type="dxa"/>
            <w:vAlign w:val="bottom"/>
            <w:tcBorders>
              <w:bottom w:val="single" w:sz="8" w:color="CBDBD1"/>
            </w:tcBorders>
            <w:shd w:val="clear" w:color="auto" w:fill="CBDBD1"/>
          </w:tcPr>
          <w:p>
            <w:pPr>
              <w:spacing w:after="0"/>
              <w:rPr>
                <w:sz w:val="20"/>
                <w:szCs w:val="20"/>
                <w:color w:val="auto"/>
              </w:rPr>
            </w:pPr>
          </w:p>
        </w:tc>
        <w:tc>
          <w:tcPr>
            <w:tcW w:w="1000" w:type="dxa"/>
            <w:vAlign w:val="bottom"/>
            <w:tcBorders>
              <w:bottom w:val="single" w:sz="8" w:color="CBDBD1"/>
            </w:tcBorders>
            <w:shd w:val="clear" w:color="auto" w:fill="CBDBD1"/>
          </w:tcPr>
          <w:p>
            <w:pPr>
              <w:spacing w:after="0"/>
              <w:rPr>
                <w:sz w:val="20"/>
                <w:szCs w:val="20"/>
                <w:color w:val="auto"/>
              </w:rPr>
            </w:pPr>
          </w:p>
        </w:tc>
        <w:tc>
          <w:tcPr>
            <w:tcW w:w="80" w:type="dxa"/>
            <w:vAlign w:val="bottom"/>
            <w:tcBorders>
              <w:bottom w:val="single" w:sz="8" w:color="CBDBD1"/>
            </w:tcBorders>
            <w:shd w:val="clear" w:color="auto" w:fill="CBDBD1"/>
          </w:tcPr>
          <w:p>
            <w:pPr>
              <w:spacing w:after="0"/>
              <w:rPr>
                <w:sz w:val="20"/>
                <w:szCs w:val="20"/>
                <w:color w:val="auto"/>
              </w:rPr>
            </w:pPr>
          </w:p>
        </w:tc>
        <w:tc>
          <w:tcPr>
            <w:tcW w:w="180" w:type="dxa"/>
            <w:vAlign w:val="bottom"/>
            <w:tcBorders>
              <w:bottom w:val="single" w:sz="8" w:color="CBDBD1"/>
            </w:tcBorders>
            <w:shd w:val="clear" w:color="auto" w:fill="CBDBD1"/>
          </w:tcPr>
          <w:p>
            <w:pPr>
              <w:spacing w:after="0"/>
              <w:rPr>
                <w:sz w:val="20"/>
                <w:szCs w:val="20"/>
                <w:color w:val="auto"/>
              </w:rPr>
            </w:pPr>
          </w:p>
        </w:tc>
        <w:tc>
          <w:tcPr>
            <w:tcW w:w="960" w:type="dxa"/>
            <w:vAlign w:val="bottom"/>
            <w:tcBorders>
              <w:bottom w:val="single" w:sz="8" w:color="CBDBD1"/>
            </w:tcBorders>
            <w:shd w:val="clear" w:color="auto" w:fill="CBDBD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Notes payable - related parties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00" w:type="dxa"/>
            <w:vAlign w:val="bottom"/>
            <w:shd w:val="clear" w:color="auto" w:fill="CBDBD1"/>
          </w:tcPr>
          <w:p>
            <w:pPr>
              <w:spacing w:after="0"/>
              <w:rPr>
                <w:sz w:val="22"/>
                <w:szCs w:val="22"/>
                <w:color w:val="auto"/>
              </w:rPr>
            </w:pPr>
          </w:p>
        </w:tc>
        <w:tc>
          <w:tcPr>
            <w:tcW w:w="160" w:type="dxa"/>
            <w:vAlign w:val="bottom"/>
            <w:tcBorders>
              <w:top w:val="single" w:sz="8" w:color="auto"/>
            </w:tcBorders>
            <w:shd w:val="clear" w:color="auto" w:fill="CBDBD1"/>
          </w:tcPr>
          <w:p>
            <w:pPr>
              <w:spacing w:after="0"/>
              <w:rPr>
                <w:sz w:val="22"/>
                <w:szCs w:val="22"/>
                <w:color w:val="auto"/>
              </w:rPr>
            </w:pPr>
          </w:p>
        </w:tc>
        <w:tc>
          <w:tcPr>
            <w:tcW w:w="1000" w:type="dxa"/>
            <w:vAlign w:val="bottom"/>
            <w:tcBorders>
              <w:top w:val="single" w:sz="8" w:color="auto"/>
            </w:tcBorders>
            <w:shd w:val="clear" w:color="auto" w:fill="CBDBD1"/>
          </w:tcPr>
          <w:p>
            <w:pPr>
              <w:spacing w:after="0"/>
              <w:rPr>
                <w:sz w:val="22"/>
                <w:szCs w:val="22"/>
                <w:color w:val="auto"/>
              </w:rPr>
            </w:pPr>
          </w:p>
        </w:tc>
        <w:tc>
          <w:tcPr>
            <w:tcW w:w="80" w:type="dxa"/>
            <w:vAlign w:val="bottom"/>
            <w:shd w:val="clear" w:color="auto" w:fill="CBDBD1"/>
          </w:tcPr>
          <w:p>
            <w:pPr>
              <w:spacing w:after="0"/>
              <w:rPr>
                <w:sz w:val="22"/>
                <w:szCs w:val="22"/>
                <w:color w:val="auto"/>
              </w:rPr>
            </w:pPr>
          </w:p>
        </w:tc>
        <w:tc>
          <w:tcPr>
            <w:tcW w:w="180" w:type="dxa"/>
            <w:vAlign w:val="bottom"/>
            <w:tcBorders>
              <w:top w:val="single" w:sz="8" w:color="auto"/>
            </w:tcBorders>
            <w:shd w:val="clear" w:color="auto" w:fill="CBDBD1"/>
          </w:tcPr>
          <w:p>
            <w:pPr>
              <w:spacing w:after="0"/>
              <w:rPr>
                <w:sz w:val="22"/>
                <w:szCs w:val="22"/>
                <w:color w:val="auto"/>
              </w:rPr>
            </w:pPr>
          </w:p>
        </w:tc>
        <w:tc>
          <w:tcPr>
            <w:tcW w:w="960" w:type="dxa"/>
            <w:vAlign w:val="bottom"/>
            <w:tcBorders>
              <w:top w:val="single" w:sz="8" w:color="auto"/>
            </w:tcBorders>
            <w:shd w:val="clear" w:color="auto" w:fill="CBDBD1"/>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LONG TERM LIABILITIES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00" w:type="dxa"/>
            <w:vAlign w:val="bottom"/>
            <w:shd w:val="clear" w:color="auto" w:fill="CBDBD1"/>
          </w:tcPr>
          <w:p>
            <w:pPr>
              <w:spacing w:after="0"/>
              <w:rPr>
                <w:sz w:val="22"/>
                <w:szCs w:val="22"/>
                <w:color w:val="auto"/>
              </w:rPr>
            </w:pPr>
          </w:p>
        </w:tc>
        <w:tc>
          <w:tcPr>
            <w:tcW w:w="160" w:type="dxa"/>
            <w:vAlign w:val="bottom"/>
            <w:tcBorders>
              <w:top w:val="single" w:sz="8" w:color="auto"/>
            </w:tcBorders>
            <w:shd w:val="clear" w:color="auto" w:fill="CBDBD1"/>
          </w:tcPr>
          <w:p>
            <w:pPr>
              <w:spacing w:after="0"/>
              <w:rPr>
                <w:sz w:val="22"/>
                <w:szCs w:val="22"/>
                <w:color w:val="auto"/>
              </w:rPr>
            </w:pPr>
          </w:p>
        </w:tc>
        <w:tc>
          <w:tcPr>
            <w:tcW w:w="1000" w:type="dxa"/>
            <w:vAlign w:val="bottom"/>
            <w:tcBorders>
              <w:top w:val="single" w:sz="8" w:color="auto"/>
            </w:tcBorders>
            <w:shd w:val="clear" w:color="auto" w:fill="CBDBD1"/>
          </w:tcPr>
          <w:p>
            <w:pPr>
              <w:spacing w:after="0"/>
              <w:rPr>
                <w:sz w:val="22"/>
                <w:szCs w:val="22"/>
                <w:color w:val="auto"/>
              </w:rPr>
            </w:pPr>
          </w:p>
        </w:tc>
        <w:tc>
          <w:tcPr>
            <w:tcW w:w="80" w:type="dxa"/>
            <w:vAlign w:val="bottom"/>
            <w:shd w:val="clear" w:color="auto" w:fill="CBDBD1"/>
          </w:tcPr>
          <w:p>
            <w:pPr>
              <w:spacing w:after="0"/>
              <w:rPr>
                <w:sz w:val="22"/>
                <w:szCs w:val="22"/>
                <w:color w:val="auto"/>
              </w:rPr>
            </w:pPr>
          </w:p>
        </w:tc>
        <w:tc>
          <w:tcPr>
            <w:tcW w:w="180" w:type="dxa"/>
            <w:vAlign w:val="bottom"/>
            <w:tcBorders>
              <w:top w:val="single" w:sz="8" w:color="auto"/>
            </w:tcBorders>
            <w:shd w:val="clear" w:color="auto" w:fill="CBDBD1"/>
          </w:tcPr>
          <w:p>
            <w:pPr>
              <w:spacing w:after="0"/>
              <w:rPr>
                <w:sz w:val="22"/>
                <w:szCs w:val="22"/>
                <w:color w:val="auto"/>
              </w:rPr>
            </w:pPr>
          </w:p>
        </w:tc>
        <w:tc>
          <w:tcPr>
            <w:tcW w:w="960" w:type="dxa"/>
            <w:vAlign w:val="bottom"/>
            <w:tcBorders>
              <w:top w:val="single" w:sz="8" w:color="auto"/>
            </w:tcBorders>
            <w:shd w:val="clear" w:color="auto" w:fill="CBDBD1"/>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193,073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00" w:type="dxa"/>
            <w:vAlign w:val="bottom"/>
            <w:shd w:val="clear" w:color="auto" w:fill="CBDBD1"/>
          </w:tcPr>
          <w:p>
            <w:pPr>
              <w:spacing w:after="0"/>
              <w:rPr>
                <w:sz w:val="22"/>
                <w:szCs w:val="22"/>
                <w:color w:val="auto"/>
              </w:rPr>
            </w:pPr>
          </w:p>
        </w:tc>
        <w:tc>
          <w:tcPr>
            <w:tcW w:w="160" w:type="dxa"/>
            <w:vAlign w:val="bottom"/>
            <w:tcBorders>
              <w:top w:val="single" w:sz="8" w:color="auto"/>
            </w:tcBorders>
            <w:shd w:val="clear" w:color="auto" w:fill="CBDBD1"/>
          </w:tcPr>
          <w:p>
            <w:pPr>
              <w:spacing w:after="0"/>
              <w:rPr>
                <w:sz w:val="22"/>
                <w:szCs w:val="22"/>
                <w:color w:val="auto"/>
              </w:rPr>
            </w:pPr>
          </w:p>
        </w:tc>
        <w:tc>
          <w:tcPr>
            <w:tcW w:w="1000" w:type="dxa"/>
            <w:vAlign w:val="bottom"/>
            <w:tcBorders>
              <w:top w:val="single" w:sz="8" w:color="auto"/>
            </w:tcBorders>
            <w:shd w:val="clear" w:color="auto" w:fill="CBDBD1"/>
          </w:tcPr>
          <w:p>
            <w:pPr>
              <w:spacing w:after="0"/>
              <w:rPr>
                <w:sz w:val="22"/>
                <w:szCs w:val="22"/>
                <w:color w:val="auto"/>
              </w:rPr>
            </w:pPr>
          </w:p>
        </w:tc>
        <w:tc>
          <w:tcPr>
            <w:tcW w:w="80" w:type="dxa"/>
            <w:vAlign w:val="bottom"/>
            <w:shd w:val="clear" w:color="auto" w:fill="CBDBD1"/>
          </w:tcPr>
          <w:p>
            <w:pPr>
              <w:spacing w:after="0"/>
              <w:rPr>
                <w:sz w:val="22"/>
                <w:szCs w:val="22"/>
                <w:color w:val="auto"/>
              </w:rPr>
            </w:pPr>
          </w:p>
        </w:tc>
        <w:tc>
          <w:tcPr>
            <w:tcW w:w="180" w:type="dxa"/>
            <w:vAlign w:val="bottom"/>
            <w:tcBorders>
              <w:top w:val="single" w:sz="8" w:color="auto"/>
            </w:tcBorders>
            <w:shd w:val="clear" w:color="auto" w:fill="CBDBD1"/>
          </w:tcPr>
          <w:p>
            <w:pPr>
              <w:spacing w:after="0"/>
              <w:rPr>
                <w:sz w:val="22"/>
                <w:szCs w:val="22"/>
                <w:color w:val="auto"/>
              </w:rPr>
            </w:pPr>
          </w:p>
        </w:tc>
        <w:tc>
          <w:tcPr>
            <w:tcW w:w="960" w:type="dxa"/>
            <w:vAlign w:val="bottom"/>
            <w:tcBorders>
              <w:top w:val="single" w:sz="8" w:color="auto"/>
            </w:tcBorders>
            <w:shd w:val="clear" w:color="auto" w:fill="CBDBD1"/>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600" w:type="dxa"/>
            <w:vAlign w:val="bottom"/>
            <w:shd w:val="clear" w:color="auto" w:fill="CBDBD1"/>
          </w:tcPr>
          <w:p>
            <w:pPr>
              <w:spacing w:after="0"/>
              <w:rPr>
                <w:sz w:val="22"/>
                <w:szCs w:val="22"/>
                <w:color w:val="auto"/>
              </w:rPr>
            </w:pPr>
          </w:p>
        </w:tc>
        <w:tc>
          <w:tcPr>
            <w:tcW w:w="160" w:type="dxa"/>
            <w:vAlign w:val="bottom"/>
            <w:shd w:val="clear" w:color="auto" w:fill="CBDBD1"/>
          </w:tcPr>
          <w:p>
            <w:pPr>
              <w:spacing w:after="0"/>
              <w:rPr>
                <w:sz w:val="22"/>
                <w:szCs w:val="22"/>
                <w:color w:val="auto"/>
              </w:rPr>
            </w:pPr>
          </w:p>
        </w:tc>
        <w:tc>
          <w:tcPr>
            <w:tcW w:w="1000" w:type="dxa"/>
            <w:vAlign w:val="bottom"/>
            <w:shd w:val="clear" w:color="auto" w:fill="CBDBD1"/>
          </w:tcPr>
          <w:p>
            <w:pPr>
              <w:spacing w:after="0"/>
              <w:rPr>
                <w:sz w:val="22"/>
                <w:szCs w:val="22"/>
                <w:color w:val="auto"/>
              </w:rPr>
            </w:pPr>
          </w:p>
        </w:tc>
        <w:tc>
          <w:tcPr>
            <w:tcW w:w="80" w:type="dxa"/>
            <w:vAlign w:val="bottom"/>
            <w:shd w:val="clear" w:color="auto" w:fill="CBDBD1"/>
          </w:tcPr>
          <w:p>
            <w:pPr>
              <w:spacing w:after="0"/>
              <w:rPr>
                <w:sz w:val="22"/>
                <w:szCs w:val="22"/>
                <w:color w:val="auto"/>
              </w:rPr>
            </w:pPr>
          </w:p>
        </w:tc>
        <w:tc>
          <w:tcPr>
            <w:tcW w:w="180" w:type="dxa"/>
            <w:vAlign w:val="bottom"/>
            <w:shd w:val="clear" w:color="auto" w:fill="CBDBD1"/>
          </w:tcPr>
          <w:p>
            <w:pPr>
              <w:spacing w:after="0"/>
              <w:rPr>
                <w:sz w:val="22"/>
                <w:szCs w:val="22"/>
                <w:color w:val="auto"/>
              </w:rPr>
            </w:pPr>
          </w:p>
        </w:tc>
        <w:tc>
          <w:tcPr>
            <w:tcW w:w="960" w:type="dxa"/>
            <w:vAlign w:val="bottom"/>
            <w:shd w:val="clear" w:color="auto" w:fill="CBDBD1"/>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$.001 par value, 500,000,000 shares authorized, 12,422,958</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1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12,423</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12,263</w:t>
            </w:r>
          </w:p>
        </w:tc>
        <w:tc>
          <w:tcPr>
            <w:tcW w:w="0" w:type="dxa"/>
            <w:vAlign w:val="bottom"/>
          </w:tcPr>
          <w:p>
            <w:pPr>
              <w:spacing w:after="0"/>
              <w:rPr>
                <w:sz w:val="1"/>
                <w:szCs w:val="1"/>
                <w:color w:val="auto"/>
              </w:rPr>
            </w:pPr>
          </w:p>
        </w:tc>
      </w:tr>
      <w:tr>
        <w:trPr>
          <w:trHeight w:val="189"/>
        </w:trPr>
        <w:tc>
          <w:tcPr>
            <w:tcW w:w="5600" w:type="dxa"/>
            <w:vAlign w:val="bottom"/>
            <w:shd w:val="clear" w:color="auto" w:fill="CBDBD1"/>
          </w:tcPr>
          <w:p>
            <w:pPr>
              <w:ind w:left="160"/>
              <w:spacing w:after="0" w:line="189" w:lineRule="exact"/>
              <w:rPr>
                <w:sz w:val="20"/>
                <w:szCs w:val="20"/>
                <w:color w:val="auto"/>
              </w:rPr>
            </w:pPr>
            <w:r>
              <w:rPr>
                <w:rFonts w:ascii="Times New Roman" w:cs="Times New Roman" w:eastAsia="Times New Roman" w:hAnsi="Times New Roman"/>
                <w:sz w:val="17"/>
                <w:szCs w:val="17"/>
                <w:color w:val="auto"/>
              </w:rPr>
              <w:t>Series A Convertible Preferred stock, $.001 par value 1,000 shares authorized,</w:t>
            </w:r>
          </w:p>
        </w:tc>
        <w:tc>
          <w:tcPr>
            <w:tcW w:w="160" w:type="dxa"/>
            <w:vAlign w:val="bottom"/>
            <w:shd w:val="clear" w:color="auto" w:fill="CBDBD1"/>
          </w:tcPr>
          <w:p>
            <w:pPr>
              <w:spacing w:after="0"/>
              <w:rPr>
                <w:sz w:val="16"/>
                <w:szCs w:val="16"/>
                <w:color w:val="auto"/>
              </w:rPr>
            </w:pPr>
          </w:p>
        </w:tc>
        <w:tc>
          <w:tcPr>
            <w:tcW w:w="100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80" w:type="dxa"/>
            <w:vAlign w:val="bottom"/>
            <w:shd w:val="clear" w:color="auto" w:fill="CBDBD1"/>
          </w:tcPr>
          <w:p>
            <w:pPr>
              <w:spacing w:after="0"/>
              <w:rPr>
                <w:sz w:val="16"/>
                <w:szCs w:val="16"/>
                <w:color w:val="auto"/>
              </w:rPr>
            </w:pPr>
          </w:p>
        </w:tc>
        <w:tc>
          <w:tcPr>
            <w:tcW w:w="96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35 shares issued and</w:t>
            </w:r>
          </w:p>
        </w:tc>
        <w:tc>
          <w:tcPr>
            <w:tcW w:w="16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600" w:type="dxa"/>
            <w:vAlign w:val="bottom"/>
            <w:shd w:val="clear" w:color="auto" w:fill="CBDBD1"/>
          </w:tcPr>
          <w:p>
            <w:pPr>
              <w:ind w:left="280"/>
              <w:spacing w:after="0"/>
              <w:rPr>
                <w:sz w:val="20"/>
                <w:szCs w:val="20"/>
                <w:color w:val="auto"/>
              </w:rPr>
            </w:pPr>
            <w:r>
              <w:rPr>
                <w:rFonts w:ascii="Times New Roman" w:cs="Times New Roman" w:eastAsia="Times New Roman" w:hAnsi="Times New Roman"/>
                <w:sz w:val="17"/>
                <w:szCs w:val="17"/>
                <w:color w:val="auto"/>
              </w:rPr>
              <w:t>outstanding. Redemption date September 5, 2010.</w:t>
            </w:r>
          </w:p>
        </w:tc>
        <w:tc>
          <w:tcPr>
            <w:tcW w:w="160" w:type="dxa"/>
            <w:vAlign w:val="bottom"/>
            <w:shd w:val="clear" w:color="auto" w:fill="CBDBD1"/>
          </w:tcPr>
          <w:p>
            <w:pPr>
              <w:spacing w:after="0"/>
              <w:rPr>
                <w:sz w:val="24"/>
                <w:szCs w:val="24"/>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shd w:val="clear" w:color="auto" w:fill="CBDBD1"/>
          </w:tcPr>
          <w:p>
            <w:pPr>
              <w:spacing w:after="0"/>
              <w:rPr>
                <w:sz w:val="24"/>
                <w:szCs w:val="24"/>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Stock warrants</w:t>
            </w:r>
          </w:p>
        </w:tc>
        <w:tc>
          <w:tcPr>
            <w:tcW w:w="16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16,905,280</w:t>
            </w: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16,905,280</w:t>
            </w:r>
          </w:p>
        </w:tc>
        <w:tc>
          <w:tcPr>
            <w:tcW w:w="0" w:type="dxa"/>
            <w:vAlign w:val="bottom"/>
          </w:tcPr>
          <w:p>
            <w:pPr>
              <w:spacing w:after="0"/>
              <w:rPr>
                <w:sz w:val="1"/>
                <w:szCs w:val="1"/>
                <w:color w:val="auto"/>
              </w:rPr>
            </w:pPr>
          </w:p>
        </w:tc>
      </w:tr>
      <w:tr>
        <w:trPr>
          <w:trHeight w:val="260"/>
        </w:trPr>
        <w:tc>
          <w:tcPr>
            <w:tcW w:w="56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60" w:type="dxa"/>
            <w:vAlign w:val="bottom"/>
            <w:shd w:val="clear" w:color="auto" w:fill="CBDBD1"/>
          </w:tcPr>
          <w:p>
            <w:pPr>
              <w:spacing w:after="0"/>
              <w:rPr>
                <w:sz w:val="22"/>
                <w:szCs w:val="22"/>
                <w:color w:val="auto"/>
              </w:rPr>
            </w:pPr>
          </w:p>
        </w:tc>
        <w:tc>
          <w:tcPr>
            <w:tcW w:w="10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695,840</w:t>
            </w:r>
          </w:p>
        </w:tc>
        <w:tc>
          <w:tcPr>
            <w:tcW w:w="180" w:type="dxa"/>
            <w:vAlign w:val="bottom"/>
            <w:shd w:val="clear" w:color="auto" w:fill="CBDBD1"/>
          </w:tcPr>
          <w:p>
            <w:pPr>
              <w:spacing w:after="0"/>
              <w:rPr>
                <w:sz w:val="22"/>
                <w:szCs w:val="22"/>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Deficit accumulated during the development stage</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(15,852,762)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00" w:type="dxa"/>
            <w:vAlign w:val="bottom"/>
            <w:shd w:val="clear" w:color="auto" w:fill="CBDBD1"/>
          </w:tcPr>
          <w:p>
            <w:pPr>
              <w:spacing w:after="0"/>
              <w:rPr>
                <w:sz w:val="22"/>
                <w:szCs w:val="22"/>
                <w:color w:val="auto"/>
              </w:rPr>
            </w:pPr>
          </w:p>
        </w:tc>
        <w:tc>
          <w:tcPr>
            <w:tcW w:w="160" w:type="dxa"/>
            <w:vAlign w:val="bottom"/>
            <w:tcBorders>
              <w:top w:val="single" w:sz="8" w:color="auto"/>
            </w:tcBorders>
            <w:shd w:val="clear" w:color="auto" w:fill="CBDBD1"/>
          </w:tcPr>
          <w:p>
            <w:pPr>
              <w:spacing w:after="0"/>
              <w:rPr>
                <w:sz w:val="22"/>
                <w:szCs w:val="22"/>
                <w:color w:val="auto"/>
              </w:rPr>
            </w:pPr>
          </w:p>
        </w:tc>
        <w:tc>
          <w:tcPr>
            <w:tcW w:w="1000" w:type="dxa"/>
            <w:vAlign w:val="bottom"/>
            <w:tcBorders>
              <w:top w:val="single" w:sz="8" w:color="auto"/>
            </w:tcBorders>
            <w:shd w:val="clear" w:color="auto" w:fill="CBDBD1"/>
          </w:tcPr>
          <w:p>
            <w:pPr>
              <w:spacing w:after="0"/>
              <w:rPr>
                <w:sz w:val="22"/>
                <w:szCs w:val="22"/>
                <w:color w:val="auto"/>
              </w:rPr>
            </w:pPr>
          </w:p>
        </w:tc>
        <w:tc>
          <w:tcPr>
            <w:tcW w:w="80" w:type="dxa"/>
            <w:vAlign w:val="bottom"/>
            <w:shd w:val="clear" w:color="auto" w:fill="CBDBD1"/>
          </w:tcPr>
          <w:p>
            <w:pPr>
              <w:spacing w:after="0"/>
              <w:rPr>
                <w:sz w:val="22"/>
                <w:szCs w:val="22"/>
                <w:color w:val="auto"/>
              </w:rPr>
            </w:pPr>
          </w:p>
        </w:tc>
        <w:tc>
          <w:tcPr>
            <w:tcW w:w="180" w:type="dxa"/>
            <w:vAlign w:val="bottom"/>
            <w:tcBorders>
              <w:top w:val="single" w:sz="8" w:color="auto"/>
            </w:tcBorders>
            <w:shd w:val="clear" w:color="auto" w:fill="CBDBD1"/>
          </w:tcPr>
          <w:p>
            <w:pPr>
              <w:spacing w:after="0"/>
              <w:rPr>
                <w:sz w:val="22"/>
                <w:szCs w:val="22"/>
                <w:color w:val="auto"/>
              </w:rPr>
            </w:pPr>
          </w:p>
        </w:tc>
        <w:tc>
          <w:tcPr>
            <w:tcW w:w="960" w:type="dxa"/>
            <w:vAlign w:val="bottom"/>
            <w:tcBorders>
              <w:top w:val="single" w:sz="8" w:color="auto"/>
            </w:tcBorders>
            <w:shd w:val="clear" w:color="auto" w:fill="CBDBD1"/>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1,760,781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2,425,504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BDBD1"/>
          </w:tcPr>
          <w:p>
            <w:pPr>
              <w:spacing w:after="0"/>
              <w:rPr>
                <w:sz w:val="20"/>
                <w:szCs w:val="20"/>
                <w:color w:val="auto"/>
              </w:rPr>
            </w:pPr>
          </w:p>
        </w:tc>
        <w:tc>
          <w:tcPr>
            <w:tcW w:w="160" w:type="dxa"/>
            <w:vAlign w:val="bottom"/>
            <w:shd w:val="clear" w:color="auto" w:fill="CBDBD1"/>
          </w:tcPr>
          <w:p>
            <w:pPr>
              <w:spacing w:after="0"/>
              <w:rPr>
                <w:sz w:val="20"/>
                <w:szCs w:val="20"/>
                <w:color w:val="auto"/>
              </w:rPr>
            </w:pPr>
          </w:p>
        </w:tc>
        <w:tc>
          <w:tcPr>
            <w:tcW w:w="100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80" w:type="dxa"/>
            <w:vAlign w:val="bottom"/>
            <w:shd w:val="clear" w:color="auto" w:fill="CBDBD1"/>
          </w:tcPr>
          <w:p>
            <w:pPr>
              <w:spacing w:after="0"/>
              <w:rPr>
                <w:sz w:val="20"/>
                <w:szCs w:val="20"/>
                <w:color w:val="auto"/>
              </w:rPr>
            </w:pPr>
          </w:p>
        </w:tc>
        <w:tc>
          <w:tcPr>
            <w:tcW w:w="960" w:type="dxa"/>
            <w:vAlign w:val="bottom"/>
            <w:shd w:val="clear" w:color="auto" w:fill="CBDBD1"/>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1,953,854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83185</wp:posOffset>
            </wp:positionV>
            <wp:extent cx="72561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19" w:right="1440" w:bottom="1016"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2009 AND 2008</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PERIOD FROM JANUARY 31, 2006 (INCEPTION) TO MARCH 31, 2009</w:t>
      </w: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Inception</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through</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3/31/09</w:t>
            </w:r>
          </w:p>
        </w:tc>
        <w:tc>
          <w:tcPr>
            <w:tcW w:w="10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3/31/08</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00" w:type="dxa"/>
            <w:vAlign w:val="bottom"/>
          </w:tcPr>
          <w:p>
            <w:pPr>
              <w:spacing w:after="0"/>
              <w:rPr>
                <w:sz w:val="20"/>
                <w:szCs w:val="20"/>
                <w:color w:val="auto"/>
              </w:rPr>
            </w:pPr>
          </w:p>
        </w:tc>
        <w:tc>
          <w:tcPr>
            <w:tcW w:w="10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(unaudited)</w:t>
            </w:r>
          </w:p>
        </w:tc>
        <w:tc>
          <w:tcPr>
            <w:tcW w:w="100" w:type="dxa"/>
            <w:vAlign w:val="bottom"/>
          </w:tcPr>
          <w:p>
            <w:pPr>
              <w:spacing w:after="0"/>
              <w:rPr>
                <w:sz w:val="20"/>
                <w:szCs w:val="20"/>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9"/>
              </w:rPr>
              <w:t>(unaudited)</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Sales</w:t>
            </w:r>
          </w:p>
        </w:tc>
        <w:tc>
          <w:tcPr>
            <w:tcW w:w="1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50,527</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185,275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50,527</w:t>
            </w: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185,275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1,376,304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266,109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1,376,304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266,109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3,608,612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(1,375,033)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(215,582)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(3,423,337)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right w:val="single" w:sz="8" w:color="CBDBD1"/>
            </w:tcBorders>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right w:val="single" w:sz="8" w:color="CBDBD1"/>
            </w:tcBorders>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88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13,088</w:t>
            </w: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(6,385)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warrant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(333,004)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(332,904)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right w:val="single" w:sz="8" w:color="CBDBD1"/>
            </w:tcBorders>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right w:val="single" w:sz="8" w:color="CBDBD1"/>
            </w:tcBorders>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88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00" w:type="dxa"/>
            <w:vAlign w:val="bottom"/>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(1,360,723)</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(548,486)</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(6,155,353)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00" w:type="dxa"/>
            <w:vAlign w:val="bottom"/>
            <w:tcBorders>
              <w:top w:val="single" w:sz="8" w:color="CBDBD1"/>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40" w:type="dxa"/>
            <w:vAlign w:val="bottom"/>
            <w:shd w:val="clear" w:color="auto" w:fill="CBDBD1"/>
          </w:tcPr>
          <w:p>
            <w:pPr>
              <w:spacing w:after="0"/>
              <w:rPr>
                <w:sz w:val="21"/>
                <w:szCs w:val="21"/>
                <w:color w:val="auto"/>
              </w:rPr>
            </w:pP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12,296,736</w:t>
            </w:r>
          </w:p>
        </w:tc>
        <w:tc>
          <w:tcPr>
            <w:tcW w:w="100" w:type="dxa"/>
            <w:vAlign w:val="bottom"/>
            <w:shd w:val="clear" w:color="auto" w:fill="CBDBD1"/>
          </w:tcPr>
          <w:p>
            <w:pPr>
              <w:spacing w:after="0"/>
              <w:rPr>
                <w:sz w:val="21"/>
                <w:szCs w:val="21"/>
                <w:color w:val="auto"/>
              </w:rPr>
            </w:pP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10,400,500</w:t>
            </w:r>
          </w:p>
        </w:tc>
        <w:tc>
          <w:tcPr>
            <w:tcW w:w="100" w:type="dxa"/>
            <w:vAlign w:val="bottom"/>
            <w:shd w:val="clear" w:color="auto" w:fill="CBDBD1"/>
          </w:tcPr>
          <w:p>
            <w:pPr>
              <w:spacing w:after="0"/>
              <w:rPr>
                <w:sz w:val="21"/>
                <w:szCs w:val="21"/>
                <w:color w:val="auto"/>
              </w:rPr>
            </w:pPr>
          </w:p>
        </w:tc>
        <w:tc>
          <w:tcPr>
            <w:tcW w:w="880" w:type="dxa"/>
            <w:vAlign w:val="bottom"/>
            <w:shd w:val="clear" w:color="auto" w:fill="CBDBD1"/>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00" w:type="dxa"/>
            <w:vAlign w:val="bottom"/>
            <w:tcBorders>
              <w:top w:val="single" w:sz="8" w:color="CBDBD1"/>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BDBD1"/>
            </w:tcBorders>
          </w:tcPr>
          <w:p>
            <w:pPr>
              <w:spacing w:after="0"/>
              <w:rPr>
                <w:sz w:val="17"/>
                <w:szCs w:val="17"/>
                <w:color w:val="auto"/>
              </w:rPr>
            </w:pPr>
          </w:p>
        </w:tc>
        <w:tc>
          <w:tcPr>
            <w:tcW w:w="880" w:type="dxa"/>
            <w:vAlign w:val="bottom"/>
            <w:tcBorders>
              <w:top w:val="single" w:sz="8" w:color="CBDBD1"/>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shd w:val="clear" w:color="auto" w:fill="CBDBD1"/>
          </w:tcPr>
          <w:p>
            <w:pPr>
              <w:spacing w:after="0"/>
              <w:rPr>
                <w:sz w:val="19"/>
                <w:szCs w:val="19"/>
                <w:color w:val="auto"/>
              </w:rPr>
            </w:pPr>
          </w:p>
        </w:tc>
        <w:tc>
          <w:tcPr>
            <w:tcW w:w="880" w:type="dxa"/>
            <w:vAlign w:val="bottom"/>
            <w:shd w:val="clear" w:color="auto" w:fill="CBDBD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88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83185</wp:posOffset>
            </wp:positionV>
            <wp:extent cx="72561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OF MARCH 31, 2009</w:t>
      </w:r>
    </w:p>
    <w:p>
      <w:pPr>
        <w:spacing w:after="0" w:line="228" w:lineRule="exact"/>
        <w:rPr>
          <w:sz w:val="20"/>
          <w:szCs w:val="20"/>
          <w:color w:val="auto"/>
        </w:rPr>
      </w:pPr>
    </w:p>
    <w:tbl>
      <w:tblPr>
        <w:tblLayout w:type="fixed"/>
        <w:tblInd w:w="2120" w:type="dxa"/>
        <w:tblCellMar>
          <w:top w:w="0" w:type="dxa"/>
          <w:left w:w="0" w:type="dxa"/>
          <w:bottom w:w="0" w:type="dxa"/>
          <w:right w:w="0" w:type="dxa"/>
        </w:tblCellMar>
      </w:tblPr>
      <w:tr>
        <w:trPr>
          <w:trHeight w:val="208"/>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Additional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2"/>
        </w:trPr>
        <w:tc>
          <w:tcPr>
            <w:tcW w:w="15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Preferred Stock</w:t>
            </w: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Paid-in</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Stockholders'</w:t>
            </w:r>
          </w:p>
        </w:tc>
      </w:tr>
      <w:tr>
        <w:trPr>
          <w:trHeight w:val="208"/>
        </w:trPr>
        <w:tc>
          <w:tcPr>
            <w:tcW w:w="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w:t>
            </w:r>
          </w:p>
        </w:tc>
        <w:tc>
          <w:tcPr>
            <w:tcW w:w="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Shares   Amount</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Capital</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(Deficit)</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Equity</w:t>
            </w:r>
          </w:p>
        </w:tc>
      </w:tr>
      <w:tr>
        <w:trPr>
          <w:trHeight w:val="26"/>
        </w:trPr>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89" w:lineRule="exact"/>
        <w:rPr>
          <w:sz w:val="20"/>
          <w:szCs w:val="20"/>
          <w:color w:val="auto"/>
        </w:rPr>
      </w:pPr>
    </w:p>
    <w:p>
      <w:pPr>
        <w:sectPr>
          <w:pgSz w:w="11900" w:h="16838" w:orient="portrait"/>
          <w:cols w:equalWidth="0" w:num="1">
            <w:col w:w="9140"/>
          </w:cols>
          <w:pgMar w:left="1380" w:top="119" w:right="1379" w:bottom="1440" w:gutter="0" w:footer="0" w:header="0"/>
        </w:sect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Balance, January 1, 2007</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1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Member contributions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Member distributions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to</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former LLC members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10,000,000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private offering</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2"/>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2007</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10,300,000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10,300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120" w:type="dxa"/>
            <w:vAlign w:val="bottom"/>
          </w:tcPr>
          <w:p>
            <w:pPr>
              <w:spacing w:after="0"/>
              <w:rPr>
                <w:sz w:val="24"/>
                <w:szCs w:val="24"/>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for</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636,000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636</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common stock</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prior to reverse merger</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1,256,958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1,257</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issued for</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services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2"/>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stock options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preferred stock</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less issuance costs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Stock warrants issued</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Stock warrants issued for</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services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2"/>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2008</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12,262,958</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12,263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for</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services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160,000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-5461000</wp:posOffset>
            </wp:positionV>
            <wp:extent cx="5800090" cy="132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0009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-5196840</wp:posOffset>
            </wp:positionV>
            <wp:extent cx="5800090" cy="13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009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-4932680</wp:posOffset>
            </wp:positionV>
            <wp:extent cx="5800090" cy="132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009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-4669155</wp:posOffset>
            </wp:positionV>
            <wp:extent cx="5800090" cy="26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-4272915</wp:posOffset>
            </wp:positionV>
            <wp:extent cx="5800090" cy="264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-3596640</wp:posOffset>
            </wp:positionV>
            <wp:extent cx="5800090" cy="13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0009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-3332480</wp:posOffset>
            </wp:positionV>
            <wp:extent cx="5800090" cy="264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-2936240</wp:posOffset>
            </wp:positionV>
            <wp:extent cx="5800090" cy="264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-2540635</wp:posOffset>
            </wp:positionV>
            <wp:extent cx="5800090" cy="264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-2144395</wp:posOffset>
            </wp:positionV>
            <wp:extent cx="5800090" cy="148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0090" cy="148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-1863725</wp:posOffset>
            </wp:positionV>
            <wp:extent cx="5800090" cy="264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-1468120</wp:posOffset>
            </wp:positionV>
            <wp:extent cx="5800090" cy="132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0009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-1203960</wp:posOffset>
            </wp:positionV>
            <wp:extent cx="5800090" cy="264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-527685</wp:posOffset>
            </wp:positionV>
            <wp:extent cx="5800090" cy="132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0090"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-263525</wp:posOffset>
            </wp:positionV>
            <wp:extent cx="5800090" cy="264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0009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-3876675</wp:posOffset>
            </wp:positionV>
            <wp:extent cx="5800090"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0090" cy="148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-807720</wp:posOffset>
            </wp:positionV>
            <wp:extent cx="580009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0009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40,289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40,289</w:t>
            </w:r>
          </w:p>
        </w:tc>
      </w:tr>
      <w:tr>
        <w:trPr>
          <w:trHeight w:val="41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180,000</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w:t>
            </w:r>
          </w:p>
        </w:tc>
      </w:tr>
      <w:tr>
        <w:trPr>
          <w:trHeight w:val="41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(253,750)</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(253,750)</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299,700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r>
      <w:tr>
        <w:trPr>
          <w:trHeight w:val="41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(361,466)</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(361,466)</w:t>
            </w:r>
          </w:p>
        </w:tc>
      </w:tr>
      <w:tr>
        <w:trPr>
          <w:trHeight w:val="26"/>
        </w:trPr>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41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0</w:t>
            </w: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(394,927)</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(94,927)</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635,364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636,000</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69,930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r>
      <w:tr>
        <w:trPr>
          <w:trHeight w:val="442"/>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333,004</w:t>
            </w:r>
          </w:p>
        </w:tc>
      </w:tr>
      <w:tr>
        <w:trPr>
          <w:trHeight w:val="624"/>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2,985,000</w:t>
            </w:r>
          </w:p>
        </w:tc>
      </w:tr>
      <w:tr>
        <w:trPr>
          <w:trHeight w:val="41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14,160,000</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(4,311,741)</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(9,848,259)</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2,745,280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2,745,280</w:t>
            </w:r>
          </w:p>
        </w:tc>
      </w:tr>
      <w:tr>
        <w:trPr>
          <w:trHeight w:val="416"/>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(4,248,853)</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(4,248,853)</w:t>
            </w:r>
          </w:p>
        </w:tc>
      </w:tr>
      <w:tr>
        <w:trPr>
          <w:trHeight w:val="26"/>
        </w:trPr>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41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16,905,280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(14,492,039)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2,425,504</w:t>
            </w:r>
          </w:p>
        </w:tc>
      </w:tr>
      <w:tr>
        <w:trPr>
          <w:trHeight w:val="624"/>
        </w:trPr>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695,840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696,000</w:t>
            </w:r>
          </w:p>
        </w:tc>
      </w:tr>
    </w:tbl>
    <w:p>
      <w:pPr>
        <w:spacing w:after="0" w:line="200" w:lineRule="exact"/>
        <w:rPr>
          <w:sz w:val="20"/>
          <w:szCs w:val="20"/>
          <w:color w:val="auto"/>
        </w:rPr>
      </w:pPr>
    </w:p>
    <w:p>
      <w:pPr>
        <w:sectPr>
          <w:pgSz w:w="11900" w:h="16838" w:orient="portrait"/>
          <w:cols w:equalWidth="0" w:num="2">
            <w:col w:w="4540" w:space="520"/>
            <w:col w:w="4080"/>
          </w:cols>
          <w:pgMar w:left="1380" w:top="119" w:right="137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1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Net loss</w:t>
            </w:r>
          </w:p>
        </w:tc>
        <w:tc>
          <w:tcPr>
            <w:tcW w:w="860" w:type="dxa"/>
            <w:vAlign w:val="bottom"/>
            <w:tcBorders>
              <w:right w:val="single" w:sz="8" w:color="CBDBD1"/>
            </w:tcBorders>
            <w:shd w:val="clear" w:color="auto" w:fill="CBDBD1"/>
          </w:tcPr>
          <w:p>
            <w:pPr>
              <w:spacing w:after="0"/>
              <w:rPr>
                <w:sz w:val="18"/>
                <w:szCs w:val="18"/>
                <w:color w:val="auto"/>
              </w:rPr>
            </w:pPr>
          </w:p>
        </w:tc>
        <w:tc>
          <w:tcPr>
            <w:tcW w:w="6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40" w:type="dxa"/>
            <w:vAlign w:val="bottom"/>
            <w:shd w:val="clear" w:color="auto" w:fill="CBDBD1"/>
          </w:tcPr>
          <w:p>
            <w:pPr>
              <w:spacing w:after="0"/>
              <w:rPr>
                <w:sz w:val="18"/>
                <w:szCs w:val="18"/>
                <w:color w:val="auto"/>
              </w:rPr>
            </w:pPr>
          </w:p>
        </w:tc>
        <w:tc>
          <w:tcPr>
            <w:tcW w:w="3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140" w:type="dxa"/>
            <w:vAlign w:val="bottom"/>
            <w:gridSpan w:val="3"/>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(1,360,723)</w:t>
            </w:r>
          </w:p>
        </w:tc>
        <w:tc>
          <w:tcPr>
            <w:tcW w:w="1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(1,360,723)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100" w:type="dxa"/>
            <w:vAlign w:val="bottom"/>
            <w:tcBorders>
              <w:top w:val="single" w:sz="8" w:color="CBDBD1"/>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1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Balance, March 31, 2009</w:t>
            </w:r>
          </w:p>
        </w:tc>
        <w:tc>
          <w:tcPr>
            <w:tcW w:w="860" w:type="dxa"/>
            <w:vAlign w:val="bottom"/>
            <w:tcBorders>
              <w:right w:val="single" w:sz="8" w:color="CBDBD1"/>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9"/>
              </w:rPr>
              <w:t>12,422,958</w:t>
            </w:r>
          </w:p>
        </w:tc>
        <w:tc>
          <w:tcPr>
            <w:tcW w:w="76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$ 12,423</w:t>
            </w:r>
          </w:p>
        </w:tc>
        <w:tc>
          <w:tcPr>
            <w:tcW w:w="6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20" w:type="dxa"/>
            <w:vAlign w:val="bottom"/>
            <w:gridSpan w:val="2"/>
            <w:shd w:val="clear" w:color="auto" w:fill="CBDBD1"/>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4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16,905,280</w:t>
            </w:r>
          </w:p>
        </w:tc>
        <w:tc>
          <w:tcPr>
            <w:tcW w:w="9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   695,840</w:t>
            </w:r>
          </w:p>
        </w:tc>
        <w:tc>
          <w:tcPr>
            <w:tcW w:w="1140" w:type="dxa"/>
            <w:vAlign w:val="bottom"/>
            <w:gridSpan w:val="3"/>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(15,852,762)</w:t>
            </w:r>
          </w:p>
        </w:tc>
        <w:tc>
          <w:tcPr>
            <w:tcW w:w="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1,760,781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BDBD1"/>
            </w:tcBorders>
            <w:shd w:val="clear" w:color="auto" w:fill="CBDBD1"/>
          </w:tcPr>
          <w:p>
            <w:pPr>
              <w:spacing w:after="0" w:line="20" w:lineRule="exact"/>
              <w:rPr>
                <w:sz w:val="1"/>
                <w:szCs w:val="1"/>
                <w:color w:val="auto"/>
              </w:rPr>
            </w:pPr>
          </w:p>
        </w:tc>
        <w:tc>
          <w:tcPr>
            <w:tcW w:w="86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83185</wp:posOffset>
            </wp:positionV>
            <wp:extent cx="72561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140"/>
          </w:cols>
          <w:pgMar w:left="1380" w:top="119" w:right="13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2009 AND 2008</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PERIOD FROM JANUARY 31, 2006 (INCEPTION) TO MARCH 31, 2009</w:t>
      </w: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Period from</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rPr>
              <w:t>3/31/2009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3/31/2008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inception to</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3/31/2009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(unaudited)</w:t>
            </w: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(unaudited)</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tc>
        <w:tc>
          <w:tcPr>
            <w:tcW w:w="0" w:type="dxa"/>
            <w:vAlign w:val="bottom"/>
          </w:tcPr>
          <w:p>
            <w:pPr>
              <w:spacing w:after="0"/>
              <w:rPr>
                <w:sz w:val="1"/>
                <w:szCs w:val="1"/>
                <w:color w:val="auto"/>
              </w:rPr>
            </w:pPr>
          </w:p>
        </w:tc>
      </w:tr>
      <w:tr>
        <w:trPr>
          <w:trHeight w:val="208"/>
        </w:trPr>
        <w:tc>
          <w:tcPr>
            <w:tcW w:w="4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(1,360,723)</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(548,486)</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(6,155,353)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80" w:type="dxa"/>
            <w:vAlign w:val="bottom"/>
            <w:tcBorders>
              <w:top w:val="single" w:sz="8" w:color="CBDBD1"/>
            </w:tcBorders>
            <w:gridSpan w:val="4"/>
          </w:tcPr>
          <w:p>
            <w:pPr>
              <w:ind w:left="160"/>
              <w:spacing w:after="0" w:line="189"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BDBD1"/>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BDBD1"/>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8,129</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7,940</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43,142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Stock issued for services</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696,000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Stock options issued for compensation</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333,004</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333,004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Stock warrants issued for services</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Changes in:</w:t>
            </w:r>
          </w:p>
        </w:tc>
        <w:tc>
          <w:tcPr>
            <w:tcW w:w="12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Loan receivable</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1,346</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10,031</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26,490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Payroll taxes payable</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(24,091)</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(10,667)</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(10,018)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auto"/>
              </w:rPr>
              <w:t>TOTAL ADJUSTMENTS</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680,835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357,416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4,073,294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80" w:type="dxa"/>
            <w:vAlign w:val="bottom"/>
            <w:shd w:val="clear" w:color="auto" w:fill="CBDBD1"/>
          </w:tcPr>
          <w:p>
            <w:pPr>
              <w:spacing w:after="0"/>
              <w:rPr>
                <w:sz w:val="20"/>
                <w:szCs w:val="20"/>
                <w:color w:val="auto"/>
              </w:rPr>
            </w:pPr>
          </w:p>
        </w:tc>
        <w:tc>
          <w:tcPr>
            <w:tcW w:w="20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102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(679,888)</w:t>
            </w:r>
          </w:p>
        </w:tc>
        <w:tc>
          <w:tcPr>
            <w:tcW w:w="100" w:type="dxa"/>
            <w:vAlign w:val="bottom"/>
            <w:shd w:val="clear" w:color="auto" w:fill="CBDBD1"/>
          </w:tcPr>
          <w:p>
            <w:pPr>
              <w:spacing w:after="0"/>
              <w:rPr>
                <w:sz w:val="20"/>
                <w:szCs w:val="20"/>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(191,070)</w:t>
            </w:r>
          </w:p>
        </w:tc>
        <w:tc>
          <w:tcPr>
            <w:tcW w:w="100" w:type="dxa"/>
            <w:vAlign w:val="bottom"/>
            <w:shd w:val="clear" w:color="auto" w:fill="CBDBD1"/>
          </w:tcPr>
          <w:p>
            <w:pPr>
              <w:spacing w:after="0"/>
              <w:rPr>
                <w:sz w:val="20"/>
                <w:szCs w:val="20"/>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(2,082,059)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80" w:type="dxa"/>
            <w:vAlign w:val="bottom"/>
            <w:tcBorders>
              <w:top w:val="single" w:sz="8" w:color="CBDBD1"/>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2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2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(7,368)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Website site development costs</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(154,133)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80" w:type="dxa"/>
            <w:vAlign w:val="bottom"/>
            <w:tcBorders>
              <w:top w:val="single" w:sz="8" w:color="CBDBD1"/>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2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680" w:type="dxa"/>
            <w:vAlign w:val="bottom"/>
            <w:tcBorders>
              <w:right w:val="single" w:sz="8" w:color="CBDBD1"/>
            </w:tcBorders>
            <w:gridSpan w:val="4"/>
            <w:shd w:val="clear" w:color="auto" w:fill="CBDBD1"/>
          </w:tcPr>
          <w:p>
            <w:pPr>
              <w:spacing w:after="0"/>
              <w:rPr>
                <w:sz w:val="20"/>
                <w:szCs w:val="20"/>
                <w:color w:val="auto"/>
              </w:rPr>
            </w:pPr>
            <w:r>
              <w:rPr>
                <w:rFonts w:ascii="Times New Roman" w:cs="Times New Roman" w:eastAsia="Times New Roman" w:hAnsi="Times New Roman"/>
                <w:sz w:val="17"/>
                <w:szCs w:val="17"/>
                <w:color w:val="auto"/>
              </w:rPr>
              <w:t xml:space="preserve">NET CASH (USED BY) </w:t>
            </w:r>
            <w:r>
              <w:rPr>
                <w:rFonts w:ascii="Times New Roman" w:cs="Times New Roman" w:eastAsia="Times New Roman" w:hAnsi="Times New Roman"/>
                <w:sz w:val="20"/>
                <w:szCs w:val="20"/>
                <w:color w:val="auto"/>
              </w:rPr>
              <w:t>INVESTING ACTIVITIES</w:t>
            </w:r>
          </w:p>
        </w:tc>
        <w:tc>
          <w:tcPr>
            <w:tcW w:w="120" w:type="dxa"/>
            <w:vAlign w:val="bottom"/>
            <w:shd w:val="clear" w:color="auto" w:fill="CBDBD1"/>
          </w:tcPr>
          <w:p>
            <w:pPr>
              <w:spacing w:after="0"/>
              <w:rPr>
                <w:sz w:val="20"/>
                <w:szCs w:val="20"/>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20"/>
                <w:szCs w:val="20"/>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(7,368)</w:t>
            </w:r>
          </w:p>
        </w:tc>
        <w:tc>
          <w:tcPr>
            <w:tcW w:w="100" w:type="dxa"/>
            <w:vAlign w:val="bottom"/>
            <w:shd w:val="clear" w:color="auto" w:fill="CBDBD1"/>
          </w:tcPr>
          <w:p>
            <w:pPr>
              <w:spacing w:after="0"/>
              <w:rPr>
                <w:sz w:val="20"/>
                <w:szCs w:val="20"/>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(171,020)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80" w:type="dxa"/>
            <w:vAlign w:val="bottom"/>
            <w:tcBorders>
              <w:top w:val="single" w:sz="8" w:color="CBDBD1"/>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2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2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Members capital contributions</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Issuance of common stock</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201,000</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936,000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Issuance of preferred stock</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Payments on loan payable</w:t>
            </w: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spacing w:after="0"/>
              <w:rPr>
                <w:sz w:val="18"/>
                <w:szCs w:val="18"/>
                <w:color w:val="auto"/>
              </w:rPr>
            </w:pP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(643,750)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Proceeds from issuance of notes payable</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gridSpan w:val="4"/>
          </w:tcPr>
          <w:p>
            <w:pPr>
              <w:ind w:left="460"/>
              <w:spacing w:after="0" w:line="207" w:lineRule="exact"/>
              <w:rPr>
                <w:sz w:val="20"/>
                <w:szCs w:val="20"/>
                <w:color w:val="auto"/>
              </w:rPr>
            </w:pPr>
            <w:r>
              <w:rPr>
                <w:rFonts w:ascii="Times New Roman" w:cs="Times New Roman" w:eastAsia="Times New Roman" w:hAnsi="Times New Roman"/>
                <w:sz w:val="17"/>
                <w:szCs w:val="17"/>
                <w:color w:val="auto"/>
              </w:rPr>
              <w:t xml:space="preserve">NET CASH PROVIDED BY (USED BY) </w:t>
            </w:r>
            <w:r>
              <w:rPr>
                <w:rFonts w:ascii="Times New Roman" w:cs="Times New Roman" w:eastAsia="Times New Roman" w:hAnsi="Times New Roman"/>
                <w:sz w:val="20"/>
                <w:szCs w:val="20"/>
                <w:color w:val="auto"/>
              </w:rPr>
              <w:t>FINANCING</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680" w:type="dxa"/>
            <w:vAlign w:val="bottom"/>
            <w:gridSpan w:val="4"/>
          </w:tcPr>
          <w:p>
            <w:pPr>
              <w:ind w:left="460"/>
              <w:spacing w:after="0"/>
              <w:rPr>
                <w:sz w:val="20"/>
                <w:szCs w:val="20"/>
                <w:color w:val="auto"/>
              </w:rPr>
            </w:pPr>
            <w:r>
              <w:rPr>
                <w:rFonts w:ascii="Times New Roman" w:cs="Times New Roman" w:eastAsia="Times New Roman" w:hAnsi="Times New Roman"/>
                <w:sz w:val="21"/>
                <w:szCs w:val="21"/>
                <w:color w:val="auto"/>
              </w:rPr>
              <w:t>ACTIVITIES</w:t>
            </w:r>
          </w:p>
        </w:tc>
        <w:tc>
          <w:tcPr>
            <w:tcW w:w="1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381,000</w:t>
            </w: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4,075,850</w:t>
            </w:r>
          </w:p>
        </w:tc>
        <w:tc>
          <w:tcPr>
            <w:tcW w:w="0" w:type="dxa"/>
            <w:vAlign w:val="bottom"/>
          </w:tcPr>
          <w:p>
            <w:pPr>
              <w:spacing w:after="0"/>
              <w:rPr>
                <w:sz w:val="1"/>
                <w:szCs w:val="1"/>
                <w:color w:val="auto"/>
              </w:rPr>
            </w:pPr>
          </w:p>
        </w:tc>
      </w:tr>
      <w:tr>
        <w:trPr>
          <w:trHeight w:val="208"/>
        </w:trPr>
        <w:tc>
          <w:tcPr>
            <w:tcW w:w="33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6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NET INCREASE IN CASH AND </w:t>
            </w:r>
            <w:r>
              <w:rPr>
                <w:rFonts w:ascii="Times New Roman" w:cs="Times New Roman" w:eastAsia="Times New Roman" w:hAnsi="Times New Roman"/>
                <w:sz w:val="20"/>
                <w:szCs w:val="20"/>
                <w:color w:val="auto"/>
              </w:rPr>
              <w:t>CASH EQUIVALENTS</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(679,888)</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182,562</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1,822,771</w:t>
            </w:r>
          </w:p>
        </w:tc>
        <w:tc>
          <w:tcPr>
            <w:tcW w:w="0" w:type="dxa"/>
            <w:vAlign w:val="bottom"/>
          </w:tcPr>
          <w:p>
            <w:pPr>
              <w:spacing w:after="0"/>
              <w:rPr>
                <w:sz w:val="1"/>
                <w:szCs w:val="1"/>
                <w:color w:val="auto"/>
              </w:rPr>
            </w:pPr>
          </w:p>
        </w:tc>
      </w:tr>
      <w:tr>
        <w:trPr>
          <w:trHeight w:val="208"/>
        </w:trPr>
        <w:tc>
          <w:tcPr>
            <w:tcW w:w="33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2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CASH AND CASH EQUIVALENTS - BEGIN OF PERIOD</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2,502,659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135,429</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tcBorders>
              <w:right w:val="single" w:sz="8" w:color="CBDBD1"/>
            </w:tcBorders>
            <w:gridSpan w:val="4"/>
            <w:shd w:val="clear" w:color="auto" w:fill="CBDBD1"/>
          </w:tcPr>
          <w:p>
            <w:pPr>
              <w:spacing w:after="0"/>
              <w:rPr>
                <w:sz w:val="20"/>
                <w:szCs w:val="20"/>
                <w:color w:val="auto"/>
              </w:rPr>
            </w:pPr>
            <w:r>
              <w:rPr>
                <w:rFonts w:ascii="Times New Roman" w:cs="Times New Roman" w:eastAsia="Times New Roman" w:hAnsi="Times New Roman"/>
                <w:sz w:val="17"/>
                <w:szCs w:val="17"/>
                <w:color w:val="auto"/>
              </w:rPr>
              <w:t>CASH AND CASH EQUIVALENTS - END OF PERIOD</w:t>
            </w:r>
          </w:p>
        </w:tc>
        <w:tc>
          <w:tcPr>
            <w:tcW w:w="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1,822,771</w:t>
            </w:r>
          </w:p>
        </w:tc>
        <w:tc>
          <w:tcPr>
            <w:tcW w:w="100" w:type="dxa"/>
            <w:vAlign w:val="bottom"/>
            <w:shd w:val="clear" w:color="auto" w:fill="CBDBD1"/>
          </w:tcPr>
          <w:p>
            <w:pPr>
              <w:spacing w:after="0"/>
              <w:rPr>
                <w:sz w:val="21"/>
                <w:szCs w:val="21"/>
                <w:color w:val="auto"/>
              </w:rPr>
            </w:pP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317,991</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1,822,771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380" w:type="dxa"/>
            <w:vAlign w:val="bottom"/>
            <w:tcBorders>
              <w:top w:val="single" w:sz="8" w:color="CBDBD1"/>
            </w:tcBorders>
          </w:tcPr>
          <w:p>
            <w:pPr>
              <w:spacing w:after="0"/>
              <w:rPr>
                <w:sz w:val="17"/>
                <w:szCs w:val="17"/>
                <w:color w:val="auto"/>
              </w:rPr>
            </w:pPr>
          </w:p>
        </w:tc>
        <w:tc>
          <w:tcPr>
            <w:tcW w:w="200" w:type="dxa"/>
            <w:vAlign w:val="bottom"/>
            <w:tcBorders>
              <w:top w:val="single" w:sz="8" w:color="CBDBD1"/>
            </w:tcBorders>
          </w:tcPr>
          <w:p>
            <w:pPr>
              <w:spacing w:after="0"/>
              <w:rPr>
                <w:sz w:val="17"/>
                <w:szCs w:val="17"/>
                <w:color w:val="auto"/>
              </w:rPr>
            </w:pPr>
          </w:p>
        </w:tc>
        <w:tc>
          <w:tcPr>
            <w:tcW w:w="80" w:type="dxa"/>
            <w:vAlign w:val="bottom"/>
            <w:tcBorders>
              <w:top w:val="single" w:sz="8" w:color="CBDBD1"/>
            </w:tcBorders>
          </w:tcPr>
          <w:p>
            <w:pPr>
              <w:spacing w:after="0"/>
              <w:rPr>
                <w:sz w:val="17"/>
                <w:szCs w:val="17"/>
                <w:color w:val="auto"/>
              </w:rPr>
            </w:pPr>
          </w:p>
        </w:tc>
        <w:tc>
          <w:tcPr>
            <w:tcW w:w="1020" w:type="dxa"/>
            <w:vAlign w:val="bottom"/>
            <w:tcBorders>
              <w:top w:val="single" w:sz="8" w:color="CBDBD1"/>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60" w:type="dxa"/>
            <w:vAlign w:val="bottom"/>
            <w:tcBorders>
              <w:bottom w:val="single" w:sz="8" w:color="auto"/>
            </w:tcBorders>
            <w:gridSpan w:val="3"/>
            <w:shd w:val="clear" w:color="auto" w:fill="CBDBD1"/>
          </w:tcPr>
          <w:p>
            <w:pPr>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020" w:type="dxa"/>
            <w:vAlign w:val="bottom"/>
            <w:tcBorders>
              <w:bottom w:val="single" w:sz="8" w:color="CBDBD1"/>
              <w:right w:val="single" w:sz="8" w:color="CBDBD1"/>
            </w:tcBorders>
            <w:shd w:val="clear" w:color="auto" w:fill="CBDBD1"/>
          </w:tcPr>
          <w:p>
            <w:pPr>
              <w:spacing w:after="0"/>
              <w:rPr>
                <w:sz w:val="18"/>
                <w:szCs w:val="18"/>
                <w:color w:val="auto"/>
              </w:rPr>
            </w:pPr>
          </w:p>
        </w:tc>
        <w:tc>
          <w:tcPr>
            <w:tcW w:w="120" w:type="dxa"/>
            <w:vAlign w:val="bottom"/>
            <w:tcBorders>
              <w:bottom w:val="single" w:sz="8" w:color="CBDBD1"/>
            </w:tcBorders>
            <w:shd w:val="clear" w:color="auto" w:fill="CBDBD1"/>
          </w:tcPr>
          <w:p>
            <w:pPr>
              <w:spacing w:after="0"/>
              <w:rPr>
                <w:sz w:val="18"/>
                <w:szCs w:val="18"/>
                <w:color w:val="auto"/>
              </w:rPr>
            </w:pPr>
          </w:p>
        </w:tc>
        <w:tc>
          <w:tcPr>
            <w:tcW w:w="940" w:type="dxa"/>
            <w:vAlign w:val="bottom"/>
            <w:tcBorders>
              <w:bottom w:val="single" w:sz="8" w:color="CBDBD1"/>
            </w:tcBorders>
            <w:shd w:val="clear" w:color="auto" w:fill="CBDBD1"/>
          </w:tcPr>
          <w:p>
            <w:pPr>
              <w:spacing w:after="0"/>
              <w:rPr>
                <w:sz w:val="18"/>
                <w:szCs w:val="18"/>
                <w:color w:val="auto"/>
              </w:rPr>
            </w:pPr>
          </w:p>
        </w:tc>
        <w:tc>
          <w:tcPr>
            <w:tcW w:w="100" w:type="dxa"/>
            <w:vAlign w:val="bottom"/>
            <w:tcBorders>
              <w:bottom w:val="single" w:sz="8" w:color="CBDBD1"/>
            </w:tcBorders>
            <w:shd w:val="clear" w:color="auto" w:fill="CBDBD1"/>
          </w:tcPr>
          <w:p>
            <w:pPr>
              <w:spacing w:after="0"/>
              <w:rPr>
                <w:sz w:val="18"/>
                <w:szCs w:val="18"/>
                <w:color w:val="auto"/>
              </w:rPr>
            </w:pPr>
          </w:p>
        </w:tc>
        <w:tc>
          <w:tcPr>
            <w:tcW w:w="100" w:type="dxa"/>
            <w:vAlign w:val="bottom"/>
            <w:tcBorders>
              <w:bottom w:val="single" w:sz="8" w:color="CBDBD1"/>
            </w:tcBorders>
            <w:shd w:val="clear" w:color="auto" w:fill="CBDBD1"/>
          </w:tcPr>
          <w:p>
            <w:pPr>
              <w:spacing w:after="0"/>
              <w:rPr>
                <w:sz w:val="18"/>
                <w:szCs w:val="18"/>
                <w:color w:val="auto"/>
              </w:rPr>
            </w:pPr>
          </w:p>
        </w:tc>
        <w:tc>
          <w:tcPr>
            <w:tcW w:w="900" w:type="dxa"/>
            <w:vAlign w:val="bottom"/>
            <w:tcBorders>
              <w:bottom w:val="single" w:sz="8" w:color="CBDBD1"/>
            </w:tcBorders>
            <w:shd w:val="clear" w:color="auto" w:fill="CBDBD1"/>
          </w:tcPr>
          <w:p>
            <w:pPr>
              <w:spacing w:after="0"/>
              <w:rPr>
                <w:sz w:val="18"/>
                <w:szCs w:val="18"/>
                <w:color w:val="auto"/>
              </w:rPr>
            </w:pPr>
          </w:p>
        </w:tc>
        <w:tc>
          <w:tcPr>
            <w:tcW w:w="80" w:type="dxa"/>
            <w:vAlign w:val="bottom"/>
            <w:tcBorders>
              <w:bottom w:val="single" w:sz="8" w:color="CBDBD1"/>
            </w:tcBorders>
            <w:shd w:val="clear" w:color="auto" w:fill="CBDBD1"/>
          </w:tcPr>
          <w:p>
            <w:pPr>
              <w:spacing w:after="0"/>
              <w:rPr>
                <w:sz w:val="18"/>
                <w:szCs w:val="18"/>
                <w:color w:val="auto"/>
              </w:rPr>
            </w:pPr>
          </w:p>
        </w:tc>
        <w:tc>
          <w:tcPr>
            <w:tcW w:w="100" w:type="dxa"/>
            <w:vAlign w:val="bottom"/>
            <w:tcBorders>
              <w:bottom w:val="single" w:sz="8" w:color="CBDBD1"/>
            </w:tcBorders>
            <w:shd w:val="clear" w:color="auto" w:fill="CBDBD1"/>
          </w:tcPr>
          <w:p>
            <w:pPr>
              <w:spacing w:after="0"/>
              <w:rPr>
                <w:sz w:val="18"/>
                <w:szCs w:val="18"/>
                <w:color w:val="auto"/>
              </w:rPr>
            </w:pPr>
          </w:p>
        </w:tc>
        <w:tc>
          <w:tcPr>
            <w:tcW w:w="960" w:type="dxa"/>
            <w:vAlign w:val="bottom"/>
            <w:tcBorders>
              <w:bottom w:val="single" w:sz="8" w:color="CBDBD1"/>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BDBD1"/>
            </w:tcBorders>
            <w:gridSpan w:val="4"/>
          </w:tcPr>
          <w:p>
            <w:pPr>
              <w:spacing w:after="0" w:line="187" w:lineRule="exact"/>
              <w:rPr>
                <w:sz w:val="20"/>
                <w:szCs w:val="20"/>
                <w:color w:val="auto"/>
              </w:rPr>
            </w:pPr>
            <w:r>
              <w:rPr>
                <w:rFonts w:ascii="Times New Roman" w:cs="Times New Roman" w:eastAsia="Times New Roman" w:hAnsi="Times New Roman"/>
                <w:sz w:val="17"/>
                <w:szCs w:val="17"/>
                <w:color w:val="auto"/>
              </w:rPr>
              <w:t>SUPPLEMENTAL DISCLOSURE OF NONCASH</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auto"/>
              <w:bottom w:val="single" w:sz="8" w:color="auto"/>
            </w:tcBorders>
            <w:shd w:val="clear" w:color="auto" w:fill="CBDBD1"/>
          </w:tcPr>
          <w:p>
            <w:pPr>
              <w:spacing w:after="0"/>
              <w:rPr>
                <w:sz w:val="20"/>
                <w:szCs w:val="20"/>
                <w:color w:val="auto"/>
              </w:rPr>
            </w:pPr>
            <w:r>
              <w:rPr>
                <w:rFonts w:ascii="Times New Roman" w:cs="Times New Roman" w:eastAsia="Times New Roman" w:hAnsi="Times New Roman"/>
                <w:sz w:val="17"/>
                <w:szCs w:val="17"/>
                <w:color w:val="auto"/>
              </w:rPr>
              <w:t>INVESTING AND FINANCING ACTIVITIES:</w:t>
            </w:r>
          </w:p>
        </w:tc>
        <w:tc>
          <w:tcPr>
            <w:tcW w:w="200" w:type="dxa"/>
            <w:vAlign w:val="bottom"/>
            <w:tcBorders>
              <w:top w:val="single" w:sz="8" w:color="auto"/>
              <w:bottom w:val="single" w:sz="8" w:color="CBDBD1"/>
            </w:tcBorders>
            <w:shd w:val="clear" w:color="auto" w:fill="CBDBD1"/>
          </w:tcPr>
          <w:p>
            <w:pPr>
              <w:spacing w:after="0"/>
              <w:rPr>
                <w:sz w:val="19"/>
                <w:szCs w:val="19"/>
                <w:color w:val="auto"/>
              </w:rPr>
            </w:pPr>
          </w:p>
        </w:tc>
        <w:tc>
          <w:tcPr>
            <w:tcW w:w="1100" w:type="dxa"/>
            <w:vAlign w:val="bottom"/>
            <w:tcBorders>
              <w:bottom w:val="single" w:sz="8" w:color="CBDBD1"/>
              <w:right w:val="single" w:sz="8" w:color="CBDBD1"/>
            </w:tcBorders>
            <w:gridSpan w:val="2"/>
            <w:shd w:val="clear" w:color="auto" w:fill="CBDBD1"/>
          </w:tcPr>
          <w:p>
            <w:pPr>
              <w:spacing w:after="0"/>
              <w:rPr>
                <w:sz w:val="19"/>
                <w:szCs w:val="19"/>
                <w:color w:val="auto"/>
              </w:rPr>
            </w:pPr>
          </w:p>
        </w:tc>
        <w:tc>
          <w:tcPr>
            <w:tcW w:w="120" w:type="dxa"/>
            <w:vAlign w:val="bottom"/>
            <w:tcBorders>
              <w:bottom w:val="single" w:sz="8" w:color="CBDBD1"/>
            </w:tcBorders>
            <w:shd w:val="clear" w:color="auto" w:fill="CBDBD1"/>
          </w:tcPr>
          <w:p>
            <w:pPr>
              <w:spacing w:after="0"/>
              <w:rPr>
                <w:sz w:val="19"/>
                <w:szCs w:val="19"/>
                <w:color w:val="auto"/>
              </w:rPr>
            </w:pPr>
          </w:p>
        </w:tc>
        <w:tc>
          <w:tcPr>
            <w:tcW w:w="94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CBDBD1"/>
            </w:tcBorders>
            <w:shd w:val="clear" w:color="auto" w:fill="CBDBD1"/>
          </w:tcPr>
          <w:p>
            <w:pPr>
              <w:spacing w:after="0"/>
              <w:rPr>
                <w:sz w:val="19"/>
                <w:szCs w:val="19"/>
                <w:color w:val="auto"/>
              </w:rPr>
            </w:pPr>
          </w:p>
        </w:tc>
        <w:tc>
          <w:tcPr>
            <w:tcW w:w="90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CBDBD1"/>
            </w:tcBorders>
            <w:shd w:val="clear" w:color="auto" w:fill="CBDBD1"/>
          </w:tcPr>
          <w:p>
            <w:pPr>
              <w:spacing w:after="0"/>
              <w:rPr>
                <w:sz w:val="19"/>
                <w:szCs w:val="19"/>
                <w:color w:val="auto"/>
              </w:rPr>
            </w:pPr>
          </w:p>
        </w:tc>
        <w:tc>
          <w:tcPr>
            <w:tcW w:w="960" w:type="dxa"/>
            <w:vAlign w:val="bottom"/>
            <w:tcBorders>
              <w:bottom w:val="single" w:sz="8" w:color="CBDBD1"/>
            </w:tcBorders>
            <w:shd w:val="clear" w:color="auto" w:fill="CBDBD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Distributions paid through issuance of notes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80" w:type="dxa"/>
            <w:vAlign w:val="bottom"/>
            <w:tcBorders>
              <w:right w:val="single" w:sz="8" w:color="CBDBD1"/>
            </w:tcBorders>
            <w:gridSpan w:val="4"/>
            <w:shd w:val="clear" w:color="auto" w:fill="CBDBD1"/>
          </w:tcPr>
          <w:p>
            <w:pPr>
              <w:ind w:left="160"/>
              <w:spacing w:after="0"/>
              <w:rPr>
                <w:sz w:val="20"/>
                <w:szCs w:val="20"/>
                <w:color w:val="auto"/>
              </w:rPr>
            </w:pPr>
            <w:r>
              <w:rPr>
                <w:rFonts w:ascii="Times New Roman" w:cs="Times New Roman" w:eastAsia="Times New Roman" w:hAnsi="Times New Roman"/>
                <w:sz w:val="17"/>
                <w:szCs w:val="17"/>
                <w:color w:val="auto"/>
              </w:rPr>
              <w:t>payable-related party</w:t>
            </w:r>
          </w:p>
        </w:tc>
        <w:tc>
          <w:tcPr>
            <w:tcW w:w="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BDBD1"/>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BDBD1"/>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253,750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83185</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w:t>
      </w:r>
      <w:r>
        <w:rPr>
          <w:rFonts w:ascii="Times New Roman" w:cs="Times New Roman" w:eastAsia="Times New Roman" w:hAnsi="Times New Roman"/>
          <w:sz w:val="17"/>
          <w:szCs w:val="17"/>
          <w:b w:val="1"/>
          <w:bCs w:val="1"/>
          <w:u w:val="single" w:color="auto"/>
          <w:color w:val="auto"/>
        </w:rPr>
        <w:t>Nature of Operations</w:t>
      </w:r>
    </w:p>
    <w:p>
      <w:pPr>
        <w:spacing w:after="0" w:line="248"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6"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wholly-owned subsidiary, OptimizeRx Corporation, is a development-stage website publisher and marketing company that creates, promotes and fulfills custom marketing and advertising programs. The Company help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monitor patients each month in exchange for activation of their monthly co-pay coupons.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b w:val="1"/>
          <w:bCs w:val="1"/>
          <w:u w:val="single" w:color="auto"/>
          <w:color w:val="auto"/>
        </w:rPr>
        <w:t>Significant Accounting Policies</w:t>
      </w:r>
    </w:p>
    <w:p>
      <w:pPr>
        <w:spacing w:after="0" w:line="248"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7"/>
          <w:szCs w:val="17"/>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Basis of Accounting</w:t>
      </w:r>
    </w:p>
    <w:p>
      <w:pPr>
        <w:spacing w:after="0" w:line="31"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business have been considered as part of its development stage activities.</w:t>
      </w:r>
    </w:p>
    <w:p>
      <w:pPr>
        <w:spacing w:after="0" w:line="199" w:lineRule="exact"/>
        <w:rPr>
          <w:sz w:val="20"/>
          <w:szCs w:val="20"/>
          <w:color w:val="auto"/>
        </w:rPr>
      </w:pPr>
    </w:p>
    <w:p>
      <w:pPr>
        <w:jc w:val="both"/>
        <w:ind w:left="620"/>
        <w:spacing w:after="0" w:line="293" w:lineRule="auto"/>
        <w:rPr>
          <w:sz w:val="20"/>
          <w:szCs w:val="20"/>
          <w:color w:val="auto"/>
        </w:rPr>
      </w:pPr>
      <w:r>
        <w:rPr>
          <w:rFonts w:ascii="Times New Roman" w:cs="Times New Roman" w:eastAsia="Times New Roman" w:hAnsi="Times New Roman"/>
          <w:sz w:val="17"/>
          <w:szCs w:val="17"/>
          <w:color w:val="auto"/>
        </w:rPr>
        <w:t>Principles of Consolidation. The financial statements reflect the consolidated results of OptimizeRx Corporation (a Nevada corporation) and its wholly owned subsidiary OptyimizeRx Corporation (a Michigan corporation). All material inter-company transactions have been eliminated in the consolidation.</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2561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Significant Accounting Policies (continued)</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Cash and Cash Equivalents</w:t>
      </w:r>
    </w:p>
    <w:p>
      <w:pPr>
        <w:spacing w:after="0" w:line="3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For purposes of the accompanying financial statements, the Company considers all highly liquid instruments with an initial maturity of three months or less to be cash equivalents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Fair Value of Financial Instruments</w:t>
      </w:r>
    </w:p>
    <w:p>
      <w:pPr>
        <w:spacing w:after="0" w:line="31"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Property and Equipment</w:t>
      </w:r>
    </w:p>
    <w:p>
      <w:pPr>
        <w:spacing w:after="0" w:line="3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capital assets are being depreciated over their estimated useful lives using the straight line method of depreciation for book purposes. As of October 18, 2007, the Company acquired the majority of its capital assets at the lower market cost from Optimizer Systems, LLC.</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Research and Development</w:t>
      </w:r>
    </w:p>
    <w:p>
      <w:pPr>
        <w:spacing w:after="0" w:line="3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Company’s key members are part of a continual research and development team and monitor new technologies, trends, services and partnerships that can provide the Company with additional services, value to healthcare and pharmaceutical industries and to the patients we serve.</w:t>
      </w:r>
    </w:p>
    <w:p>
      <w:pPr>
        <w:spacing w:after="0" w:line="191" w:lineRule="exact"/>
        <w:rPr>
          <w:sz w:val="20"/>
          <w:szCs w:val="20"/>
          <w:color w:val="auto"/>
        </w:rPr>
      </w:pPr>
    </w:p>
    <w:p>
      <w:pPr>
        <w:jc w:val="both"/>
        <w:ind w:left="620"/>
        <w:spacing w:after="0" w:line="293" w:lineRule="auto"/>
        <w:rPr>
          <w:sz w:val="20"/>
          <w:szCs w:val="20"/>
          <w:color w:val="auto"/>
        </w:rPr>
      </w:pPr>
      <w:r>
        <w:rPr>
          <w:rFonts w:ascii="Times New Roman" w:cs="Times New Roman" w:eastAsia="Times New Roman" w:hAnsi="Times New Roman"/>
          <w:sz w:val="17"/>
          <w:szCs w:val="17"/>
          <w:color w:val="auto"/>
        </w:rPr>
        <w:t>The Company is currently in a launch phase with ADHERxE to allow pharmaceutical and healthcare manufacturers unique ways to engage and monitor patients each month in exchange for activation of their next savings offer.</w:t>
      </w:r>
    </w:p>
    <w:p>
      <w:pPr>
        <w:spacing w:after="0" w:line="172" w:lineRule="exact"/>
        <w:rPr>
          <w:sz w:val="20"/>
          <w:szCs w:val="20"/>
          <w:color w:val="auto"/>
        </w:rPr>
      </w:pPr>
    </w:p>
    <w:p>
      <w:pPr>
        <w:jc w:val="both"/>
        <w:ind w:left="620"/>
        <w:spacing w:after="0" w:line="264" w:lineRule="auto"/>
        <w:rPr>
          <w:sz w:val="20"/>
          <w:szCs w:val="20"/>
          <w:color w:val="auto"/>
        </w:rPr>
      </w:pPr>
      <w:r>
        <w:rPr>
          <w:rFonts w:ascii="Times New Roman" w:cs="Times New Roman" w:eastAsia="Times New Roman" w:hAnsi="Times New Roman"/>
          <w:sz w:val="17"/>
          <w:szCs w:val="17"/>
          <w:color w:val="auto"/>
        </w:rPr>
        <w:t>The Company seeks to educate team members through understanding of all market dynamics that have the potential to affect business both short term and long term. The primary goal is to help patients better afford and access the medications their doctors prescribe, as well as other healthcare products and services they need. Based on this, the Company continually seeks better ways to meet this mission through technology, better user experiences and new ways to engage industries to provide new support program for patients needing their products. The Company is always seeking new services and solutions to offer. At this time, the three current platforms provide robust opportunities and growth during the next five years.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3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2561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b w:val="1"/>
          <w:bCs w:val="1"/>
          <w:u w:val="single" w:color="auto"/>
          <w:color w:val="auto"/>
        </w:rPr>
        <w:t>Significant Accounting Policies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Management Estimates</w:t>
      </w:r>
    </w:p>
    <w:p>
      <w:pPr>
        <w:spacing w:after="0" w:line="31"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those estimates.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Recently Issued Accounting Guidance</w:t>
      </w:r>
    </w:p>
    <w:p>
      <w:pPr>
        <w:spacing w:after="0" w:line="3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Company does not expect the adoption of recently issued accounting pronouncements to have a significant impact on the Company’s results of operation, financial position or cash flow.</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Concentration of Credit Risks</w:t>
      </w:r>
    </w:p>
    <w:p>
      <w:pPr>
        <w:spacing w:after="0" w:line="3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Earnings per Common and Common Equivalent Share</w:t>
      </w:r>
    </w:p>
    <w:p>
      <w:pPr>
        <w:spacing w:after="0" w:line="31"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March 31, 2009 and December 31, 2008, respectively, since their effect is anti-dilutive.</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Basis of Presentation</w:t>
      </w:r>
    </w:p>
    <w:p>
      <w:pPr>
        <w:spacing w:after="0" w:line="31"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2008.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2561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3: </w:t>
      </w:r>
      <w:r>
        <w:rPr>
          <w:rFonts w:ascii="Times New Roman" w:cs="Times New Roman" w:eastAsia="Times New Roman" w:hAnsi="Times New Roman"/>
          <w:sz w:val="17"/>
          <w:szCs w:val="17"/>
          <w:b w:val="1"/>
          <w:bCs w:val="1"/>
          <w:u w:val="single" w:color="auto"/>
          <w:color w:val="auto"/>
        </w:rPr>
        <w:t>Property and Equipment</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is recorded at cost and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3/31/09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12/31/08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6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360" w:type="dxa"/>
            <w:vAlign w:val="bottom"/>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12,594</w:t>
            </w:r>
          </w:p>
        </w:tc>
        <w:tc>
          <w:tcPr>
            <w:tcW w:w="360" w:type="dxa"/>
            <w:vAlign w:val="bottom"/>
            <w:tcBorders>
              <w:left w:val="single" w:sz="8" w:color="CBDBD1"/>
            </w:tcBorders>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60" w:type="dxa"/>
            <w:vAlign w:val="bottom"/>
            <w:shd w:val="clear" w:color="auto" w:fill="CBDBD1"/>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16,888</w:t>
            </w:r>
          </w:p>
        </w:tc>
        <w:tc>
          <w:tcPr>
            <w:tcW w:w="120" w:type="dxa"/>
            <w:vAlign w:val="bottom"/>
            <w:tcBorders>
              <w:left w:val="single" w:sz="8" w:color="CBDBD1"/>
            </w:tcBorders>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(1,617)</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60" w:type="dxa"/>
            <w:vAlign w:val="bottom"/>
            <w:shd w:val="clear" w:color="auto" w:fill="CBDBD1"/>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14,848</w:t>
            </w:r>
          </w:p>
        </w:tc>
        <w:tc>
          <w:tcPr>
            <w:tcW w:w="360" w:type="dxa"/>
            <w:vAlign w:val="bottom"/>
            <w:tcBorders>
              <w:left w:val="single" w:sz="8" w:color="CBDBD1"/>
            </w:tcBorders>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15,271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$422 and $1,323 for the three months ended March 31, 2009 and the year ended December 31, 2008,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4: </w:t>
      </w:r>
      <w:r>
        <w:rPr>
          <w:rFonts w:ascii="Times New Roman" w:cs="Times New Roman" w:eastAsia="Times New Roman" w:hAnsi="Times New Roman"/>
          <w:sz w:val="17"/>
          <w:szCs w:val="17"/>
          <w:b w:val="1"/>
          <w:bCs w:val="1"/>
          <w:u w:val="single" w:color="auto"/>
          <w:color w:val="auto"/>
        </w:rPr>
        <w:t>Website Development Costs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capitalized costs in developing their website which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3/31/09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12/31/08</w:t>
            </w:r>
          </w:p>
        </w:tc>
        <w:tc>
          <w:tcPr>
            <w:tcW w:w="20" w:type="dxa"/>
            <w:vAlign w:val="bottom"/>
          </w:tcPr>
          <w:p>
            <w:pPr>
              <w:spacing w:after="0"/>
              <w:rPr>
                <w:sz w:val="20"/>
                <w:szCs w:val="20"/>
                <w:color w:val="auto"/>
              </w:rPr>
            </w:pPr>
          </w:p>
        </w:tc>
      </w:tr>
      <w:tr>
        <w:trPr>
          <w:trHeight w:val="208"/>
        </w:trPr>
        <w:tc>
          <w:tcPr>
            <w:tcW w:w="232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Website costs</w:t>
            </w:r>
          </w:p>
        </w:tc>
        <w:tc>
          <w:tcPr>
            <w:tcW w:w="260" w:type="dxa"/>
            <w:vAlign w:val="bottom"/>
            <w:shd w:val="clear" w:color="auto" w:fill="CBDBD1"/>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right w:val="single" w:sz="8" w:color="CBDBD1"/>
            </w:tcBorders>
            <w:shd w:val="clear" w:color="auto" w:fill="CBDBD1"/>
          </w:tcPr>
          <w:p>
            <w:pPr>
              <w:jc w:val="right"/>
              <w:ind w:right="33"/>
              <w:spacing w:after="0"/>
              <w:rPr>
                <w:sz w:val="20"/>
                <w:szCs w:val="20"/>
                <w:color w:val="auto"/>
              </w:rPr>
            </w:pPr>
            <w:r>
              <w:rPr>
                <w:rFonts w:ascii="Times New Roman" w:cs="Times New Roman" w:eastAsia="Times New Roman" w:hAnsi="Times New Roman"/>
                <w:sz w:val="17"/>
                <w:szCs w:val="17"/>
                <w:color w:val="auto"/>
              </w:rPr>
              <w:t>154,133</w:t>
            </w:r>
          </w:p>
        </w:tc>
        <w:tc>
          <w:tcPr>
            <w:tcW w:w="240" w:type="dxa"/>
            <w:vAlign w:val="bottom"/>
            <w:shd w:val="clear" w:color="auto" w:fill="CBDBD1"/>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154,133</w:t>
            </w:r>
          </w:p>
        </w:tc>
        <w:tc>
          <w:tcPr>
            <w:tcW w:w="20" w:type="dxa"/>
            <w:vAlign w:val="bottom"/>
          </w:tcPr>
          <w:p>
            <w:pPr>
              <w:spacing w:after="0"/>
              <w:rPr>
                <w:sz w:val="18"/>
                <w:szCs w:val="18"/>
                <w:color w:val="auto"/>
              </w:rPr>
            </w:pP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26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(41,103)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(33,396)</w:t>
            </w:r>
          </w:p>
        </w:tc>
        <w:tc>
          <w:tcPr>
            <w:tcW w:w="20" w:type="dxa"/>
            <w:vAlign w:val="bottom"/>
          </w:tcPr>
          <w:p>
            <w:pPr>
              <w:spacing w:after="0"/>
              <w:rPr>
                <w:sz w:val="18"/>
                <w:szCs w:val="18"/>
                <w:color w:val="auto"/>
              </w:rPr>
            </w:pPr>
          </w:p>
        </w:tc>
      </w:tr>
      <w:tr>
        <w:trPr>
          <w:trHeight w:val="189"/>
        </w:trPr>
        <w:tc>
          <w:tcPr>
            <w:tcW w:w="2320" w:type="dxa"/>
            <w:vAlign w:val="bottom"/>
            <w:shd w:val="clear" w:color="auto" w:fill="CBDBD1"/>
          </w:tcPr>
          <w:p>
            <w:pPr>
              <w:ind w:left="180"/>
              <w:spacing w:after="0" w:line="189" w:lineRule="exact"/>
              <w:rPr>
                <w:sz w:val="20"/>
                <w:szCs w:val="20"/>
                <w:color w:val="auto"/>
              </w:rPr>
            </w:pPr>
            <w:r>
              <w:rPr>
                <w:rFonts w:ascii="Times New Roman" w:cs="Times New Roman" w:eastAsia="Times New Roman" w:hAnsi="Times New Roman"/>
                <w:sz w:val="17"/>
                <w:szCs w:val="17"/>
                <w:color w:val="auto"/>
              </w:rPr>
              <w:t>Website development costs,</w:t>
            </w:r>
          </w:p>
        </w:tc>
        <w:tc>
          <w:tcPr>
            <w:tcW w:w="260" w:type="dxa"/>
            <w:vAlign w:val="bottom"/>
            <w:tcBorders>
              <w:top w:val="single" w:sz="8" w:color="auto"/>
            </w:tcBorders>
            <w:shd w:val="clear" w:color="auto" w:fill="CBDBD1"/>
          </w:tcPr>
          <w:p>
            <w:pPr>
              <w:spacing w:after="0"/>
              <w:rPr>
                <w:sz w:val="16"/>
                <w:szCs w:val="16"/>
                <w:color w:val="auto"/>
              </w:rPr>
            </w:pPr>
          </w:p>
        </w:tc>
        <w:tc>
          <w:tcPr>
            <w:tcW w:w="1200" w:type="dxa"/>
            <w:vAlign w:val="bottom"/>
            <w:tcBorders>
              <w:top w:val="single" w:sz="8" w:color="auto"/>
              <w:right w:val="single" w:sz="8" w:color="CBDBD1"/>
            </w:tcBorders>
            <w:shd w:val="clear" w:color="auto" w:fill="CBDBD1"/>
          </w:tcPr>
          <w:p>
            <w:pPr>
              <w:spacing w:after="0"/>
              <w:rPr>
                <w:sz w:val="16"/>
                <w:szCs w:val="16"/>
                <w:color w:val="auto"/>
              </w:rPr>
            </w:pPr>
          </w:p>
        </w:tc>
        <w:tc>
          <w:tcPr>
            <w:tcW w:w="240" w:type="dxa"/>
            <w:vAlign w:val="bottom"/>
            <w:tcBorders>
              <w:top w:val="single" w:sz="8" w:color="auto"/>
            </w:tcBorders>
            <w:shd w:val="clear" w:color="auto" w:fill="CBDBD1"/>
          </w:tcPr>
          <w:p>
            <w:pPr>
              <w:spacing w:after="0"/>
              <w:rPr>
                <w:sz w:val="16"/>
                <w:szCs w:val="16"/>
                <w:color w:val="auto"/>
              </w:rPr>
            </w:pPr>
          </w:p>
        </w:tc>
        <w:tc>
          <w:tcPr>
            <w:tcW w:w="1120" w:type="dxa"/>
            <w:vAlign w:val="bottom"/>
            <w:tcBorders>
              <w:top w:val="single" w:sz="8" w:color="auto"/>
            </w:tcBorders>
            <w:shd w:val="clear" w:color="auto" w:fill="CBDBD1"/>
          </w:tcPr>
          <w:p>
            <w:pPr>
              <w:spacing w:after="0"/>
              <w:rPr>
                <w:sz w:val="16"/>
                <w:szCs w:val="16"/>
                <w:color w:val="auto"/>
              </w:rPr>
            </w:pPr>
          </w:p>
        </w:tc>
        <w:tc>
          <w:tcPr>
            <w:tcW w:w="20" w:type="dxa"/>
            <w:vAlign w:val="bottom"/>
          </w:tcPr>
          <w:p>
            <w:pPr>
              <w:spacing w:after="0"/>
              <w:rPr>
                <w:sz w:val="16"/>
                <w:szCs w:val="16"/>
                <w:color w:val="auto"/>
              </w:rPr>
            </w:pPr>
          </w:p>
        </w:tc>
      </w:tr>
      <w:tr>
        <w:trPr>
          <w:trHeight w:val="246"/>
        </w:trPr>
        <w:tc>
          <w:tcPr>
            <w:tcW w:w="232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net</w:t>
            </w:r>
          </w:p>
        </w:tc>
        <w:tc>
          <w:tcPr>
            <w:tcW w:w="260" w:type="dxa"/>
            <w:vAlign w:val="bottom"/>
            <w:shd w:val="clear" w:color="auto" w:fill="CBDBD1"/>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right w:val="single" w:sz="8" w:color="CBDBD1"/>
            </w:tcBorders>
            <w:shd w:val="clear" w:color="auto" w:fill="CBDBD1"/>
          </w:tcPr>
          <w:p>
            <w:pPr>
              <w:jc w:val="right"/>
              <w:ind w:right="33"/>
              <w:spacing w:after="0"/>
              <w:rPr>
                <w:sz w:val="20"/>
                <w:szCs w:val="20"/>
                <w:color w:val="auto"/>
              </w:rPr>
            </w:pPr>
            <w:r>
              <w:rPr>
                <w:rFonts w:ascii="Times New Roman" w:cs="Times New Roman" w:eastAsia="Times New Roman" w:hAnsi="Times New Roman"/>
                <w:sz w:val="17"/>
                <w:szCs w:val="17"/>
                <w:color w:val="auto"/>
              </w:rPr>
              <w:t>113,030</w:t>
            </w:r>
          </w:p>
        </w:tc>
        <w:tc>
          <w:tcPr>
            <w:tcW w:w="240" w:type="dxa"/>
            <w:vAlign w:val="bottom"/>
            <w:shd w:val="clear" w:color="auto" w:fill="CBDBD1"/>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120,737</w:t>
            </w:r>
          </w:p>
        </w:tc>
        <w:tc>
          <w:tcPr>
            <w:tcW w:w="20" w:type="dxa"/>
            <w:vAlign w:val="bottom"/>
          </w:tcPr>
          <w:p>
            <w:pPr>
              <w:spacing w:after="0"/>
              <w:rPr>
                <w:sz w:val="21"/>
                <w:szCs w:val="21"/>
                <w:color w:val="auto"/>
              </w:rPr>
            </w:pPr>
          </w:p>
        </w:tc>
      </w:tr>
      <w:tr>
        <w:trPr>
          <w:trHeight w:val="20"/>
        </w:trPr>
        <w:tc>
          <w:tcPr>
            <w:tcW w:w="232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line="293" w:lineRule="auto"/>
        <w:rPr>
          <w:sz w:val="20"/>
          <w:szCs w:val="20"/>
          <w:color w:val="auto"/>
        </w:rPr>
      </w:pPr>
      <w:r>
        <w:rPr>
          <w:rFonts w:ascii="Times New Roman" w:cs="Times New Roman" w:eastAsia="Times New Roman" w:hAnsi="Times New Roman"/>
          <w:sz w:val="17"/>
          <w:szCs w:val="17"/>
          <w:color w:val="auto"/>
        </w:rPr>
        <w:t>The Company began amortizing the website costs, using the straight-line method over the estimated useful life of 5 years, once it was put into service in December of 2007.</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expense was $7,707 and $30,827 for the three months ended March 31, 2009 and the year ended December 31, 2008,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5: </w:t>
      </w:r>
      <w:r>
        <w:rPr>
          <w:rFonts w:ascii="Times New Roman" w:cs="Times New Roman" w:eastAsia="Times New Roman" w:hAnsi="Times New Roman"/>
          <w:sz w:val="17"/>
          <w:szCs w:val="17"/>
          <w:b w:val="1"/>
          <w:bCs w:val="1"/>
          <w:u w:val="single" w:color="auto"/>
          <w:color w:val="auto"/>
        </w:rPr>
        <w:t>Accrued Expenses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expenses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3/31/09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12/31/08</w:t>
            </w:r>
          </w:p>
        </w:tc>
        <w:tc>
          <w:tcPr>
            <w:tcW w:w="6280" w:type="dxa"/>
            <w:vAlign w:val="bottom"/>
          </w:tcPr>
          <w:p>
            <w:pPr>
              <w:spacing w:after="0"/>
              <w:rPr>
                <w:sz w:val="20"/>
                <w:szCs w:val="20"/>
                <w:color w:val="auto"/>
              </w:rPr>
            </w:pPr>
          </w:p>
        </w:tc>
      </w:tr>
      <w:tr>
        <w:trPr>
          <w:trHeight w:val="208"/>
        </w:trPr>
        <w:tc>
          <w:tcPr>
            <w:tcW w:w="24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240" w:type="dxa"/>
            <w:vAlign w:val="bottom"/>
            <w:shd w:val="clear" w:color="auto" w:fill="CBDBD1"/>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1,773</w:t>
            </w:r>
          </w:p>
        </w:tc>
        <w:tc>
          <w:tcPr>
            <w:tcW w:w="340" w:type="dxa"/>
            <w:vAlign w:val="bottom"/>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6280" w:type="dxa"/>
            <w:vAlign w:val="bottom"/>
          </w:tcPr>
          <w:p>
            <w:pPr>
              <w:spacing w:after="0"/>
              <w:rPr>
                <w:sz w:val="18"/>
                <w:szCs w:val="18"/>
                <w:color w:val="auto"/>
              </w:rPr>
            </w:pPr>
          </w:p>
        </w:tc>
      </w:tr>
      <w:tr>
        <w:trPr>
          <w:trHeight w:val="208"/>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6280" w:type="dxa"/>
            <w:vAlign w:val="bottom"/>
          </w:tcPr>
          <w:p>
            <w:pPr>
              <w:spacing w:after="0"/>
              <w:rPr>
                <w:sz w:val="18"/>
                <w:szCs w:val="18"/>
                <w:color w:val="auto"/>
              </w:rPr>
            </w:pPr>
          </w:p>
        </w:tc>
      </w:tr>
      <w:tr>
        <w:trPr>
          <w:trHeight w:val="214"/>
        </w:trPr>
        <w:tc>
          <w:tcPr>
            <w:tcW w:w="2400" w:type="dxa"/>
            <w:vAlign w:val="bottom"/>
            <w:tcBorders>
              <w:bottom w:val="single" w:sz="8" w:color="CBDBD1"/>
            </w:tcBorders>
            <w:shd w:val="clear" w:color="auto" w:fill="CBDBD1"/>
          </w:tcPr>
          <w:p>
            <w:pPr>
              <w:spacing w:after="0"/>
              <w:rPr>
                <w:sz w:val="20"/>
                <w:szCs w:val="20"/>
                <w:color w:val="auto"/>
              </w:rPr>
            </w:pPr>
            <w:r>
              <w:rPr>
                <w:rFonts w:ascii="Times New Roman" w:cs="Times New Roman" w:eastAsia="Times New Roman" w:hAnsi="Times New Roman"/>
                <w:sz w:val="17"/>
                <w:szCs w:val="17"/>
                <w:color w:val="auto"/>
              </w:rPr>
              <w:t>Accrued audit fees</w:t>
            </w:r>
          </w:p>
        </w:tc>
        <w:tc>
          <w:tcPr>
            <w:tcW w:w="240" w:type="dxa"/>
            <w:vAlign w:val="bottom"/>
            <w:tcBorders>
              <w:bottom w:val="single" w:sz="8" w:color="auto"/>
            </w:tcBorders>
            <w:shd w:val="clear" w:color="auto" w:fill="CBDBD1"/>
          </w:tcPr>
          <w:p>
            <w:pPr>
              <w:spacing w:after="0"/>
              <w:rPr>
                <w:sz w:val="18"/>
                <w:szCs w:val="18"/>
                <w:color w:val="auto"/>
              </w:rPr>
            </w:pPr>
          </w:p>
        </w:tc>
        <w:tc>
          <w:tcPr>
            <w:tcW w:w="102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tcBorders>
              <w:bottom w:val="single" w:sz="8" w:color="CBDBD1"/>
            </w:tcBorders>
            <w:shd w:val="clear" w:color="auto" w:fill="CBDBD1"/>
          </w:tcPr>
          <w:p>
            <w:pPr>
              <w:spacing w:after="0"/>
              <w:rPr>
                <w:sz w:val="18"/>
                <w:szCs w:val="18"/>
                <w:color w:val="auto"/>
              </w:rPr>
            </w:pPr>
          </w:p>
        </w:tc>
        <w:tc>
          <w:tcPr>
            <w:tcW w:w="220" w:type="dxa"/>
            <w:vAlign w:val="bottom"/>
            <w:tcBorders>
              <w:bottom w:val="single" w:sz="8" w:color="auto"/>
            </w:tcBorders>
            <w:shd w:val="clear" w:color="auto" w:fill="CBDBD1"/>
          </w:tcPr>
          <w:p>
            <w:pPr>
              <w:spacing w:after="0"/>
              <w:rPr>
                <w:sz w:val="18"/>
                <w:szCs w:val="18"/>
                <w:color w:val="auto"/>
              </w:rPr>
            </w:pPr>
          </w:p>
        </w:tc>
        <w:tc>
          <w:tcPr>
            <w:tcW w:w="114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280" w:type="dxa"/>
            <w:vAlign w:val="bottom"/>
          </w:tcPr>
          <w:p>
            <w:pPr>
              <w:spacing w:after="0"/>
              <w:rPr>
                <w:sz w:val="18"/>
                <w:szCs w:val="18"/>
                <w:color w:val="auto"/>
              </w:rPr>
            </w:pPr>
          </w:p>
        </w:tc>
      </w:tr>
      <w:tr>
        <w:trPr>
          <w:trHeight w:val="208"/>
        </w:trPr>
        <w:tc>
          <w:tcPr>
            <w:tcW w:w="24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accrued expenses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16,939</w:t>
            </w:r>
          </w:p>
        </w:tc>
        <w:tc>
          <w:tcPr>
            <w:tcW w:w="628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9"/>
        </w:trPr>
        <w:tc>
          <w:tcPr>
            <w:tcW w:w="2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6: </w:t>
      </w:r>
      <w:r>
        <w:rPr>
          <w:rFonts w:ascii="Times New Roman" w:cs="Times New Roman" w:eastAsia="Times New Roman" w:hAnsi="Times New Roman"/>
          <w:sz w:val="17"/>
          <w:szCs w:val="17"/>
          <w:b w:val="1"/>
          <w:bCs w:val="1"/>
          <w:u w:val="single" w:color="auto"/>
          <w:color w:val="auto"/>
        </w:rPr>
        <w:t>Notes Payable - Related Party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payable - related party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3/31/09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12/31/08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Note payable - David Harrell</w:t>
            </w:r>
          </w:p>
        </w:tc>
        <w:tc>
          <w:tcPr>
            <w:tcW w:w="20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Borders>
              <w:left w:val="single" w:sz="8" w:color="CBDBD1"/>
            </w:tcBorders>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Less: current portion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00" w:type="dxa"/>
            <w:vAlign w:val="bottom"/>
            <w:shd w:val="clear" w:color="auto" w:fill="CBDBD1"/>
          </w:tcPr>
          <w:p>
            <w:pPr>
              <w:ind w:left="180"/>
              <w:spacing w:after="0"/>
              <w:rPr>
                <w:sz w:val="20"/>
                <w:szCs w:val="20"/>
                <w:color w:val="auto"/>
              </w:rPr>
            </w:pPr>
            <w:r>
              <w:rPr>
                <w:rFonts w:ascii="Times New Roman" w:cs="Times New Roman" w:eastAsia="Times New Roman" w:hAnsi="Times New Roman"/>
                <w:sz w:val="17"/>
                <w:szCs w:val="17"/>
                <w:color w:val="auto"/>
              </w:rPr>
              <w:t>Long-Term Debt</w:t>
            </w:r>
          </w:p>
        </w:tc>
        <w:tc>
          <w:tcPr>
            <w:tcW w:w="420" w:type="dxa"/>
            <w:vAlign w:val="bottom"/>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tcBorders>
              <w:left w:val="single" w:sz="8" w:color="CBDBD1"/>
            </w:tcBorders>
            <w:gridSpan w:val="2"/>
            <w:shd w:val="clear" w:color="auto" w:fill="CBDBD1"/>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note payable to David Harrell is due on demand and bears 9% interest.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7: </w:t>
      </w:r>
      <w:r>
        <w:rPr>
          <w:rFonts w:ascii="Times New Roman" w:cs="Times New Roman" w:eastAsia="Times New Roman" w:hAnsi="Times New Roman"/>
          <w:sz w:val="17"/>
          <w:szCs w:val="17"/>
          <w:b w:val="1"/>
          <w:bCs w:val="1"/>
          <w:u w:val="single" w:color="auto"/>
          <w:color w:val="auto"/>
        </w:rPr>
        <w:t>Commitments and Contingencies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leases its offices for $2,500 a month and has signed a lease through November 7, 2009 with an option for a six month renewal.</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schedule of future minimum rents: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8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March 31, 2010</w:t>
            </w:r>
          </w:p>
        </w:tc>
        <w:tc>
          <w:tcPr>
            <w:tcW w:w="680" w:type="dxa"/>
            <w:vAlign w:val="bottom"/>
            <w:shd w:val="clear" w:color="auto" w:fill="CBDBD1"/>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0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March 31, 2011</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14"/>
        </w:trPr>
        <w:tc>
          <w:tcPr>
            <w:tcW w:w="3380" w:type="dxa"/>
            <w:vAlign w:val="bottom"/>
            <w:tcBorders>
              <w:bottom w:val="single" w:sz="8" w:color="CBDBD1"/>
            </w:tcBorders>
            <w:shd w:val="clear" w:color="auto" w:fill="CBDBD1"/>
          </w:tcPr>
          <w:p>
            <w:pPr>
              <w:ind w:left="180"/>
              <w:spacing w:after="0"/>
              <w:rPr>
                <w:sz w:val="20"/>
                <w:szCs w:val="20"/>
                <w:color w:val="auto"/>
              </w:rPr>
            </w:pPr>
            <w:r>
              <w:rPr>
                <w:rFonts w:ascii="Times New Roman" w:cs="Times New Roman" w:eastAsia="Times New Roman" w:hAnsi="Times New Roman"/>
                <w:sz w:val="17"/>
                <w:szCs w:val="17"/>
                <w:color w:val="auto"/>
              </w:rPr>
              <w:t>Total Lease Obligation</w:t>
            </w:r>
          </w:p>
        </w:tc>
        <w:tc>
          <w:tcPr>
            <w:tcW w:w="680" w:type="dxa"/>
            <w:vAlign w:val="bottom"/>
            <w:tcBorders>
              <w:bottom w:val="single" w:sz="8" w:color="auto"/>
            </w:tcBorders>
            <w:shd w:val="clear" w:color="auto" w:fill="CBDBD1"/>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32,500</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w:t>
      </w:r>
      <w:r>
        <w:rPr>
          <w:rFonts w:ascii="Times New Roman" w:cs="Times New Roman" w:eastAsia="Times New Roman" w:hAnsi="Times New Roman"/>
          <w:sz w:val="17"/>
          <w:szCs w:val="17"/>
          <w:b w:val="1"/>
          <w:bCs w:val="1"/>
          <w:u w:val="single" w:color="auto"/>
          <w:color w:val="auto"/>
        </w:rPr>
        <w:t>Dividend Distribution</w:t>
      </w:r>
    </w:p>
    <w:p>
      <w:pPr>
        <w:spacing w:after="0" w:line="248" w:lineRule="exact"/>
        <w:rPr>
          <w:sz w:val="20"/>
          <w:szCs w:val="20"/>
          <w:color w:val="auto"/>
        </w:rPr>
      </w:pPr>
    </w:p>
    <w:p>
      <w:pPr>
        <w:jc w:val="both"/>
        <w:ind w:left="620"/>
        <w:spacing w:after="0" w:line="293" w:lineRule="auto"/>
        <w:rPr>
          <w:sz w:val="20"/>
          <w:szCs w:val="20"/>
          <w:color w:val="auto"/>
        </w:rPr>
      </w:pPr>
      <w:r>
        <w:rPr>
          <w:rFonts w:ascii="Times New Roman" w:cs="Times New Roman" w:eastAsia="Times New Roman" w:hAnsi="Times New Roman"/>
          <w:sz w:val="17"/>
          <w:szCs w:val="17"/>
          <w:color w:val="auto"/>
        </w:rPr>
        <w:t>The Company recorded a one-time, non-cash deemed dividend on October 18, 2007 of $33,461. This dividend resulted from the continuous efforts of acquiring assets from Optimizer Systems, LLC. Through this dividend, the Company acquired all assets and liabilities of the LLC.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w:t>
      </w:r>
      <w:r>
        <w:rPr>
          <w:rFonts w:ascii="Times New Roman" w:cs="Times New Roman" w:eastAsia="Times New Roman" w:hAnsi="Times New Roman"/>
          <w:sz w:val="17"/>
          <w:szCs w:val="17"/>
          <w:b w:val="1"/>
          <w:bCs w:val="1"/>
          <w:u w:val="single" w:color="auto"/>
          <w:color w:val="auto"/>
        </w:rPr>
        <w:t>Common Stock</w:t>
      </w:r>
    </w:p>
    <w:p>
      <w:pPr>
        <w:spacing w:after="0" w:line="248" w:lineRule="exact"/>
        <w:rPr>
          <w:sz w:val="20"/>
          <w:szCs w:val="20"/>
          <w:color w:val="auto"/>
        </w:rPr>
      </w:pPr>
    </w:p>
    <w:p>
      <w:pPr>
        <w:jc w:val="both"/>
        <w:ind w:left="620"/>
        <w:spacing w:after="0" w:line="293" w:lineRule="auto"/>
        <w:rPr>
          <w:sz w:val="20"/>
          <w:szCs w:val="20"/>
          <w:color w:val="auto"/>
        </w:rPr>
      </w:pPr>
      <w:r>
        <w:rPr>
          <w:rFonts w:ascii="Times New Roman" w:cs="Times New Roman" w:eastAsia="Times New Roman" w:hAnsi="Times New Roman"/>
          <w:sz w:val="17"/>
          <w:szCs w:val="17"/>
          <w:color w:val="auto"/>
        </w:rPr>
        <w:t>OptimizeRx Corporation has 500,000,000 shares of $.001 par value common stock authorized as of March 31, 2009. There were 12,422,958 and 12,262,958 common shares issued and outstanding at March 31, 2009 and December 31, 2008, respectively.</w:t>
      </w:r>
    </w:p>
    <w:p>
      <w:pPr>
        <w:spacing w:after="0" w:line="172" w:lineRule="exact"/>
        <w:rPr>
          <w:sz w:val="20"/>
          <w:szCs w:val="20"/>
          <w:color w:val="auto"/>
        </w:rPr>
      </w:pPr>
    </w:p>
    <w:p>
      <w:pPr>
        <w:jc w:val="both"/>
        <w:ind w:left="620"/>
        <w:spacing w:after="0" w:line="264" w:lineRule="auto"/>
        <w:rPr>
          <w:sz w:val="20"/>
          <w:szCs w:val="20"/>
          <w:color w:val="auto"/>
        </w:rPr>
      </w:pPr>
      <w:r>
        <w:rPr>
          <w:rFonts w:ascii="Times New Roman" w:cs="Times New Roman" w:eastAsia="Times New Roman" w:hAnsi="Times New Roman"/>
          <w:sz w:val="17"/>
          <w:szCs w:val="17"/>
          <w:color w:val="auto"/>
        </w:rPr>
        <w:t>During 2008, 636,000 shares of common stock were sold for cash. Additionally, 160,000 and 70,000 shares were issued as compensation for services during the three months ended March 31, 2009 and the year ended December 31, 2008, respectively. Included in operating expenses at March 31, 2009 is $696,000 for the issuance of these 160,000 shares. Pursuant to the share exchange agreement with RFID Ltd., 100% of OptimizeRx’s stock was exchanged for 10,664,000 shares of RFID’s common stock. At the time of the share exchange, RFID had an additional 1,256,958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w:t>
      </w:r>
      <w:r>
        <w:rPr>
          <w:rFonts w:ascii="Times New Roman" w:cs="Times New Roman" w:eastAsia="Times New Roman" w:hAnsi="Times New Roman"/>
          <w:sz w:val="17"/>
          <w:szCs w:val="17"/>
          <w:b w:val="1"/>
          <w:bCs w:val="1"/>
          <w:u w:val="single" w:color="auto"/>
          <w:color w:val="auto"/>
        </w:rPr>
        <w:t>Preferred Stock</w:t>
      </w:r>
    </w:p>
    <w:p>
      <w:pPr>
        <w:spacing w:after="0" w:line="248"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2008, 35 preferred shares were issued for $3,500,000. Issuance costs totaled $515,000 resulting in net proceeds of $2,985,000. The 35 shares are convertible to 3,500,000 shares of common stock and bear a ten percent cumulative dividend. In addition, there was a warrant issued to purchase 6,000,000 shares of common stock at an exercise price of $2.00 for a period of 7 years.</w:t>
      </w:r>
    </w:p>
    <w:p>
      <w:pPr>
        <w:spacing w:after="0" w:line="188"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holders of the preferred stock are entitled to semi-annual dividends payable on the stated value of the Series A preferred stock at a rate of ten percent per annum, which shall be cumulative, and accrue daily from the issuance date. The dividends may be paid in cash or shares of the corporation’s common stock at management’s discretion. If after the conversion eligibility date, the market price for the common stock for any ten consecutive trading days in which the stock trades for over two dollars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corporation at the stated value of such share at a one dollar conversion price.</w:t>
      </w:r>
    </w:p>
    <w:p>
      <w:pPr>
        <w:spacing w:after="0" w:line="201"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of March 31, 2009, the cumulative dividend was $197,774, however, it has not yet been declared.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11: </w:t>
      </w:r>
      <w:r>
        <w:rPr>
          <w:rFonts w:ascii="Times New Roman" w:cs="Times New Roman" w:eastAsia="Times New Roman" w:hAnsi="Times New Roman"/>
          <w:sz w:val="17"/>
          <w:szCs w:val="17"/>
          <w:b w:val="1"/>
          <w:bCs w:val="1"/>
          <w:u w:val="single" w:color="auto"/>
          <w:color w:val="auto"/>
        </w:rPr>
        <w:t>Stock-Based Compensation</w:t>
      </w:r>
    </w:p>
    <w:p>
      <w:pPr>
        <w:spacing w:after="0" w:line="248"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7"/>
          <w:szCs w:val="17"/>
          <w:color w:val="auto"/>
        </w:rPr>
        <w:t xml:space="preserve">Effective January 1, 2006, the Company adopted SFAS No. 123 (revised), "Share-Based Payment: (SFAS 123(R)) utilizing the modified prospective approach. Prior to the adoption of SFAS 123(R) we accounted for stock option grant in accordance with APB Opinion No. 25, </w:t>
      </w:r>
      <w:r>
        <w:rPr>
          <w:rFonts w:ascii="Times New Roman" w:cs="Times New Roman" w:eastAsia="Times New Roman" w:hAnsi="Times New Roman"/>
          <w:sz w:val="17"/>
          <w:szCs w:val="17"/>
          <w:i w:val="1"/>
          <w:iCs w:val="1"/>
          <w:color w:val="auto"/>
        </w:rPr>
        <w:t>"Accounting for Stock Issued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Employees," </w:t>
      </w:r>
      <w:r>
        <w:rPr>
          <w:rFonts w:ascii="Times New Roman" w:cs="Times New Roman" w:eastAsia="Times New Roman" w:hAnsi="Times New Roman"/>
          <w:sz w:val="17"/>
          <w:szCs w:val="17"/>
          <w:color w:val="auto"/>
        </w:rPr>
        <w:t>and accordingly, recognized compensation expense for stock option grants using the intrinsic value method.</w:t>
      </w:r>
    </w:p>
    <w:p>
      <w:pPr>
        <w:spacing w:after="0" w:line="188" w:lineRule="exact"/>
        <w:rPr>
          <w:sz w:val="20"/>
          <w:szCs w:val="20"/>
          <w:color w:val="auto"/>
        </w:rPr>
      </w:pPr>
    </w:p>
    <w:p>
      <w:pPr>
        <w:jc w:val="both"/>
        <w:ind w:left="620"/>
        <w:spacing w:after="0" w:line="261" w:lineRule="auto"/>
        <w:rPr>
          <w:sz w:val="20"/>
          <w:szCs w:val="20"/>
          <w:color w:val="auto"/>
        </w:rPr>
      </w:pPr>
      <w:r>
        <w:rPr>
          <w:rFonts w:ascii="Times New Roman" w:cs="Times New Roman" w:eastAsia="Times New Roman" w:hAnsi="Times New Roman"/>
          <w:sz w:val="17"/>
          <w:szCs w:val="17"/>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granted based on the grant date fair value estimated in accordance with the provisions of SFAS 123(R).</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2561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11: </w:t>
      </w:r>
      <w:r>
        <w:rPr>
          <w:rFonts w:ascii="Times New Roman" w:cs="Times New Roman" w:eastAsia="Times New Roman" w:hAnsi="Times New Roman"/>
          <w:sz w:val="17"/>
          <w:szCs w:val="17"/>
          <w:b w:val="1"/>
          <w:bCs w:val="1"/>
          <w:u w:val="single" w:color="auto"/>
          <w:color w:val="auto"/>
        </w:rPr>
        <w:t>Stock-Based Compensation (continued)</w:t>
      </w:r>
    </w:p>
    <w:p>
      <w:pPr>
        <w:spacing w:after="0" w:line="248" w:lineRule="exact"/>
        <w:rPr>
          <w:sz w:val="20"/>
          <w:szCs w:val="20"/>
          <w:color w:val="auto"/>
        </w:rPr>
      </w:pPr>
    </w:p>
    <w:p>
      <w:pPr>
        <w:jc w:val="both"/>
        <w:ind w:left="620" w:right="40"/>
        <w:spacing w:after="0" w:line="274" w:lineRule="auto"/>
        <w:rPr>
          <w:sz w:val="20"/>
          <w:szCs w:val="20"/>
          <w:color w:val="auto"/>
        </w:rPr>
      </w:pPr>
      <w:r>
        <w:rPr>
          <w:rFonts w:ascii="Times New Roman" w:cs="Times New Roman" w:eastAsia="Times New Roman" w:hAnsi="Times New Roman"/>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b w:val="1"/>
          <w:bCs w:val="1"/>
          <w:u w:val="single" w:color="auto"/>
          <w:color w:val="auto"/>
        </w:rPr>
        <w:t>Stock Warrants</w:t>
      </w:r>
    </w:p>
    <w:p>
      <w:pPr>
        <w:spacing w:after="0" w:line="248" w:lineRule="exact"/>
        <w:rPr>
          <w:sz w:val="20"/>
          <w:szCs w:val="20"/>
          <w:color w:val="auto"/>
        </w:rPr>
      </w:pPr>
    </w:p>
    <w:p>
      <w:pPr>
        <w:jc w:val="both"/>
        <w:ind w:left="620" w:right="40"/>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2008, OptimizeRx issued 6,000,000 common stock warrants with an exercise price of $2.00 and a term of seven years in connection with the preferred stock issuance. These warrants were valued using the Black-Scholes pricing model at $14,160,000. The warrants are treated as a re-distribution of equity and are shown as a component of equity.</w:t>
      </w:r>
    </w:p>
    <w:p>
      <w:pPr>
        <w:spacing w:after="0" w:line="188" w:lineRule="exact"/>
        <w:rPr>
          <w:sz w:val="20"/>
          <w:szCs w:val="20"/>
          <w:color w:val="auto"/>
        </w:rPr>
      </w:pPr>
    </w:p>
    <w:p>
      <w:pPr>
        <w:jc w:val="both"/>
        <w:ind w:left="620" w:right="40"/>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2008, OptimizeRx issued 1,059,500 common stock warrants were issued in exchange for services. These warrants were issued with exercise prices of either $1.00 or $2.00 and a term of five years. The Black-Scholes method was used to value these warrants at $2,745,280 and the warrants were expensed during 2008.</w:t>
      </w:r>
    </w:p>
    <w:p>
      <w:pPr>
        <w:spacing w:after="0" w:line="188" w:lineRule="exact"/>
        <w:rPr>
          <w:sz w:val="20"/>
          <w:szCs w:val="20"/>
          <w:color w:val="auto"/>
        </w:rPr>
      </w:pPr>
    </w:p>
    <w:p>
      <w:pPr>
        <w:jc w:val="both"/>
        <w:ind w:left="620"/>
        <w:spacing w:after="0" w:line="293" w:lineRule="auto"/>
        <w:rPr>
          <w:sz w:val="20"/>
          <w:szCs w:val="20"/>
          <w:color w:val="auto"/>
        </w:rPr>
      </w:pPr>
      <w:r>
        <w:rPr>
          <w:rFonts w:ascii="Times New Roman" w:cs="Times New Roman" w:eastAsia="Times New Roman" w:hAnsi="Times New Roman"/>
          <w:sz w:val="17"/>
          <w:szCs w:val="17"/>
          <w:color w:val="auto"/>
        </w:rPr>
        <w:t>The fair value of each warrant issued in 2008 was calculated on the date of grant using the Black-Scholes option-pricing model with the following weighted average assumptions: dividend yield of 0%, expected volatility of 6%, risk-free interest rate of 1.85% and expected life of 60 - 84 months.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w:t>
      </w:r>
      <w:r>
        <w:rPr>
          <w:rFonts w:ascii="Times New Roman" w:cs="Times New Roman" w:eastAsia="Times New Roman" w:hAnsi="Times New Roman"/>
          <w:sz w:val="17"/>
          <w:szCs w:val="17"/>
          <w:b w:val="1"/>
          <w:bCs w:val="1"/>
          <w:u w:val="single" w:color="auto"/>
          <w:color w:val="auto"/>
        </w:rPr>
        <w:t>Related Party Transactions</w:t>
      </w:r>
    </w:p>
    <w:p>
      <w:pPr>
        <w:spacing w:after="0" w:line="248"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7"/>
          <w:szCs w:val="17"/>
          <w:color w:val="auto"/>
        </w:rPr>
        <w:t>The Company had engaged an officer of the company for management services under a contract that paid him $48,000 for the period ended April 30, 2008 and $114,500 for the year ended December 31, 2008. The Company paid $36,000 through March 31, 2008 and the expense is included in operating expenses. The officer became an employee of the Company beginning on May 1, 2008.</w:t>
      </w:r>
    </w:p>
    <w:p>
      <w:pPr>
        <w:spacing w:after="0" w:line="188" w:lineRule="exact"/>
        <w:rPr>
          <w:sz w:val="20"/>
          <w:szCs w:val="20"/>
          <w:color w:val="auto"/>
        </w:rPr>
      </w:pPr>
    </w:p>
    <w:p>
      <w:pPr>
        <w:jc w:val="both"/>
        <w:ind w:left="620"/>
        <w:spacing w:after="0" w:line="293" w:lineRule="auto"/>
        <w:rPr>
          <w:sz w:val="20"/>
          <w:szCs w:val="20"/>
          <w:color w:val="auto"/>
        </w:rPr>
      </w:pPr>
      <w:r>
        <w:rPr>
          <w:rFonts w:ascii="Times New Roman" w:cs="Times New Roman" w:eastAsia="Times New Roman" w:hAnsi="Times New Roman"/>
          <w:sz w:val="17"/>
          <w:szCs w:val="17"/>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172" w:lineRule="exact"/>
        <w:rPr>
          <w:sz w:val="20"/>
          <w:szCs w:val="20"/>
          <w:color w:val="auto"/>
        </w:rPr>
      </w:pPr>
    </w:p>
    <w:p>
      <w:pPr>
        <w:jc w:val="both"/>
        <w:ind w:left="620" w:right="20"/>
        <w:spacing w:after="0" w:line="293" w:lineRule="auto"/>
        <w:rPr>
          <w:sz w:val="20"/>
          <w:szCs w:val="20"/>
          <w:color w:val="auto"/>
        </w:rPr>
      </w:pPr>
      <w:r>
        <w:rPr>
          <w:rFonts w:ascii="Times New Roman" w:cs="Times New Roman" w:eastAsia="Times New Roman" w:hAnsi="Times New Roman"/>
          <w:sz w:val="17"/>
          <w:szCs w:val="17"/>
          <w:color w:val="auto"/>
        </w:rPr>
        <w:t>The Company had a $50,000 note payable to a shareholder (see Note 6) that was repaid during the year ended December 31, 2008. In addition there was a note to an officer of the Company (see note 6) for $4,000 at March 31, 2009 and December 31,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2561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60"/>
          </w:cols>
          <w:pgMar w:left="240" w:top="119" w:right="1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14: </w:t>
      </w:r>
      <w:r>
        <w:rPr>
          <w:rFonts w:ascii="Times New Roman" w:cs="Times New Roman" w:eastAsia="Times New Roman" w:hAnsi="Times New Roman"/>
          <w:sz w:val="17"/>
          <w:szCs w:val="17"/>
          <w:b w:val="1"/>
          <w:bCs w:val="1"/>
          <w:u w:val="single" w:color="auto"/>
          <w:color w:val="auto"/>
        </w:rPr>
        <w:t>Income Taxes</w:t>
      </w:r>
    </w:p>
    <w:p>
      <w:pPr>
        <w:spacing w:after="0" w:line="248"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17"/>
          <w:szCs w:val="17"/>
          <w:color w:val="auto"/>
        </w:rPr>
        <w:t>For the three months ended March 31, 2009, the Company incurred a net loss of approximately $1,361,000 and therefore has no tax liability. The company began operations in 2007 and has previous net operating loss carry-forwards of $1,513,000 through December 31, 2008. The cumulative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cumulative tax effect at the expected rate of 34% of significant items comprising our net deferred tax amount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2009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2008</w:t>
            </w:r>
          </w:p>
        </w:tc>
        <w:tc>
          <w:tcPr>
            <w:tcW w:w="6280" w:type="dxa"/>
            <w:vAlign w:val="bottom"/>
          </w:tcPr>
          <w:p>
            <w:pPr>
              <w:spacing w:after="0"/>
              <w:rPr>
                <w:sz w:val="20"/>
                <w:szCs w:val="20"/>
                <w:color w:val="auto"/>
              </w:rPr>
            </w:pPr>
          </w:p>
        </w:tc>
      </w:tr>
      <w:tr>
        <w:trPr>
          <w:trHeight w:val="189"/>
        </w:trPr>
        <w:tc>
          <w:tcPr>
            <w:tcW w:w="2140" w:type="dxa"/>
            <w:vAlign w:val="bottom"/>
            <w:shd w:val="clear" w:color="auto" w:fill="CBDBD1"/>
          </w:tcPr>
          <w:p>
            <w:pPr>
              <w:ind w:left="320"/>
              <w:spacing w:after="0" w:line="189" w:lineRule="exact"/>
              <w:rPr>
                <w:sz w:val="20"/>
                <w:szCs w:val="20"/>
                <w:color w:val="auto"/>
              </w:rPr>
            </w:pPr>
            <w:r>
              <w:rPr>
                <w:rFonts w:ascii="Times New Roman" w:cs="Times New Roman" w:eastAsia="Times New Roman" w:hAnsi="Times New Roman"/>
                <w:sz w:val="17"/>
                <w:szCs w:val="17"/>
                <w:color w:val="auto"/>
              </w:rPr>
              <w:t>Deferred tax asset</w:t>
            </w:r>
          </w:p>
        </w:tc>
        <w:tc>
          <w:tcPr>
            <w:tcW w:w="320" w:type="dxa"/>
            <w:vAlign w:val="bottom"/>
            <w:shd w:val="clear" w:color="auto" w:fill="CBDBD1"/>
          </w:tcPr>
          <w:p>
            <w:pPr>
              <w:spacing w:after="0"/>
              <w:rPr>
                <w:sz w:val="16"/>
                <w:szCs w:val="16"/>
                <w:color w:val="auto"/>
              </w:rPr>
            </w:pPr>
          </w:p>
        </w:tc>
        <w:tc>
          <w:tcPr>
            <w:tcW w:w="112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320" w:type="dxa"/>
            <w:vAlign w:val="bottom"/>
            <w:shd w:val="clear" w:color="auto" w:fill="CBDBD1"/>
          </w:tcPr>
          <w:p>
            <w:pPr>
              <w:spacing w:after="0"/>
              <w:rPr>
                <w:sz w:val="16"/>
                <w:szCs w:val="16"/>
                <w:color w:val="auto"/>
              </w:rPr>
            </w:pPr>
          </w:p>
        </w:tc>
        <w:tc>
          <w:tcPr>
            <w:tcW w:w="1140" w:type="dxa"/>
            <w:vAlign w:val="bottom"/>
            <w:shd w:val="clear" w:color="auto" w:fill="CBDBD1"/>
          </w:tcPr>
          <w:p>
            <w:pPr>
              <w:spacing w:after="0"/>
              <w:rPr>
                <w:sz w:val="16"/>
                <w:szCs w:val="16"/>
                <w:color w:val="auto"/>
              </w:rPr>
            </w:pPr>
          </w:p>
        </w:tc>
        <w:tc>
          <w:tcPr>
            <w:tcW w:w="6280" w:type="dxa"/>
            <w:vAlign w:val="bottom"/>
          </w:tcPr>
          <w:p>
            <w:pPr>
              <w:spacing w:after="0"/>
              <w:rPr>
                <w:sz w:val="16"/>
                <w:szCs w:val="16"/>
                <w:color w:val="auto"/>
              </w:rPr>
            </w:pPr>
          </w:p>
        </w:tc>
      </w:tr>
      <w:tr>
        <w:trPr>
          <w:trHeight w:val="226"/>
        </w:trPr>
        <w:tc>
          <w:tcPr>
            <w:tcW w:w="2140" w:type="dxa"/>
            <w:vAlign w:val="bottom"/>
            <w:shd w:val="clear" w:color="auto" w:fill="CBDBD1"/>
          </w:tcPr>
          <w:p>
            <w:pPr>
              <w:ind w:left="320"/>
              <w:spacing w:after="0"/>
              <w:rPr>
                <w:sz w:val="20"/>
                <w:szCs w:val="20"/>
                <w:color w:val="auto"/>
              </w:rPr>
            </w:pPr>
            <w:r>
              <w:rPr>
                <w:rFonts w:ascii="Times New Roman" w:cs="Times New Roman" w:eastAsia="Times New Roman" w:hAnsi="Times New Roman"/>
                <w:sz w:val="17"/>
                <w:szCs w:val="17"/>
                <w:color w:val="auto"/>
              </w:rPr>
              <w:t>attributable to:</w:t>
            </w:r>
          </w:p>
        </w:tc>
        <w:tc>
          <w:tcPr>
            <w:tcW w:w="320" w:type="dxa"/>
            <w:vAlign w:val="bottom"/>
            <w:shd w:val="clear" w:color="auto" w:fill="CBDBD1"/>
          </w:tcPr>
          <w:p>
            <w:pPr>
              <w:spacing w:after="0"/>
              <w:rPr>
                <w:sz w:val="19"/>
                <w:szCs w:val="19"/>
                <w:color w:val="auto"/>
              </w:rPr>
            </w:pPr>
          </w:p>
        </w:tc>
        <w:tc>
          <w:tcPr>
            <w:tcW w:w="112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320" w:type="dxa"/>
            <w:vAlign w:val="bottom"/>
            <w:shd w:val="clear" w:color="auto" w:fill="CBDBD1"/>
          </w:tcPr>
          <w:p>
            <w:pPr>
              <w:spacing w:after="0"/>
              <w:rPr>
                <w:sz w:val="19"/>
                <w:szCs w:val="19"/>
                <w:color w:val="auto"/>
              </w:rPr>
            </w:pPr>
          </w:p>
        </w:tc>
        <w:tc>
          <w:tcPr>
            <w:tcW w:w="1140" w:type="dxa"/>
            <w:vAlign w:val="bottom"/>
            <w:shd w:val="clear" w:color="auto" w:fill="CBDBD1"/>
          </w:tcPr>
          <w:p>
            <w:pPr>
              <w:spacing w:after="0"/>
              <w:rPr>
                <w:sz w:val="19"/>
                <w:szCs w:val="19"/>
                <w:color w:val="auto"/>
              </w:rPr>
            </w:pPr>
          </w:p>
        </w:tc>
        <w:tc>
          <w:tcPr>
            <w:tcW w:w="6280" w:type="dxa"/>
            <w:vAlign w:val="bottom"/>
          </w:tcPr>
          <w:p>
            <w:pPr>
              <w:spacing w:after="0"/>
              <w:rPr>
                <w:sz w:val="19"/>
                <w:szCs w:val="19"/>
                <w:color w:val="auto"/>
              </w:rPr>
            </w:pPr>
          </w:p>
        </w:tc>
      </w:tr>
      <w:tr>
        <w:trPr>
          <w:trHeight w:val="189"/>
        </w:trPr>
        <w:tc>
          <w:tcPr>
            <w:tcW w:w="2140" w:type="dxa"/>
            <w:vAlign w:val="bottom"/>
          </w:tcPr>
          <w:p>
            <w:pPr>
              <w:ind w:left="400"/>
              <w:spacing w:after="0" w:line="189" w:lineRule="exact"/>
              <w:rPr>
                <w:sz w:val="20"/>
                <w:szCs w:val="20"/>
                <w:color w:val="auto"/>
              </w:rPr>
            </w:pPr>
            <w:r>
              <w:rPr>
                <w:rFonts w:ascii="Times New Roman" w:cs="Times New Roman" w:eastAsia="Times New Roman" w:hAnsi="Times New Roman"/>
                <w:sz w:val="17"/>
                <w:szCs w:val="17"/>
                <w:color w:val="auto"/>
              </w:rPr>
              <w:t>Net operating loss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80" w:type="dxa"/>
            <w:vAlign w:val="bottom"/>
          </w:tcPr>
          <w:p>
            <w:pPr>
              <w:spacing w:after="0"/>
              <w:rPr>
                <w:sz w:val="16"/>
                <w:szCs w:val="16"/>
                <w:color w:val="auto"/>
              </w:rPr>
            </w:pPr>
          </w:p>
        </w:tc>
      </w:tr>
      <w:tr>
        <w:trPr>
          <w:trHeight w:val="226"/>
        </w:trPr>
        <w:tc>
          <w:tcPr>
            <w:tcW w:w="2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carryover</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1,976,000</w:t>
            </w:r>
          </w:p>
        </w:tc>
        <w:tc>
          <w:tcPr>
            <w:tcW w:w="100" w:type="dxa"/>
            <w:vAlign w:val="bottom"/>
          </w:tcPr>
          <w:p>
            <w:pPr>
              <w:spacing w:after="0"/>
              <w:rPr>
                <w:sz w:val="19"/>
                <w:szCs w:val="19"/>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1,513,000</w:t>
            </w:r>
          </w:p>
        </w:tc>
        <w:tc>
          <w:tcPr>
            <w:tcW w:w="6280" w:type="dxa"/>
            <w:vAlign w:val="bottom"/>
          </w:tcPr>
          <w:p>
            <w:pPr>
              <w:spacing w:after="0"/>
              <w:rPr>
                <w:sz w:val="19"/>
                <w:szCs w:val="19"/>
                <w:color w:val="auto"/>
              </w:rPr>
            </w:pPr>
          </w:p>
        </w:tc>
      </w:tr>
      <w:tr>
        <w:trPr>
          <w:trHeight w:val="214"/>
        </w:trPr>
        <w:tc>
          <w:tcPr>
            <w:tcW w:w="2140" w:type="dxa"/>
            <w:vAlign w:val="bottom"/>
            <w:tcBorders>
              <w:bottom w:val="single" w:sz="8" w:color="CBDBD1"/>
            </w:tcBorders>
            <w:shd w:val="clear" w:color="auto" w:fill="CBDBD1"/>
          </w:tcPr>
          <w:p>
            <w:pPr>
              <w:ind w:left="400"/>
              <w:spacing w:after="0"/>
              <w:rPr>
                <w:sz w:val="20"/>
                <w:szCs w:val="20"/>
                <w:color w:val="auto"/>
              </w:rPr>
            </w:pPr>
            <w:r>
              <w:rPr>
                <w:rFonts w:ascii="Times New Roman" w:cs="Times New Roman" w:eastAsia="Times New Roman" w:hAnsi="Times New Roman"/>
                <w:sz w:val="17"/>
                <w:szCs w:val="17"/>
                <w:color w:val="auto"/>
              </w:rPr>
              <w:t>Valuation allowance</w:t>
            </w:r>
          </w:p>
        </w:tc>
        <w:tc>
          <w:tcPr>
            <w:tcW w:w="320" w:type="dxa"/>
            <w:vAlign w:val="bottom"/>
            <w:tcBorders>
              <w:bottom w:val="single" w:sz="8" w:color="auto"/>
            </w:tcBorders>
            <w:shd w:val="clear" w:color="auto" w:fill="CBDBD1"/>
          </w:tcPr>
          <w:p>
            <w:pPr>
              <w:spacing w:after="0"/>
              <w:rPr>
                <w:sz w:val="18"/>
                <w:szCs w:val="18"/>
                <w:color w:val="auto"/>
              </w:rPr>
            </w:pPr>
          </w:p>
        </w:tc>
        <w:tc>
          <w:tcPr>
            <w:tcW w:w="112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(1,976,000)</w:t>
            </w:r>
          </w:p>
        </w:tc>
        <w:tc>
          <w:tcPr>
            <w:tcW w:w="100" w:type="dxa"/>
            <w:vAlign w:val="bottom"/>
            <w:tcBorders>
              <w:bottom w:val="single" w:sz="8" w:color="CBDBD1"/>
            </w:tcBorders>
            <w:shd w:val="clear" w:color="auto" w:fill="CBDBD1"/>
          </w:tcPr>
          <w:p>
            <w:pPr>
              <w:spacing w:after="0"/>
              <w:rPr>
                <w:sz w:val="18"/>
                <w:szCs w:val="18"/>
                <w:color w:val="auto"/>
              </w:rPr>
            </w:pPr>
          </w:p>
        </w:tc>
        <w:tc>
          <w:tcPr>
            <w:tcW w:w="320" w:type="dxa"/>
            <w:vAlign w:val="bottom"/>
            <w:tcBorders>
              <w:bottom w:val="single" w:sz="8" w:color="auto"/>
            </w:tcBorders>
            <w:shd w:val="clear" w:color="auto" w:fill="CBDBD1"/>
          </w:tcPr>
          <w:p>
            <w:pPr>
              <w:spacing w:after="0"/>
              <w:rPr>
                <w:sz w:val="18"/>
                <w:szCs w:val="18"/>
                <w:color w:val="auto"/>
              </w:rPr>
            </w:pPr>
          </w:p>
        </w:tc>
        <w:tc>
          <w:tcPr>
            <w:tcW w:w="1140" w:type="dxa"/>
            <w:vAlign w:val="bottom"/>
            <w:tcBorders>
              <w:bottom w:val="single" w:sz="8" w:color="auto"/>
            </w:tcBorders>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(1,513,000)</w:t>
            </w:r>
          </w:p>
        </w:tc>
        <w:tc>
          <w:tcPr>
            <w:tcW w:w="6280" w:type="dxa"/>
            <w:vAlign w:val="bottom"/>
          </w:tcPr>
          <w:p>
            <w:pPr>
              <w:spacing w:after="0"/>
              <w:rPr>
                <w:sz w:val="18"/>
                <w:szCs w:val="18"/>
                <w:color w:val="auto"/>
              </w:rPr>
            </w:pPr>
          </w:p>
        </w:tc>
      </w:tr>
      <w:tr>
        <w:trPr>
          <w:trHeight w:val="208"/>
        </w:trPr>
        <w:tc>
          <w:tcPr>
            <w:tcW w:w="246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Net deferred tax asset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80" w:type="dxa"/>
            <w:vAlign w:val="bottom"/>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39"/>
        </w:trPr>
        <w:tc>
          <w:tcPr>
            <w:tcW w:w="2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4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conduct all of our operations through our wholly-owned subsidiary, OptimizeRx Michigan. We are a development-stage company that has developed a website, www.optimizerx.com (our “Site”), to help medical patients better afford and manage their rising healthcare costs. In addition, we provide unique advertising programs to the pharmaceutical and healthcare industries.</w:t>
      </w:r>
    </w:p>
    <w:p>
      <w:pPr>
        <w:spacing w:after="0" w:line="18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We recognize that patients have increasing influence in their healthcare decisions, particularly in their medications: what to buy, where to buy, and how to buy. However, there is very little information available to consumers regarding how to access available savings and support programs. We developed our Site to enable consumers to meet their prescribed pharmacological therapies in the most cost-effective manner possible. Our Site is a portal that identifies programs and savings that are available to consumers, based upon their needs. By creating a portal by which consumers access savings on their pharmaceutical needs, we have also created a Site where pharmaceutical companies can reach consumers with their advertising and other programs.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our formation, we have concentrated on developing our business strategy and obtaining financing. We plan to expand awareness, traffic and database to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Site, as well as the launch of our offer development systems OFFERx™ and ADHERxE. We expect that the primary components of our business will be:</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The Site and our network affiliates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1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16" w:name="page17"/>
    <w:bookmarkEnd w:id="16"/>
    <w:p>
      <w:pPr>
        <w:ind w:left="620" w:hanging="166"/>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OFFERx to develop, promote and fulfill new offers from pharmaceutical and healthcare manufactures</w:t>
      </w:r>
    </w:p>
    <w:p>
      <w:pPr>
        <w:spacing w:after="0" w:line="246" w:lineRule="exact"/>
        <w:rPr>
          <w:rFonts w:ascii="Times New Roman" w:cs="Times New Roman" w:eastAsia="Times New Roman" w:hAnsi="Times New Roman"/>
          <w:sz w:val="17"/>
          <w:szCs w:val="17"/>
          <w:color w:val="auto"/>
        </w:rPr>
      </w:pPr>
    </w:p>
    <w:p>
      <w:pPr>
        <w:ind w:left="620" w:hanging="166"/>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ADHERxE to allow manufacturers to re-engage their customers through the activation of new savings each month</w:t>
      </w:r>
    </w:p>
    <w:p>
      <w:pPr>
        <w:spacing w:after="0" w:line="246"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17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In turn, we will generate revenues through: (i) advertising sales from our Site and affiliate network; (ii) its database; (iii) direct marketing and sponsorships and (iv) our platforms to create, promote and manage new savings offers for additional clients.</w:t>
      </w:r>
    </w:p>
    <w:p>
      <w:pPr>
        <w:spacing w:after="0" w:line="17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On February 9, 2009, we recorded our 300,000th new member since the beginning of 2009. We feel that the rapid growth of our registered user database will increase our ability to negotiate with pharmaceutical companies and generate advertising revenue. Also, on February 13, 2009, we began airing advertisements for OpimizeRx.com on AMC, Travel, MSNBC, Lifetime Movings, and other channels. We anticipate that this national exposure will further increase the growth of our database of registered users.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months Ended March 31, 2009 and 2008</w:t>
      </w:r>
    </w:p>
    <w:p>
      <w:pPr>
        <w:spacing w:after="0" w:line="24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Since inception, we have generated minimal revenue from advertising and use of our database. In the same period, we have incurred expenses related to funding the development of the business plan, new products and platforms and raising capital.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Revenues</w:t>
      </w:r>
    </w:p>
    <w:p>
      <w:pPr>
        <w:spacing w:after="0" w:line="24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Our total revenue reported for three months ended March 31, 2009 was $1,271, a decrease from $50,527for the three months ended March 31, 2008. The decrease in revenue is attributable to the organization performing a onetime special fulfilment order for a client. During the period, the company has continued to focus on 1) building the functionality of its website for both the user interface and architecture for the backend transaction fulfilment and security, and 2) continued to focus at building brand recognition, market place presence, and direct client relationships to identify revenue generation opportunities and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4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Operating expenses increased to $1,376,304 for the three months ended March 31, 2009 from $266,109 for the same period ended 2008. Our operating expenses for the three months ended March 31, 2009 consisted mainly of consulting fees of $876,795, advertising expenses of $307,571, payroll of $101,650, website maintenance of $15,650, auto expenses of $14,288 and employee benefits of $10,107. Our operating expenses for the three months ended March 31, 2008 consisted of general and administrative expenses of $163,599, consulting expenses of $94,570 and depreciation and amortization of $7,940.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Expenses</w:t>
      </w:r>
    </w:p>
    <w:p>
      <w:pPr>
        <w:spacing w:after="0" w:line="24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Other income was $14,310 for three months ended March 31, 2009 an increase from other expenses of $332,904 for same period ended 2008. The other income for the three months ended March 31, 2009 is largely attributable to $13,088 in interest income. The other expenses for the three months ended March 31, 2008 is attributable to warrant based compensation.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1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for the three months ended March 31, 2009 was $1,360,723, compared to net loss of $548,486 for the same period 2008.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auto"/>
        </w:rPr>
        <w:t>As of March 31, 2009, we had total current assets of $1,825,976 and total assets in the amount of $1,953,854. Our total current liabilities as of March 31, 2009 were $193,073. We had working capital of $1,632,903 as of March 31, 2009.</w:t>
      </w:r>
    </w:p>
    <w:p>
      <w:pPr>
        <w:spacing w:after="0" w:line="17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Operating activities used $679,888 in cash for the three months ended March 31, 2009. Our net loss of $1,360,723 was the primary component of our negative operating cash flow, offset mainly by $696,000 in stock issued for services. We had no cash flows used by investing activities during the three months ended March 31, 2009. We had no cash flows provided by financing activities during the three months ended March 31, 2009.</w:t>
      </w:r>
    </w:p>
    <w:p>
      <w:pPr>
        <w:spacing w:after="0" w:line="18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172"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7"/>
          <w:szCs w:val="17"/>
          <w:color w:val="auto"/>
        </w:rPr>
        <w:t>On Sept 8, 2008 we received gross proceeds of $3,500,000 (net $2,985,000) from VICIS Capital for preferred equity share sales which was used towards our working capital.</w:t>
      </w:r>
    </w:p>
    <w:p>
      <w:pPr>
        <w:spacing w:after="0" w:line="172" w:lineRule="exact"/>
        <w:rPr>
          <w:sz w:val="20"/>
          <w:szCs w:val="20"/>
          <w:color w:val="auto"/>
        </w:rPr>
      </w:pPr>
    </w:p>
    <w:p>
      <w:pPr>
        <w:jc w:val="both"/>
        <w:ind w:right="120"/>
        <w:spacing w:after="0" w:line="293" w:lineRule="auto"/>
        <w:rPr>
          <w:sz w:val="20"/>
          <w:szCs w:val="20"/>
          <w:color w:val="auto"/>
        </w:rPr>
      </w:pPr>
      <w:r>
        <w:rPr>
          <w:rFonts w:ascii="Times New Roman" w:cs="Times New Roman" w:eastAsia="Times New Roman" w:hAnsi="Times New Roman"/>
          <w:sz w:val="17"/>
          <w:szCs w:val="17"/>
          <w:color w:val="auto"/>
        </w:rPr>
        <w:t>Our monthly use of funds is for general operations, product development, sales and marketing. Our operational overhead is generally minimized through our small staff and use of independent contractors.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Estimated Monthly Expenses:</w:t>
            </w:r>
          </w:p>
        </w:tc>
        <w:tc>
          <w:tcPr>
            <w:tcW w:w="254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Normal Expected Range</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Staff salaries</w:t>
            </w:r>
          </w:p>
        </w:tc>
        <w:tc>
          <w:tcPr>
            <w:tcW w:w="1140" w:type="dxa"/>
            <w:vAlign w:val="bottom"/>
            <w:shd w:val="clear" w:color="auto" w:fill="CBDBD1"/>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6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- 35,000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Independent Sales Representatives</w:t>
            </w:r>
          </w:p>
        </w:tc>
        <w:tc>
          <w:tcPr>
            <w:tcW w:w="11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IT and Web/Product Development</w:t>
            </w:r>
          </w:p>
        </w:tc>
        <w:tc>
          <w:tcPr>
            <w:tcW w:w="1140" w:type="dxa"/>
            <w:vAlign w:val="bottom"/>
            <w:shd w:val="clear" w:color="auto" w:fill="CBDBD1"/>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- 15,000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Rent and other general expenses</w:t>
            </w:r>
          </w:p>
        </w:tc>
        <w:tc>
          <w:tcPr>
            <w:tcW w:w="11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Travel and other related expenses</w:t>
            </w:r>
          </w:p>
        </w:tc>
        <w:tc>
          <w:tcPr>
            <w:tcW w:w="1140" w:type="dxa"/>
            <w:vAlign w:val="bottom"/>
            <w:shd w:val="clear" w:color="auto" w:fill="CBDBD1"/>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60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- 10,000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11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2,000 - 5,000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BDBD1"/>
          </w:tcPr>
          <w:p>
            <w:pPr>
              <w:spacing w:after="0"/>
              <w:rPr>
                <w:sz w:val="16"/>
                <w:szCs w:val="16"/>
                <w:color w:val="auto"/>
              </w:rPr>
            </w:pPr>
          </w:p>
        </w:tc>
        <w:tc>
          <w:tcPr>
            <w:tcW w:w="2520" w:type="dxa"/>
            <w:vAlign w:val="bottom"/>
            <w:gridSpan w:val="3"/>
            <w:shd w:val="clear" w:color="auto" w:fill="CBDBD1"/>
          </w:tcPr>
          <w:p>
            <w:pPr>
              <w:ind w:left="780"/>
              <w:spacing w:after="0" w:line="189" w:lineRule="exact"/>
              <w:rPr>
                <w:sz w:val="20"/>
                <w:szCs w:val="20"/>
                <w:color w:val="auto"/>
              </w:rPr>
            </w:pPr>
            <w:r>
              <w:rPr>
                <w:rFonts w:ascii="Times New Roman" w:cs="Times New Roman" w:eastAsia="Times New Roman" w:hAnsi="Times New Roman"/>
                <w:sz w:val="17"/>
                <w:szCs w:val="17"/>
                <w:color w:val="auto"/>
              </w:rPr>
              <w:t>(Variable: See comments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BDBD1"/>
          </w:tcPr>
          <w:p>
            <w:pPr>
              <w:spacing w:after="0"/>
              <w:rPr>
                <w:sz w:val="20"/>
                <w:szCs w:val="20"/>
                <w:color w:val="auto"/>
              </w:rPr>
            </w:pPr>
            <w:r>
              <w:rPr>
                <w:rFonts w:ascii="Times New Roman" w:cs="Times New Roman" w:eastAsia="Times New Roman" w:hAnsi="Times New Roman"/>
                <w:sz w:val="17"/>
                <w:szCs w:val="17"/>
                <w:color w:val="auto"/>
              </w:rPr>
              <w:t>Marketing &amp; Advertising</w:t>
            </w:r>
          </w:p>
        </w:tc>
        <w:tc>
          <w:tcPr>
            <w:tcW w:w="1140" w:type="dxa"/>
            <w:vAlign w:val="bottom"/>
            <w:shd w:val="clear" w:color="auto" w:fill="CBDBD1"/>
          </w:tcPr>
          <w:p>
            <w:pPr>
              <w:spacing w:after="0"/>
              <w:rPr>
                <w:sz w:val="19"/>
                <w:szCs w:val="19"/>
                <w:color w:val="auto"/>
              </w:rPr>
            </w:pPr>
          </w:p>
        </w:tc>
        <w:tc>
          <w:tcPr>
            <w:tcW w:w="780" w:type="dxa"/>
            <w:vAlign w:val="bottom"/>
            <w:shd w:val="clear" w:color="auto" w:fill="CBDBD1"/>
          </w:tcPr>
          <w:p>
            <w:pPr>
              <w:jc w:val="right"/>
              <w:spacing w:after="0"/>
              <w:rPr>
                <w:sz w:val="20"/>
                <w:szCs w:val="20"/>
                <w:color w:val="auto"/>
              </w:rPr>
            </w:pPr>
            <w:r>
              <w:rPr>
                <w:rFonts w:ascii="Times New Roman" w:cs="Times New Roman" w:eastAsia="Times New Roman" w:hAnsi="Times New Roman"/>
                <w:sz w:val="17"/>
                <w:szCs w:val="17"/>
                <w:color w:val="auto"/>
              </w:rPr>
              <w:t>below)</w:t>
            </w:r>
          </w:p>
        </w:tc>
        <w:tc>
          <w:tcPr>
            <w:tcW w:w="600" w:type="dxa"/>
            <w:vAlign w:val="bottom"/>
            <w:shd w:val="clear" w:color="auto" w:fill="CBDBD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 Expected Monthly Cash Burn Rate: Approximately $57,000- 90,000 plus marketing and advertising</w:t>
      </w:r>
    </w:p>
    <w:p>
      <w:pPr>
        <w:spacing w:after="0" w:line="246"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color w:val="auto"/>
        </w:rPr>
        <w:t>The biggest anticipated variance in expenses will relate to company’s marketing/advertising expenses to both the pharmaceutical industry and direct to consumers. Based on confirmation of successful online and traditional advertising programs, we will aggressively ramp up these programs to increase site traffic, membership database and revenue.</w:t>
      </w:r>
    </w:p>
    <w:p>
      <w:pPr>
        <w:spacing w:after="0" w:line="188"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7"/>
          <w:szCs w:val="17"/>
          <w:color w:val="auto"/>
        </w:rPr>
        <w:t>We have invested during the first 4 months of 2009 approximately $250,000 in online advertising that generated approximately 500,000+ enrollments into our database which now exceeds 1 million members. Additionally, we have begun testing a new 30 second national cable commercial to deliver approximately 70 million views/impressions at a cost of approximately $150,000 within the first quarter of 2009 (for a preview, please go to www.optimizerx.com/commercial/). Upon attaining specific advertisers, we may also have additional advertising expenses to generate maximum advertising revenue to the company. Management feels that our current cash balance will allow us to meet the expenses required to support our growth plans over the next twelve months.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1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Off 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2009, there were no off balance sheet arrangements.</w:t>
      </w:r>
    </w:p>
    <w:p>
      <w:pPr>
        <w:spacing w:after="0" w:line="2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smaller reporting company is not required to provide the information required by this Item.</w:t>
      </w:r>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4T.</w:t>
        <w:tab/>
        <w:t>Controls and Procedures</w:t>
      </w:r>
    </w:p>
    <w:p>
      <w:pPr>
        <w:spacing w:after="0" w:line="2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carried out an evaluation of the effectiveness of the design and operation of our disclosure controls and procedures (as defined in Exchange Act Rules 13a-15(e) and 15d-15(e)) as of March 31, 2009. This evaluation was carried out under the supervision and with the participation of our Chief Executive Officer and Chief Financial Officer, Mr. David Lester. Based upon that evaluation, our Chief Executive Officer and Chief Financial Officer concluded that, as of March 31, 2009, our disclosure controls and procedures are effective. There have been no significant changes in our internal controls over financial reporting during the quarter ended March 31, 2009 that have materially affected or are reasonably likely to materially affect such controls.</w:t>
      </w:r>
    </w:p>
    <w:p>
      <w:pPr>
        <w:spacing w:after="0" w:line="19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Limitations on the Effectiveness of Internal Controls</w:t>
      </w:r>
    </w:p>
    <w:p>
      <w:pPr>
        <w:spacing w:after="0" w:line="24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1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353"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8" w:lineRule="exact"/>
        <w:rPr>
          <w:sz w:val="20"/>
          <w:szCs w:val="20"/>
          <w:color w:val="auto"/>
        </w:rPr>
      </w:pPr>
    </w:p>
    <w:p>
      <w:pPr>
        <w:ind w:right="420"/>
        <w:spacing w:after="0" w:line="293" w:lineRule="auto"/>
        <w:rPr>
          <w:sz w:val="20"/>
          <w:szCs w:val="20"/>
          <w:color w:val="auto"/>
        </w:rPr>
      </w:pPr>
      <w:r>
        <w:rPr>
          <w:rFonts w:ascii="Times New Roman" w:cs="Times New Roman" w:eastAsia="Times New Roman" w:hAnsi="Times New Roman"/>
          <w:sz w:val="17"/>
          <w:szCs w:val="17"/>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smaller reporting company is not required to provide the information required by this Item.</w:t>
      </w:r>
    </w:p>
    <w:p>
      <w:pPr>
        <w:spacing w:after="0" w:line="2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current quarter, we issued 160,000 shares of our common stock in exchange for services rendered.</w:t>
      </w:r>
    </w:p>
    <w:p>
      <w:pPr>
        <w:spacing w:after="0" w:line="24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9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Submission of Matters to a Vote of Security Holders</w:t>
      </w:r>
    </w:p>
    <w:p>
      <w:pPr>
        <w:spacing w:after="0" w:line="248"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7"/>
          <w:szCs w:val="17"/>
          <w:color w:val="auto"/>
        </w:rPr>
        <w:t>No matters have been submitted to our security holders for a vote, through the solicitation of proxies or otherwise, during the quarterly period ended March 31, 2009.</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Description of Exhibit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u w:val="single" w:color="auto"/>
          <w:color w:val="0000EE"/>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18 U.S.C. Section 1350, as adopted pursuant to Section 302 of the Sarbanes-Oxley Act of 2002</w:t>
      </w:r>
    </w:p>
    <w:p>
      <w:pPr>
        <w:spacing w:after="0" w:line="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18 U.S.C. Section 1350, as adopted pursuant to Section 302 of the Sarbanes-Oxley Act of 2002</w:t>
      </w:r>
    </w:p>
    <w:p>
      <w:pPr>
        <w:spacing w:after="0" w:line="12" w:lineRule="exact"/>
        <w:rPr>
          <w:sz w:val="20"/>
          <w:szCs w:val="20"/>
          <w:color w:val="auto"/>
        </w:rPr>
      </w:pPr>
    </w:p>
    <w:p>
      <w:pPr>
        <w:ind w:left="700" w:hanging="688"/>
        <w:spacing w:after="0" w:line="270" w:lineRule="auto"/>
        <w:tabs>
          <w:tab w:leader="none" w:pos="680" w:val="left"/>
        </w:tabs>
        <w:rPr>
          <w:sz w:val="20"/>
          <w:szCs w:val="20"/>
          <w:color w:val="auto"/>
        </w:rPr>
      </w:pPr>
      <w:r>
        <w:rPr>
          <w:rFonts w:ascii="Times New Roman" w:cs="Times New Roman" w:eastAsia="Times New Roman" w:hAnsi="Times New Roman"/>
          <w:sz w:val="17"/>
          <w:szCs w:val="17"/>
          <w:u w:val="single" w:color="auto"/>
          <w:color w:val="0000EE"/>
        </w:rPr>
        <w:t>32.1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and Chief Financial Officer pursuant to 18 U.S.C. Section 1350, as adopted pursuant to Section 906 of the Sarbanes-Oxley Act of 2002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14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20" w:name="page21"/>
    <w:bookmarkEnd w:id="20"/>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ind w:left="480"/>
        <w:spacing w:after="0" w:line="293" w:lineRule="auto"/>
        <w:rPr>
          <w:sz w:val="20"/>
          <w:szCs w:val="20"/>
          <w:color w:val="auto"/>
        </w:rPr>
      </w:pPr>
      <w:r>
        <w:rPr>
          <w:rFonts w:ascii="Times New Roman" w:cs="Times New Roman" w:eastAsia="Times New Roman" w:hAnsi="Times New Roman"/>
          <w:sz w:val="17"/>
          <w:szCs w:val="17"/>
          <w:color w:val="auto"/>
        </w:rPr>
        <w:t>In accordance with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21, 2009</w:t>
      </w:r>
    </w:p>
    <w:p>
      <w:pPr>
        <w:spacing w:after="0" w:line="220"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u w:val="single" w:color="auto"/>
          <w:color w:val="auto"/>
        </w:rPr>
        <w:t>David Lester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David Lester</w:t>
      </w:r>
    </w:p>
    <w:p>
      <w:pPr>
        <w:spacing w:after="0" w:line="12" w:lineRule="exact"/>
        <w:rPr>
          <w:sz w:val="20"/>
          <w:szCs w:val="20"/>
          <w:color w:val="auto"/>
        </w:rPr>
      </w:pPr>
    </w:p>
    <w:p>
      <w:pPr>
        <w:ind w:left="700"/>
        <w:spacing w:after="0"/>
        <w:tabs>
          <w:tab w:leader="none" w:pos="1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b w:val="1"/>
          <w:bCs w:val="1"/>
          <w:color w:val="auto"/>
        </w:rPr>
        <w:t>Chief Executive Officer, Chief Financial Officer, and Director</w:t>
      </w:r>
    </w:p>
    <w:p>
      <w:pPr>
        <w:sectPr>
          <w:pgSz w:w="11900" w:h="16838" w:orient="portrait"/>
          <w:cols w:equalWidth="0" w:num="1">
            <w:col w:w="11240"/>
          </w:cols>
          <w:pgMar w:left="240" w:top="353" w:right="4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Lester, certify that;</w:t>
      </w:r>
    </w:p>
    <w:p>
      <w:pPr>
        <w:spacing w:after="0" w:line="246" w:lineRule="exact"/>
        <w:rPr>
          <w:sz w:val="20"/>
          <w:szCs w:val="20"/>
          <w:color w:val="auto"/>
        </w:rPr>
      </w:pPr>
    </w:p>
    <w:p>
      <w:pPr>
        <w:ind w:left="480" w:hanging="225"/>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2009 of OptimizeRx Corporation (the “registrant”);</w:t>
      </w:r>
    </w:p>
    <w:p>
      <w:pPr>
        <w:spacing w:after="0" w:line="246" w:lineRule="exact"/>
        <w:rPr>
          <w:rFonts w:ascii="Times New Roman" w:cs="Times New Roman" w:eastAsia="Times New Roman" w:hAnsi="Times New Roman"/>
          <w:sz w:val="17"/>
          <w:szCs w:val="17"/>
          <w:color w:val="auto"/>
        </w:rPr>
      </w:pPr>
    </w:p>
    <w:p>
      <w:pPr>
        <w:ind w:left="480" w:hanging="225"/>
        <w:spacing w:after="0" w:line="293"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480" w:hanging="225"/>
        <w:spacing w:after="0" w:line="293"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480" w:hanging="225"/>
        <w:spacing w:after="0" w:line="274"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7" w:lineRule="exact"/>
        <w:rPr>
          <w:rFonts w:ascii="Times New Roman" w:cs="Times New Roman" w:eastAsia="Times New Roman" w:hAnsi="Times New Roman"/>
          <w:sz w:val="17"/>
          <w:szCs w:val="17"/>
          <w:color w:val="auto"/>
        </w:rPr>
      </w:pPr>
    </w:p>
    <w:p>
      <w:pPr>
        <w:jc w:val="both"/>
        <w:ind w:left="1260" w:hanging="215"/>
        <w:spacing w:after="0" w:line="274"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17"/>
          <w:szCs w:val="17"/>
          <w:color w:val="auto"/>
        </w:rPr>
      </w:pPr>
    </w:p>
    <w:p>
      <w:pPr>
        <w:jc w:val="both"/>
        <w:ind w:left="1260" w:hanging="225"/>
        <w:spacing w:after="0" w:line="274"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17"/>
          <w:szCs w:val="17"/>
          <w:color w:val="auto"/>
        </w:rPr>
      </w:pPr>
    </w:p>
    <w:p>
      <w:pPr>
        <w:ind w:left="1260" w:hanging="215"/>
        <w:spacing w:after="0" w:line="293"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260" w:hanging="225"/>
        <w:spacing w:after="0" w:line="293"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2" w:lineRule="exact"/>
        <w:rPr>
          <w:rFonts w:ascii="Times New Roman" w:cs="Times New Roman" w:eastAsia="Times New Roman" w:hAnsi="Times New Roman"/>
          <w:sz w:val="17"/>
          <w:szCs w:val="17"/>
          <w:color w:val="auto"/>
        </w:rPr>
      </w:pPr>
    </w:p>
    <w:p>
      <w:pPr>
        <w:ind w:left="620" w:hanging="209"/>
        <w:spacing w:after="0" w:line="293" w:lineRule="auto"/>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1260" w:hanging="215"/>
        <w:spacing w:after="0" w:line="266"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225"/>
        <w:spacing w:after="0" w:line="270"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20, 2009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u w:val="single" w:color="auto"/>
          <w:color w:val="auto"/>
        </w:rPr>
        <w:t>David Lester</w:t>
      </w:r>
    </w:p>
    <w:p>
      <w:pPr>
        <w:spacing w:after="0" w:line="3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David Lester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420"/>
          </w:cols>
          <w:pgMar w:left="240" w:top="119"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16"/>
          <w:szCs w:val="16"/>
          <w:color w:val="auto"/>
        </w:rPr>
        <w:t>David Lester</w:t>
      </w:r>
      <w:r>
        <w:rPr>
          <w:rFonts w:ascii="Times New Roman" w:cs="Times New Roman" w:eastAsia="Times New Roman" w:hAnsi="Times New Roman"/>
          <w:sz w:val="21"/>
          <w:szCs w:val="21"/>
          <w:color w:val="auto"/>
        </w:rPr>
        <w:t>, certify that;</w:t>
      </w:r>
    </w:p>
    <w:p>
      <w:pPr>
        <w:spacing w:after="0" w:line="235" w:lineRule="exact"/>
        <w:rPr>
          <w:sz w:val="20"/>
          <w:szCs w:val="20"/>
          <w:color w:val="auto"/>
        </w:rPr>
      </w:pPr>
    </w:p>
    <w:p>
      <w:pPr>
        <w:ind w:left="480" w:hanging="225"/>
        <w:spacing w:after="0"/>
        <w:tabs>
          <w:tab w:leader="none" w:pos="4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2009 of OptimizeRx Corporation (the “registrant”);</w:t>
      </w:r>
    </w:p>
    <w:p>
      <w:pPr>
        <w:spacing w:after="0" w:line="246" w:lineRule="exact"/>
        <w:rPr>
          <w:rFonts w:ascii="Times New Roman" w:cs="Times New Roman" w:eastAsia="Times New Roman" w:hAnsi="Times New Roman"/>
          <w:sz w:val="17"/>
          <w:szCs w:val="17"/>
          <w:color w:val="auto"/>
        </w:rPr>
      </w:pPr>
    </w:p>
    <w:p>
      <w:pPr>
        <w:ind w:left="480" w:hanging="225"/>
        <w:spacing w:after="0" w:line="293" w:lineRule="auto"/>
        <w:tabs>
          <w:tab w:leader="none" w:pos="4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480" w:hanging="225"/>
        <w:spacing w:after="0" w:line="293" w:lineRule="auto"/>
        <w:tabs>
          <w:tab w:leader="none" w:pos="4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480" w:hanging="225"/>
        <w:spacing w:after="0" w:line="274" w:lineRule="auto"/>
        <w:tabs>
          <w:tab w:leader="none" w:pos="4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7" w:lineRule="exact"/>
        <w:rPr>
          <w:rFonts w:ascii="Times New Roman" w:cs="Times New Roman" w:eastAsia="Times New Roman" w:hAnsi="Times New Roman"/>
          <w:sz w:val="17"/>
          <w:szCs w:val="17"/>
          <w:color w:val="auto"/>
        </w:rPr>
      </w:pPr>
    </w:p>
    <w:p>
      <w:pPr>
        <w:jc w:val="both"/>
        <w:ind w:left="1260" w:hanging="215"/>
        <w:spacing w:after="0" w:line="274" w:lineRule="auto"/>
        <w:tabs>
          <w:tab w:leader="none" w:pos="12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17"/>
          <w:szCs w:val="17"/>
          <w:color w:val="auto"/>
        </w:rPr>
      </w:pPr>
    </w:p>
    <w:p>
      <w:pPr>
        <w:jc w:val="both"/>
        <w:ind w:left="1260" w:hanging="225"/>
        <w:spacing w:after="0" w:line="274" w:lineRule="auto"/>
        <w:tabs>
          <w:tab w:leader="none" w:pos="12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17"/>
          <w:szCs w:val="17"/>
          <w:color w:val="auto"/>
        </w:rPr>
      </w:pPr>
    </w:p>
    <w:p>
      <w:pPr>
        <w:ind w:left="1260" w:hanging="215"/>
        <w:spacing w:after="0" w:line="293" w:lineRule="auto"/>
        <w:tabs>
          <w:tab w:leader="none" w:pos="12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260" w:hanging="225"/>
        <w:spacing w:after="0" w:line="293" w:lineRule="auto"/>
        <w:tabs>
          <w:tab w:leader="none" w:pos="12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2" w:lineRule="exact"/>
        <w:rPr>
          <w:rFonts w:ascii="Times New Roman" w:cs="Times New Roman" w:eastAsia="Times New Roman" w:hAnsi="Times New Roman"/>
          <w:sz w:val="17"/>
          <w:szCs w:val="17"/>
          <w:color w:val="auto"/>
        </w:rPr>
      </w:pPr>
    </w:p>
    <w:p>
      <w:pPr>
        <w:ind w:left="620" w:hanging="209"/>
        <w:spacing w:after="0" w:line="293" w:lineRule="auto"/>
        <w:tabs>
          <w:tab w:leader="none" w:pos="6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1260" w:hanging="215"/>
        <w:spacing w:after="0" w:line="266" w:lineRule="auto"/>
        <w:tabs>
          <w:tab w:leader="none" w:pos="12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225"/>
        <w:spacing w:after="0" w:line="270" w:lineRule="auto"/>
        <w:tabs>
          <w:tab w:leader="none" w:pos="12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20, 2009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/s/David Lester</w:t>
      </w:r>
    </w:p>
    <w:p>
      <w:pPr>
        <w:spacing w:after="0" w:line="3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David Lester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420"/>
          </w:cols>
          <w:pgMar w:left="240" w:top="119"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Quarterly Report of OptimizeRx Corporation (the “Company”) on Form 10-Q for the quarter ended March 31, 2009 filed with the Securities and Exchange Commission (the “Report”), I, David Lester,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480" w:hanging="225"/>
        <w:spacing w:after="0"/>
        <w:tabs>
          <w:tab w:leader="none" w:pos="4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of the Securities Exchange Act of 1934; and</w:t>
      </w:r>
    </w:p>
    <w:p>
      <w:pPr>
        <w:spacing w:after="0" w:line="246" w:lineRule="exact"/>
        <w:rPr>
          <w:rFonts w:ascii="Times New Roman" w:cs="Times New Roman" w:eastAsia="Times New Roman" w:hAnsi="Times New Roman"/>
          <w:sz w:val="17"/>
          <w:szCs w:val="17"/>
          <w:color w:val="auto"/>
        </w:rPr>
      </w:pPr>
    </w:p>
    <w:p>
      <w:pPr>
        <w:ind w:left="480" w:hanging="225"/>
        <w:spacing w:after="0" w:line="293" w:lineRule="auto"/>
        <w:tabs>
          <w:tab w:leader="none" w:pos="4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/s/David Lester</w:t>
            </w:r>
          </w:p>
        </w:tc>
        <w:tc>
          <w:tcPr>
            <w:tcW w:w="2760" w:type="dxa"/>
            <w:vAlign w:val="bottom"/>
          </w:tcPr>
          <w:p>
            <w:pPr>
              <w:spacing w:after="0"/>
              <w:rPr>
                <w:sz w:val="17"/>
                <w:szCs w:val="17"/>
                <w:color w:val="auto"/>
              </w:rPr>
            </w:pPr>
          </w:p>
        </w:tc>
      </w:tr>
      <w:tr>
        <w:trPr>
          <w:trHeight w:val="43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Lester</w:t>
            </w:r>
          </w:p>
        </w:tc>
      </w:tr>
      <w:tr>
        <w:trPr>
          <w:trHeight w:val="397"/>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 Principal Financial Officer</w:t>
            </w:r>
          </w:p>
        </w:tc>
      </w:tr>
      <w:tr>
        <w:trPr>
          <w:trHeight w:val="226"/>
        </w:trPr>
        <w:tc>
          <w:tcPr>
            <w:tcW w:w="104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Director</w:t>
            </w:r>
          </w:p>
        </w:tc>
      </w:tr>
      <w:tr>
        <w:trPr>
          <w:trHeight w:val="416"/>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20, 2009</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certification has been furnished solely pursuant to Section 906 of the Sarbanes-Oxley Act of 2002.</w:t>
      </w:r>
    </w:p>
    <w:p>
      <w:pPr>
        <w:spacing w:after="0" w:line="24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OptimizeRx Corporation and will be retained by OptimizeRx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
    <w:nsid w:val="238E1F2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2019-12-21T02:37:52Z</dcterms:created>
  <dcterms:modified xsi:type="dcterms:W3CDTF">2019-12-21T02:37:52Z</dcterms:modified>
</cp:coreProperties>
</file>