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333-228357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11, 2018)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1,538,500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17145</wp:posOffset>
            </wp:positionV>
            <wp:extent cx="287274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is a public offering of common stock of OptimizeRx Corporation. We are offering 1,538,500 shares of our common stock. Our common stock is listed on the Nasdaq Capital Market under the symbol “OPRX.” On June 4, 2019, the last reported sale price of our common stock on the Nasdaq Capital Market was $13.33 per share.</w:t>
      </w:r>
    </w:p>
    <w:p>
      <w:pPr>
        <w:spacing w:after="0" w:line="177"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S-5 of this prospectus supplement and in the documents incorporated by reference in this prospectus supplement.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20,000,500.00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0.845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1,300,032.50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 before expenses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18,700,467.50</w:t>
            </w:r>
          </w:p>
        </w:tc>
      </w:tr>
    </w:tbl>
    <w:p>
      <w:pPr>
        <w:spacing w:after="0" w:line="202" w:lineRule="exact"/>
        <w:rPr>
          <w:sz w:val="24"/>
          <w:szCs w:val="24"/>
          <w:color w:val="auto"/>
        </w:rPr>
      </w:pPr>
    </w:p>
    <w:p>
      <w:pPr>
        <w:ind w:left="400" w:right="20" w:hanging="39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the section entitled “Underwriting” beginning on page S-15 of this prospectus supplement for a description of the compensation to be received by the underwriters.</w:t>
      </w:r>
    </w:p>
    <w:p>
      <w:pPr>
        <w:spacing w:after="0" w:line="170"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We have granted to the underwriters the option to purchase up to 230,775 additional shares of our common stock from us at the public offering price, less underwriting discounts and commissions. The underwriters can exercise this option at any time within 30 days after the offering.</w:t>
      </w:r>
    </w:p>
    <w:p>
      <w:pPr>
        <w:spacing w:after="0" w:line="14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underwriters expect to deliver the shares of common stock to investors in book-entry form through the facilities of The Depository Trust Company on or about June 7, 2019.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William Blair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5,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21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B. Riley FBR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gridSpan w:val="4"/>
          </w:tcPr>
          <w:p>
            <w:pPr>
              <w:jc w:val="center"/>
              <w:ind w:right="2960"/>
              <w:spacing w:after="0"/>
              <w:rPr>
                <w:sz w:val="20"/>
                <w:szCs w:val="20"/>
                <w:color w:val="auto"/>
              </w:rPr>
            </w:pPr>
            <w:r>
              <w:rPr>
                <w:rFonts w:ascii="Arial" w:cs="Arial" w:eastAsia="Arial" w:hAnsi="Arial"/>
                <w:sz w:val="18"/>
                <w:szCs w:val="18"/>
                <w:b w:val="1"/>
                <w:bCs w:val="1"/>
                <w:color w:val="auto"/>
                <w:w w:val="87"/>
              </w:rPr>
              <w:t>Prospectus Supplement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778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Use of Proceeds</w:t>
              </w:r>
            </w:hyperlink>
          </w:p>
        </w:tc>
        <w:tc>
          <w:tcPr>
            <w:tcW w:w="910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Capitalization</w:t>
              </w:r>
            </w:hyperlink>
          </w:p>
        </w:tc>
        <w:tc>
          <w:tcPr>
            <w:tcW w:w="9260" w:type="dxa"/>
            <w:vAlign w:val="bottom"/>
            <w:tcBorders>
              <w:bottom w:val="single" w:sz="8" w:color="CCEEFF"/>
            </w:tcBorders>
            <w:gridSpan w:val="1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Material U.S. Federal Income and Estate Tax Consequences to Non-U.S. Holders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Underwriting</w:t>
              </w:r>
            </w:hyperlink>
          </w:p>
        </w:tc>
        <w:tc>
          <w:tcPr>
            <w:tcW w:w="9300" w:type="dxa"/>
            <w:vAlign w:val="bottom"/>
            <w:tcBorders>
              <w:bottom w:val="single" w:sz="8" w:color="CCEEFF"/>
            </w:tcBorders>
            <w:gridSpan w:val="1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Experts</w:t>
              </w:r>
            </w:hyperlink>
          </w:p>
        </w:tc>
        <w:tc>
          <w:tcPr>
            <w:tcW w:w="9720" w:type="dxa"/>
            <w:vAlign w:val="bottom"/>
            <w:tcBorders>
              <w:bottom w:val="single" w:sz="8" w:color="CCEEFF"/>
            </w:tcBorders>
            <w:gridSpan w:val="2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Incorporation by Reference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gridSpan w:val="3"/>
          </w:tcPr>
          <w:p>
            <w:pPr>
              <w:jc w:val="center"/>
              <w:ind w:right="4600"/>
              <w:spacing w:after="0"/>
              <w:rPr>
                <w:sz w:val="20"/>
                <w:szCs w:val="20"/>
                <w:color w:val="auto"/>
              </w:rPr>
            </w:pPr>
            <w:r>
              <w:rPr>
                <w:rFonts w:ascii="Arial" w:cs="Arial" w:eastAsia="Arial" w:hAnsi="Arial"/>
                <w:sz w:val="18"/>
                <w:szCs w:val="18"/>
                <w:b w:val="1"/>
                <w:bCs w:val="1"/>
                <w:color w:val="auto"/>
                <w:w w:val="85"/>
              </w:rPr>
              <w:t>Prospectus</w:t>
            </w: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OptimizeRx Corporation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12"/>
          </w:tcPr>
          <w:p>
            <w:pPr>
              <w:spacing w:after="0" w:line="17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About This Prospectus</w:t>
              </w:r>
            </w:hyperlink>
          </w:p>
        </w:tc>
        <w:tc>
          <w:tcPr>
            <w:tcW w:w="8480" w:type="dxa"/>
            <w:vAlign w:val="bottom"/>
            <w:tcBorders>
              <w:top w:val="single" w:sz="8" w:color="CCEEFF"/>
            </w:tcBorders>
            <w:gridSpan w:val="11"/>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Incorporation By Reference</w:t>
              </w:r>
            </w:hyperlink>
          </w:p>
        </w:tc>
        <w:tc>
          <w:tcPr>
            <w:tcW w:w="826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Use of Proceeds</w:t>
              </w:r>
            </w:hyperlink>
          </w:p>
        </w:tc>
        <w:tc>
          <w:tcPr>
            <w:tcW w:w="910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Shareholder</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Share Capital</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Warrants</w:t>
              </w:r>
            </w:hyperlink>
          </w:p>
        </w:tc>
        <w:tc>
          <w:tcPr>
            <w:tcW w:w="8540" w:type="dxa"/>
            <w:vAlign w:val="bottom"/>
            <w:tcBorders>
              <w:bottom w:val="single" w:sz="8" w:color="CCEEFF"/>
            </w:tcBorders>
            <w:gridSpan w:val="1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Units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Plan of Distribution</w:t>
              </w:r>
            </w:hyperlink>
          </w:p>
        </w:tc>
        <w:tc>
          <w:tcPr>
            <w:tcW w:w="8840" w:type="dxa"/>
            <w:vAlign w:val="bottom"/>
            <w:tcBorders>
              <w:bottom w:val="single" w:sz="8" w:color="CCEEFF"/>
            </w:tcBorders>
            <w:gridSpan w:val="1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Disclosure of Commission Position on Indemnification for Securities Act Liabilities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5861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8995" cy="586168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December 11, 2018, including the documents incorporated by reference therein, provides more general information about us and our securities.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Neither we nor the underwriters have authorized anyone to provide you with information different from that contained or incorporated by reference in this prospectus supplement, the accompanying prospectus or in any free writing prospectus prepared by us or on our behalf that we have authorized for use in connection with this offering. We do not take any responsibility for, nor can we provide any assurance as to the reliability of, any information other than the information contained or incorporated by reference in this prospectus supplement, the accompanying prospectus or any free writing prospectus prepared by us or on our behalf that we have authorized for use in connection with this offering.</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should assume that the information contained or incorporated by reference in this prospectus supplement, the accompanying prospectus or in any free writing prospectus prepared by us or on our behalf that we have authorized for use in connection with this offering is accurate only as of the date of those respective documents. Our business, financial condition, liquidity, results of operations and prospects may have changed since those dates. You should read this prospectus supplement, the accompanying prospectus, and any free writing prospectus prepared by or on behalf of us that we have authorized for use in connection with this offering, together with the information we incorporate by reference herein and therein, including the additional information described in the sections of this prospectus supplement and the accompanying prospectus entitled “Where You Can Find More Information” and “Incorporation by Reference,” before making an investment decision.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investors outside of the United States, we have not done anything that would permit the offering, possession or distribution of this prospectus supplement or the accompanying prospectus in any jurisdiction where action for that purpose is required, other than in the United States. You are required to inform yourself about and to observe any restrictions relating to the offering, possession or the distribution of this prospectus supplement outside of the United States.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8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where the context requires otherwise, references in this prospectus supplement to “OptimizeRx,” “the Company,” “we,” “us” and “our” refer to OptimizeRx Corporation, a Nevada corporation, together with its subsidiaries.</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394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8995" cy="394017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This prospectus supplement, the accompanying prospectus and the documents incorporated by reference herein or therein contain forward-looking statements within the meaning of Section 27A of the Securities Act of 1933, as amended, or the Securities Act, and Section 21E of the Securities Exchange Act of 1934, as amended, or the Exchange Act. Such statements contained in this prospectus supplement, the accompanying prospectus and the documents incorporated by reference herein or therein are based upon current expectations that involve risks and uncertainties. Any statements contained in this prospectus supplement, the accompanying prospectus and the documents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the impact of our recent acquisition of CareSpeak Communications and </w:t>
      </w:r>
      <w:r>
        <w:rPr>
          <w:rFonts w:ascii="Arial" w:cs="Arial" w:eastAsia="Arial" w:hAnsi="Arial"/>
          <w:sz w:val="16"/>
          <w:szCs w:val="16"/>
          <w:color w:val="auto"/>
          <w:highlight w:val="white"/>
        </w:rPr>
        <w:t>our ability to realize the full benefits and synergies anticipated from the CareSpeak acquisition</w:t>
      </w:r>
      <w:r>
        <w:rPr>
          <w:rFonts w:ascii="Arial" w:cs="Arial" w:eastAsia="Arial" w:hAnsi="Arial"/>
          <w:sz w:val="16"/>
          <w:szCs w:val="16"/>
          <w:color w:val="auto"/>
        </w:rPr>
        <w:t xml:space="preserve"> </w:t>
      </w:r>
      <w:r>
        <w:rPr>
          <w:rFonts w:ascii="Arial" w:cs="Arial" w:eastAsia="Arial" w:hAnsi="Arial"/>
          <w:sz w:val="16"/>
          <w:szCs w:val="16"/>
          <w:color w:val="auto"/>
          <w:highlight w:val="white"/>
        </w:rPr>
        <w:t>because of integration and other challenges</w:t>
      </w:r>
      <w:r>
        <w:rPr>
          <w:rFonts w:ascii="Arial" w:cs="Arial" w:eastAsia="Arial" w:hAnsi="Arial"/>
          <w:sz w:val="16"/>
          <w:szCs w:val="16"/>
          <w:color w:val="auto"/>
        </w:rPr>
        <w:t>; competition within the industries in which we operate; the timing, cost and success or failure of new product</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and service introductions and developments; our ability to attract and retain qualified personnel; maintaining our intellectual property rights and litigation involving intellectual property rights; our ability to operate without infringing the intellectual property rights of others; legislative, regulatory and economic developments; </w:t>
      </w:r>
      <w:r>
        <w:rPr>
          <w:rFonts w:ascii="Arial" w:cs="Arial" w:eastAsia="Arial" w:hAnsi="Arial"/>
          <w:sz w:val="16"/>
          <w:szCs w:val="16"/>
          <w:color w:val="auto"/>
          <w:highlight w:val="white"/>
        </w:rPr>
        <w:t>general economic, market or business conditions unrelated to our operating performance; our ability to raise funds in the future</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through sales of securities or debt financing in order to sustain our operations if an unexpected or unusual event would occur; </w:t>
      </w:r>
      <w:r>
        <w:rPr>
          <w:rFonts w:ascii="Arial" w:cs="Arial" w:eastAsia="Arial" w:hAnsi="Arial"/>
          <w:sz w:val="16"/>
          <w:szCs w:val="16"/>
          <w:color w:val="auto"/>
        </w:rPr>
        <w:t>the incurrence by us of any</w:t>
      </w:r>
      <w:r>
        <w:rPr>
          <w:rFonts w:ascii="Arial" w:cs="Arial" w:eastAsia="Arial" w:hAnsi="Arial"/>
          <w:sz w:val="16"/>
          <w:szCs w:val="16"/>
          <w:color w:val="auto"/>
          <w:highlight w:val="white"/>
        </w:rPr>
        <w:t xml:space="preserve"> </w:t>
      </w:r>
      <w:r>
        <w:rPr>
          <w:rFonts w:ascii="Arial" w:cs="Arial" w:eastAsia="Arial" w:hAnsi="Arial"/>
          <w:sz w:val="16"/>
          <w:szCs w:val="16"/>
          <w:color w:val="auto"/>
        </w:rPr>
        <w:t>unanticipated or unusual non-operating expenses which would require us to divert our cash resources from achieving our business plan; and those factors discussed in the “Risk Factors” section, in addition to the other information set forth in this prospectus supplement, the accompanying prospectus and the documents incorporated by reference herein or therein We claim the protection of the safe harbor for forward-looking statements contained in the Private Securities Litigation Reform Act of 1995 for all forward-looking statements. All forward-looking statements contained in this prospectus supplement, the accompanying prospectus and the documents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supplement and the accompanying prospectus, our Annual Report on Form 10-K for the year ended December 31, 2018 and in our other filings with the SEC. You should carefully consider the risks described in the “Risk Factors” section, in addition to the other information set forth in this prospectus supplement, the accompanying prospectus and the documents incorporated by reference herein or therein, before making an investment decision.</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3665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995" cy="3665855"/>
                    </a:xfrm>
                    <a:prstGeom prst="rect">
                      <a:avLst/>
                    </a:prstGeom>
                    <a:noFill/>
                  </pic:spPr>
                </pic:pic>
              </a:graphicData>
            </a:graphic>
          </wp:anchor>
        </w:drawing>
        <w:t>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in other parts of this prospectus supplement the accompanying prospectus and the documents incorporated by reference herein or therein.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Investing in our securities involves risks that are described in this prospectus supplement under the heading “Risk Factors,” under the heading “Item 1A. Risk Factors” in our Annual Report on Form 10-K for the year ended December 31, 2018 and under similar headings in our other filings with the SEC.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or EHRs, providing a direct channel for pharmaceutical companies to communicate with healthcare providers and patients. Our cloud-based solution supports patient adherence to medications by providing real-time access to financial assistance and critical clinical information. Our network is comprised of leading EHR platforms and provides more than half a million healthcare providers access to these benefits within their workflow at the point of care.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were incorporated under the laws of the State of Nevada on September 4, 2008. Our principal executive offices are located at 400 Water Street, Suite 200 Rochester, MI 48307. Our telephone number at this address is (248) 651-6568.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520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5209540"/>
                    </a:xfrm>
                    <a:prstGeom prst="rect">
                      <a:avLst/>
                    </a:prstGeom>
                    <a:noFill/>
                  </pic:spPr>
                </pic:pic>
              </a:graphicData>
            </a:graphic>
          </wp:anchor>
        </w:drawing>
        <w:t>THE OFFERING</w:t>
      </w:r>
    </w:p>
    <w:p>
      <w:pPr>
        <w:sectPr>
          <w:pgSz w:w="11900" w:h="16838" w:orient="portrait"/>
          <w:cols w:equalWidth="0" w:num="1">
            <w:col w:w="11200"/>
          </w:cols>
          <w:pgMar w:left="320" w:top="985" w:right="3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1,538,500 shares</w:t>
      </w:r>
    </w:p>
    <w:p>
      <w:pPr>
        <w:spacing w:after="0" w:line="211" w:lineRule="exact"/>
        <w:rPr>
          <w:sz w:val="20"/>
          <w:szCs w:val="20"/>
          <w:color w:val="auto"/>
        </w:rPr>
      </w:pPr>
    </w:p>
    <w:p>
      <w:pPr>
        <w:sectPr>
          <w:pgSz w:w="11900" w:h="16838" w:orient="portrait"/>
          <w:cols w:equalWidth="0" w:num="2">
            <w:col w:w="3780" w:space="720"/>
            <w:col w:w="6700"/>
          </w:cols>
          <w:pgMar w:left="320" w:top="985"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 to purchase additional shares from the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supplement to purchase up to 230,775 additional shares of our common stock.</w:t>
      </w:r>
    </w:p>
    <w:p>
      <w:pPr>
        <w:spacing w:after="0" w:line="124" w:lineRule="exact"/>
        <w:rPr>
          <w:sz w:val="20"/>
          <w:szCs w:val="20"/>
          <w:color w:val="auto"/>
        </w:rPr>
      </w:pPr>
    </w:p>
    <w:p>
      <w:pPr>
        <w:sectPr>
          <w:pgSz w:w="11900" w:h="16838" w:orient="portrait"/>
          <w:cols w:equalWidth="0" w:num="2">
            <w:col w:w="4040" w:space="460"/>
            <w:col w:w="6700"/>
          </w:cols>
          <w:pgMar w:left="320" w:top="985" w:right="3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Total common stock to be outstanding immediately after this offering</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13,817,333 shares, or 14,048,108 shares if the underwriters exercise their option to purchase additional shares from the Company in full.</w:t>
      </w:r>
    </w:p>
    <w:p>
      <w:pPr>
        <w:spacing w:after="0" w:line="170" w:lineRule="exact"/>
        <w:rPr>
          <w:sz w:val="20"/>
          <w:szCs w:val="20"/>
          <w:color w:val="auto"/>
        </w:rPr>
      </w:pPr>
    </w:p>
    <w:p>
      <w:pPr>
        <w:sectPr>
          <w:pgSz w:w="11900" w:h="16838" w:orient="portrait"/>
          <w:cols w:equalWidth="0" w:num="2">
            <w:col w:w="4380" w:space="120"/>
            <w:col w:w="6700"/>
          </w:cols>
          <w:pgMar w:left="320" w:top="985" w:right="37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97" w:lineRule="auto"/>
        <w:rPr>
          <w:sz w:val="20"/>
          <w:szCs w:val="20"/>
          <w:color w:val="auto"/>
        </w:rPr>
      </w:pPr>
      <w:r>
        <w:rPr>
          <w:rFonts w:ascii="Arial" w:cs="Arial" w:eastAsia="Arial" w:hAnsi="Arial"/>
          <w:sz w:val="16"/>
          <w:szCs w:val="16"/>
          <w:color w:val="auto"/>
        </w:rPr>
        <w:t>We estimate that the net proceeds to us from this offering will be approximately $18.6 million, or $21.4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200" w:lineRule="exact"/>
        <w:rPr>
          <w:sz w:val="20"/>
          <w:szCs w:val="20"/>
          <w:color w:val="auto"/>
        </w:rPr>
      </w:pPr>
    </w:p>
    <w:p>
      <w:pPr>
        <w:sectPr>
          <w:pgSz w:w="11900" w:h="16838" w:orient="portrait"/>
          <w:cols w:equalWidth="0" w:num="2">
            <w:col w:w="3780" w:space="720"/>
            <w:col w:w="6700"/>
          </w:cols>
          <w:pgMar w:left="320" w:top="985" w:right="37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read the “Risk Factors” section of this prospectus supplement beginning on page S-5 and the documents referred to therein for a discussion of factors to consider carefully before deciding to invest in shares of our common stock.</w:t>
      </w:r>
    </w:p>
    <w:p>
      <w:pPr>
        <w:spacing w:after="0" w:line="181" w:lineRule="exact"/>
        <w:rPr>
          <w:sz w:val="20"/>
          <w:szCs w:val="20"/>
          <w:color w:val="auto"/>
        </w:rPr>
      </w:pPr>
    </w:p>
    <w:p>
      <w:pPr>
        <w:sectPr>
          <w:pgSz w:w="11900" w:h="16838" w:orient="portrait"/>
          <w:cols w:equalWidth="0" w:num="2">
            <w:col w:w="3780" w:space="720"/>
            <w:col w:w="6700"/>
          </w:cols>
          <w:pgMar w:left="320" w:top="985" w:right="379" w:bottom="144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OPRX</w:t>
      </w:r>
    </w:p>
    <w:p>
      <w:pPr>
        <w:spacing w:after="0" w:line="200" w:lineRule="exact"/>
        <w:rPr>
          <w:sz w:val="20"/>
          <w:szCs w:val="20"/>
          <w:color w:val="auto"/>
        </w:rPr>
      </w:pPr>
    </w:p>
    <w:p>
      <w:pPr>
        <w:sectPr>
          <w:pgSz w:w="11900" w:h="16838" w:orient="portrait"/>
          <w:cols w:equalWidth="0" w:num="2">
            <w:col w:w="3780" w:space="720"/>
            <w:col w:w="6700"/>
          </w:cols>
          <w:pgMar w:left="320" w:top="985" w:right="379" w:bottom="1440" w:gutter="0" w:footer="0" w:header="0"/>
          <w:type w:val="continuous"/>
        </w:sectPr>
      </w:pPr>
    </w:p>
    <w:p>
      <w:pPr>
        <w:spacing w:after="0" w:line="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12,278,833 shares of our common stock outstanding as of March 31, 2019 and excludes:</w:t>
      </w:r>
    </w:p>
    <w:p>
      <w:pPr>
        <w:spacing w:after="0" w:line="170" w:lineRule="exact"/>
        <w:rPr>
          <w:sz w:val="20"/>
          <w:szCs w:val="20"/>
          <w:color w:val="auto"/>
        </w:rPr>
      </w:pPr>
    </w:p>
    <w:p>
      <w:pPr>
        <w:ind w:left="1040" w:hanging="383"/>
        <w:spacing w:after="0"/>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471,341 shares of common stock reserved for future issuance under our 2013 Equity Incentive Plan, or the 2013 Plan, as of March 31, 2019;</w:t>
      </w:r>
    </w:p>
    <w:p>
      <w:pPr>
        <w:spacing w:after="0" w:line="275" w:lineRule="exact"/>
        <w:rPr>
          <w:rFonts w:ascii="Arial" w:cs="Arial" w:eastAsia="Arial" w:hAnsi="Arial"/>
          <w:sz w:val="16"/>
          <w:szCs w:val="16"/>
          <w:color w:val="auto"/>
        </w:rPr>
      </w:pPr>
    </w:p>
    <w:p>
      <w:pPr>
        <w:ind w:left="1040" w:right="20" w:hanging="383"/>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1,552,257 shares of common stock issuable upon the exercise of stock options outstanding as of March 31, 2019 under the 2013 Plan at a weighted average exercise price of $5.26; and</w:t>
      </w:r>
    </w:p>
    <w:p>
      <w:pPr>
        <w:spacing w:after="0" w:line="197" w:lineRule="exact"/>
        <w:rPr>
          <w:rFonts w:ascii="Arial" w:cs="Arial" w:eastAsia="Arial" w:hAnsi="Arial"/>
          <w:sz w:val="18"/>
          <w:szCs w:val="18"/>
          <w:color w:val="auto"/>
        </w:rPr>
      </w:pPr>
    </w:p>
    <w:p>
      <w:pPr>
        <w:ind w:left="1040" w:hanging="383"/>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50,000 shares of common stock issuable upon the vesting of restricted stock units outstanding as of March 31, 2019.</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by the underwriters of their option to purchase up to an additional 230,775 shares of our common stock from us and no exercise of the outstanding options described above.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Investing in our common stock involves risks. You should carefully consider the risks and uncertainties described in our Annual Report on Form 10-K for the fiscal year ended December 31, 2018, which is incorporated by reference into this prospectus supplement, as revised or supplemented by our filings with the SEC since the filing of our most recent Annual Report on Form 10-K, and which may be amended, supplemented or superseded from time to time by other reports we file with the SEC in the future. You should also carefully consider the other information contained or incorporated by reference in this prospectus supplement, in the accompanying prospectus and in any free writing prospectus that we may authorize for use in connection with this offering before acquiring any shares of our common stock. These risks could materially affect our business, results of operations or financial condition and cause the value of our common stock to decline. In addition, the risks and uncertainties we have described are not the only ones facing our company. Additional risks and uncertainties not presently known to us or that we currently deem immaterial may also affect our business operations, and you could lose all or part of your investment. Please also read carefully the section entitled “Cautionary Statement Regarding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operations or to achieve expected growth from our recent acquisition of CareSpeak Communications.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benefits expected to result from our acquisition of CareSpeak Communications, Inc., or CareSpeak, will not be achieved fully unless we are able to successfully integrate the operations of CareSpeak with our current business operations and realize the anticipated synergies, cost savings and growth opportunities from such integration. Challenges we may face in this regard include, but are not limited to: (i) estimating the capital, personnel and equipment required for proper integration; (ii) minimizing potential adverse effects on existing business relationships; and (iii) successfully developing and marketing CareSpeak’s products and services. Any difficulties we may experience in connection with the integration of CareSpeak could delay or prevent us from realizing such expected benefits and enhancing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will have broad discretion as to the use of the Company’s proceeds from this offering, and we may not use the proceeds effectively.</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will have broad discretion in the application of our net proceeds from this offering and could spend the proceeds in ways that do not improve our results of operations or enhance the value of our common stock. Our failure to apply these funds effectively could have a material adverse effect on our business, delay the growth of our business, or cause the price of our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Purchasers of common stock in this offering will experience immediate and substantial dilution in the book value of their investment. You may experience further dilution upon exercise of our outstanding options and warrants.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public offering price per share of common stock in this offering is substantially higher than the net tangible book value per share of our common stock before giving effect to this offering. Accordingly, if you purchase common stock in this offering, you will incur immediate substantial dilution of approximately $10.89 per share, representing the difference between the public offering price per share of common stock and our pro forma as adjusted net tangible book value as of March 31, 2019. In addition, if our outstanding stock options are exercised, you could experience further dilution. For a further description of the dilution that you will experience immediately after this offering, see the section in this prospectus supplement entitled “Dilution.”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securities in any other offering at a price per share that is equal to or greater than the price per share paid by investors in this offering, and investors purchasing shares of our common stock or other securities in the future could have rights superior to existing shareholders,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we currently do not have any immediate arrangements, commitments or understandings regarding any future acquisitions, as part of our strategy for growth, we may continue to explore acquisitions or strategic alliances, which may not be completed or may not be ultimately beneficial to us. Acquisitions may pose risks to our operations, including:</w:t>
      </w:r>
    </w:p>
    <w:p>
      <w:pPr>
        <w:spacing w:after="0" w:line="181"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of the personnel, operations, technologies, or products of the acquired businesses;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adversely affecting our internal control over financial reporting before the acquiree’s complete integration into our control environment.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that the net proceeds to us from this offering, after deducting estimated underwriting discounts and commissions and estimated offering expenses payable by us, will be approximately $18.6 million, or $21.4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this prospectus supplement, we cannot specify with certainty all of the particular uses for the net proceeds to us from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management will have broad discretion in the timing and application of these proceeds.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Pending use of the proceeds from this offering as described above, we intend to invest the net proceeds of this offering in money market funds, certificates of deposit and corporate debt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tangible book value of our common stock as of March 31, 2019 was approximately $10.7 million, or approximately $0.87 per share. Net tangible book value per share represents the amount of our total tangible assets less total liabilities divided by the total number of shares of our common stock outstanding.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giving effect to the sale of shares of common stock offered by this prospectus supplement at a public offering price of $13.00 per share, and after deducting commissions and estimated aggregate offering expenses payable by us, our as adjusted net tangible book value as of March 31, 2019 would have been approximately $29.1 million, or approximately $2.11 per share. This represents an immediate increase in net tangible book value of approximately $1.24 per share to our existing stockholders and an immediate dilution in as adjusted net tangible book value of approximately $10.89 per share to purchasers of our common stock in this offering, as illustrated by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864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March 31, 2019</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0.87</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Increase in net tangible book value per share attributable to investors purchasing our common stock in this offering</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6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As adjusted net tangible book value per share as of March 31, 2019 after giving effect to this offering</w:t>
            </w:r>
          </w:p>
        </w:tc>
        <w:tc>
          <w:tcPr>
            <w:tcW w:w="1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20" w:type="dxa"/>
            <w:vAlign w:val="bottom"/>
            <w:tcBorders>
              <w:top w:val="single" w:sz="8" w:color="CCEEFF"/>
            </w:tcBorders>
            <w:gridSpan w:val="2"/>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100"/>
              <w:spacing w:after="0" w:line="189"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8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common stock in this offering</w:t>
            </w: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the underwriters exercise in full their option to purchase 230,775 additional shares of our common stock, our as adjusted net tangible book value as of March 31, 2019 would have been $14.0 million, or $2.28 per share. This represents an immediate increase in as adjusted net tangible book value per share of $1.41 per share to existing stockholders, and an immediate dilution of $10.72 per share to investors participating in this offering.</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above is based on 12,278,833 shares of our common stock outstanding and issued as of March 31, 2019, which excludes 471,341 shares of common stock reserved for future issuance under our 2013 Plan, 1,552,257 shares of common stock issuable upon the exercise of stock options outstanding as of March 31, 2019 under the 2013 Plan at a weighted average exercise price of $5.26 and 50,000 shares of common stock issuable upon the vesting of restricted stock units outstanding as of March 31, 2019.</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table sets forth our capitalization as of March 31, 2019 on an actual basis and as adjusted to give effect to the sale of the common stock in this offering. The information set forth in the table below is only a summary and is qualified in its entirety by, and should be read in conjunction with, the consolidated financial statements, the notes thereto, and “Management’s Discussion and Analysis of Results of Operations and Financial Condition” in our Annual Report on Form 10-K for the fiscal year ended December 31, 2018 and our Quarterly Report on Form 10-Q for the period ending March 31, 2019, each of which is incorporated by reference in this prospectus supplement and the accompanying prospectus. See “Where You Can Find More Information” in this prospectus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8"/>
                <w:szCs w:val="18"/>
                <w:color w:val="auto"/>
              </w:rPr>
              <w:t>March 31, 2019</w:t>
            </w:r>
          </w:p>
        </w:tc>
      </w:tr>
      <w:tr>
        <w:trPr>
          <w:trHeight w:val="237"/>
        </w:trPr>
        <w:tc>
          <w:tcPr>
            <w:tcW w:w="8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Actual</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As Adjusted</w:t>
            </w:r>
          </w:p>
        </w:tc>
        <w:tc>
          <w:tcPr>
            <w:tcW w:w="100" w:type="dxa"/>
            <w:vAlign w:val="bottom"/>
          </w:tcPr>
          <w:p>
            <w:pPr>
              <w:spacing w:after="0"/>
              <w:rPr>
                <w:sz w:val="20"/>
                <w:szCs w:val="20"/>
                <w:color w:val="auto"/>
              </w:rPr>
            </w:pPr>
          </w:p>
        </w:tc>
      </w:tr>
      <w:tr>
        <w:trPr>
          <w:trHeight w:val="216"/>
        </w:trPr>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10,133,940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28,534,408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5,814,983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5,814,983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4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shares issued and outstanding, actual and as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adjusted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8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$0.001 par value, 500,000,000 shares authorized, 12,278,833 shares issued and outstanding, actual</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13,817,333 shares issued and outstanding, as adjusted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13,817</w:t>
            </w:r>
          </w:p>
        </w:tc>
      </w:tr>
      <w:tr>
        <w:trPr>
          <w:trHeight w:val="216"/>
        </w:trPr>
        <w:tc>
          <w:tcPr>
            <w:tcW w:w="86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49,705,102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68,104,031</w:t>
            </w:r>
          </w:p>
        </w:tc>
      </w:tr>
      <w:tr>
        <w:trPr>
          <w:trHeight w:val="236"/>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(30,275,505)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(30,275,505)</w:t>
            </w:r>
          </w:p>
        </w:tc>
      </w:tr>
      <w:tr>
        <w:trPr>
          <w:trHeight w:val="210"/>
        </w:trPr>
        <w:tc>
          <w:tcPr>
            <w:tcW w:w="8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19,441,876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37,842,343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19,441,876</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37,842,343</w:t>
            </w:r>
          </w:p>
        </w:tc>
        <w:tc>
          <w:tcPr>
            <w:tcW w:w="100" w:type="dxa"/>
            <w:vAlign w:val="bottom"/>
            <w:shd w:val="clear" w:color="auto" w:fill="CCEEFF"/>
          </w:tcPr>
          <w:p>
            <w:pPr>
              <w:spacing w:after="0"/>
              <w:rPr>
                <w:sz w:val="19"/>
                <w:szCs w:val="19"/>
                <w:color w:val="auto"/>
              </w:rPr>
            </w:pPr>
          </w:p>
        </w:tc>
      </w:tr>
      <w:tr>
        <w:trPr>
          <w:trHeight w:val="21"/>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excludes:</w:t>
      </w:r>
    </w:p>
    <w:p>
      <w:pPr>
        <w:spacing w:after="0" w:line="225" w:lineRule="exact"/>
        <w:rPr>
          <w:sz w:val="20"/>
          <w:szCs w:val="20"/>
          <w:color w:val="auto"/>
        </w:rPr>
      </w:pPr>
    </w:p>
    <w:p>
      <w:pPr>
        <w:ind w:left="1040" w:hanging="384"/>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471,341 shares of common stock reserved for future issuance under our 2013 Equity Incentive Plan, or the 2013 Plan, as of March 31, 2019;</w:t>
      </w:r>
    </w:p>
    <w:p>
      <w:pPr>
        <w:spacing w:after="0" w:line="248"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1,552,257 shares of common stock issuable upon the exercise of stock options outstanding as of March 31, 2019 under the 2013 Plan at a weighted average exercise price of $5.26;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 shares of common stock issuable upon the vesting of restricted stock units outstanding as of March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amounts in the table above assume no exercise by the underwriters of their option to purchase additional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MATERIAL U.S. FEDERAL INCOME AND ESTATE TAX CONSEQUENCES TO NON-U.S. 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is a discussion of the material U.S. federal income and estate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47" w:lineRule="exact"/>
        <w:rPr>
          <w:sz w:val="20"/>
          <w:szCs w:val="20"/>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1040" w:right="20" w:hanging="384"/>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other pass-through entities. The tax treatment of a partner in a partnership or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common stock, or that any such contrary position would not be sustained by a court.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is not a complete analysis of all of the potential U.S. federal income and estate tax consequences relating to the acquisition, ownership, and disposition of our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93" w:lineRule="exact"/>
        <w:rPr>
          <w:sz w:val="20"/>
          <w:szCs w:val="20"/>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non-U.S. governments, agencies or instrumentalities thereof, or entities they control;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and their shareholders;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“passive foreign investment companies” and their shareholders;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partnerships, grantor trusts or other entities that are treated as pass-through entities for U.S. federal income tax purposes, and their owners;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former citizens or former long-term residents of the United States;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pension funds or other tax-exempt organizations;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or otherwise as compensation;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traders, brokers, or dealers in securities, commodities, or currencies;</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wash sale, “straddle,” “conversion transaction” or other risk reduction transaction or synthetic security;</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70"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 financial statement;</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 own or have owned, or are deemed to own or to have owned, more than 5% of our common stock (except to the extent specifically set forth below); or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Prospective investors should consult their own tax advisors regarding the particular U.S. federal income, estate, gift, and generation-skipping transfer tax consequences to them of acquiring, owning, and disposing of our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disclosure in this section addresses the consequences should our board of directors determine to make a distribution of cash or property with respect to our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Any such excess allocated to a share of common stock will constitute a return of capital to the extent of the non-U.S. holder’s adjusted tax basis in that share of common stock, reducing that adjusted tax basis, but not below zero. After the non-U.S. holder’s adjusted tax basis in a share of common stock has been reduced to zero, any remaining excess allocated to that share of common stock will be treated as capital gain from the sale of that share of common stock, subject to the tax treatment described below under “Gain on Disposition of Common Stock.” Any such distributions will also be subject to the discussion below regarding backup withholding and foreign accounts. A non-U.S. holder’s adjusted tax basis in a share of common stock is generally the purchase price of the share, reduced by the amount of any distributions constituting a return of capital with respect to that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287" w:lineRule="auto"/>
        <w:rPr>
          <w:sz w:val="20"/>
          <w:szCs w:val="20"/>
          <w:color w:val="auto"/>
        </w:rPr>
      </w:pPr>
      <w:r>
        <w:rPr>
          <w:rFonts w:ascii="Arial" w:cs="Arial" w:eastAsia="Arial" w:hAnsi="Arial"/>
          <w:sz w:val="16"/>
          <w:szCs w:val="16"/>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any gain realized upon the sale, exchange, or other taxable disposition of our common stock unless:</w:t>
      </w:r>
    </w:p>
    <w:p>
      <w:pPr>
        <w:spacing w:after="0" w:line="170" w:lineRule="exact"/>
        <w:rPr>
          <w:sz w:val="20"/>
          <w:szCs w:val="20"/>
          <w:color w:val="auto"/>
        </w:rPr>
      </w:pPr>
    </w:p>
    <w:p>
      <w:pPr>
        <w:jc w:val="both"/>
        <w:ind w:left="1040" w:hanging="384"/>
        <w:spacing w:after="0" w:line="272"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77" w:lineRule="exact"/>
        <w:rPr>
          <w:rFonts w:ascii="Arial" w:cs="Arial" w:eastAsia="Arial" w:hAnsi="Arial"/>
          <w:sz w:val="17"/>
          <w:szCs w:val="17"/>
          <w:color w:val="auto"/>
        </w:rPr>
      </w:pPr>
    </w:p>
    <w:p>
      <w:pPr>
        <w:jc w:val="both"/>
        <w:ind w:left="1040" w:hanging="384"/>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78" w:lineRule="exact"/>
        <w:rPr>
          <w:rFonts w:ascii="Arial" w:cs="Arial" w:eastAsia="Arial" w:hAnsi="Arial"/>
          <w:sz w:val="17"/>
          <w:szCs w:val="17"/>
          <w:color w:val="auto"/>
        </w:rPr>
      </w:pPr>
    </w:p>
    <w:p>
      <w:pPr>
        <w:jc w:val="both"/>
        <w:ind w:left="1040" w:hanging="384"/>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89" w:lineRule="auto"/>
        <w:rPr>
          <w:sz w:val="20"/>
          <w:szCs w:val="20"/>
          <w:color w:val="auto"/>
        </w:rPr>
      </w:pPr>
      <w:r>
        <w:rPr>
          <w:rFonts w:ascii="Arial" w:cs="Arial" w:eastAsia="Arial" w:hAnsi="Arial"/>
          <w:sz w:val="16"/>
          <w:szCs w:val="16"/>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common stock will be regularly traded on an established securities market for purposes of the rule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rules relating to information reporting requirements and backup withholding with respect to payments of the proceeds from the disposition of shares of our common stock are as follows:</w:t>
      </w:r>
    </w:p>
    <w:p>
      <w:pPr>
        <w:spacing w:after="0" w:line="170" w:lineRule="exact"/>
        <w:rPr>
          <w:sz w:val="20"/>
          <w:szCs w:val="20"/>
          <w:color w:val="auto"/>
        </w:rPr>
      </w:pPr>
    </w:p>
    <w:p>
      <w:pPr>
        <w:jc w:val="both"/>
        <w:ind w:left="1040" w:hanging="384"/>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81" w:lineRule="exact"/>
        <w:rPr>
          <w:rFonts w:ascii="Arial" w:cs="Arial" w:eastAsia="Arial" w:hAnsi="Arial"/>
          <w:sz w:val="18"/>
          <w:szCs w:val="18"/>
          <w:color w:val="auto"/>
        </w:rPr>
      </w:pPr>
    </w:p>
    <w:p>
      <w:pPr>
        <w:ind w:left="1040" w:hanging="384"/>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23" w:lineRule="exact"/>
        <w:rPr>
          <w:rFonts w:ascii="Arial" w:cs="Arial" w:eastAsia="Arial" w:hAnsi="Arial"/>
          <w:sz w:val="16"/>
          <w:szCs w:val="16"/>
          <w:color w:val="auto"/>
        </w:rPr>
      </w:pPr>
    </w:p>
    <w:p>
      <w:pPr>
        <w:jc w:val="both"/>
        <w:ind w:left="1040" w:hanging="384"/>
        <w:spacing w:after="0" w:line="272"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our common 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 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dividends on our common stock paid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Withholding under FATCA generally will not be reduced or limited by bilateral income tax treaties. However, intergovernmental agreements between the U.S.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Common stock owned or treated as owned at the time of death by an individual who is not a citizen or resident of the United States (as specifically defined for U.S. federal estate tax purposes) is considered a U.S. situs asset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William Blair &amp; Company, L.L.C. is acting as representative of each of the underwriters named below and as lead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 Riley FBR, Inc.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246,160</w:t>
            </w:r>
          </w:p>
        </w:tc>
        <w:tc>
          <w:tcPr>
            <w:tcW w:w="100" w:type="dxa"/>
            <w:vAlign w:val="bottom"/>
            <w:tcBorders>
              <w:bottom w:val="single" w:sz="8" w:color="CCEEFF"/>
            </w:tcBorders>
          </w:tcPr>
          <w:p>
            <w:pPr>
              <w:spacing w:after="0"/>
              <w:rPr>
                <w:sz w:val="20"/>
                <w:szCs w:val="20"/>
                <w:color w:val="auto"/>
              </w:rPr>
            </w:pPr>
          </w:p>
        </w:tc>
      </w:tr>
      <w:tr>
        <w:trPr>
          <w:trHeight w:val="250"/>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1,538,500</w:t>
            </w:r>
          </w:p>
        </w:tc>
      </w:tr>
      <w:tr>
        <w:trPr>
          <w:trHeight w:val="21"/>
        </w:trPr>
        <w:tc>
          <w:tcPr>
            <w:tcW w:w="10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$ 0.507 per share. After the initial offering of the shares, the public offering price, concession or any other term of the offering may be changed by the representatives.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7"/>
                <w:szCs w:val="17"/>
                <w:color w:val="auto"/>
              </w:rPr>
            </w:pPr>
          </w:p>
        </w:tc>
        <w:tc>
          <w:tcPr>
            <w:tcW w:w="10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rPr>
              <w:t>With</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20,000,500.00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23,000,575.00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0.845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1,300,032.50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1,495,037.38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18,700,467.50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21,505,537.60</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$150,000. We also have agreed to reimburse the underwriters for up to $50,000 for their counsel. In accordance with FINRA Rule 5110, this reimbursed fee is deemed underwriting compensation for this offering.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Roth Capital Partners, LLC, or Roth, and Lake Street Capital Markets, LLC, or Lake Street, is acting as financial advisor in connection with this offering. Neither Roth nor Lake Street is acting as an underwriter in connection with this offering, and accordingly, neither Roth nor Lake Street is either purchasing shares or offering shares to the public in connection with this offering. Each of Roth and Lake Street will receive a fee of $75,000 for their respective services. The fees to Roth and Lake Street are not included in our calculation of the estimated expenses payable by us in connection with this offering, as the underwriters have agreed to reimburse us for such services.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230,775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our executive officers and directors have agreed not to sell or transfer any shares of common stock or securities convertible into or exchangeable or exercisable for shares of common stock, for 90 days after the date of this prospectus supplement without first obtaining the written consent of William Blair &amp; Company, L.L.C., on behalf of the underwriters. Specifically, we and these other persons have agreed, with certain exceptions, not to (i) offer, sell, contract to sell, announce the intention to sell, pledge, grant any option to purchase or otherwise dispose of any of our securities or any securities convertible into or exercisable or exchangeable for, or any rights to purchase or otherwise acquire our securities, (ii) request or demand that we file a registration statement related to the shares of common stock or (iii) publicly announce any of the foregoing.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lock-up provision applies to shares of common stock and to securities convertible into or exchangeable or exercisable for shares of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302" w:lineRule="auto"/>
        <w:rPr>
          <w:sz w:val="20"/>
          <w:szCs w:val="20"/>
          <w:color w:val="auto"/>
        </w:rPr>
      </w:pPr>
      <w:r>
        <w:rPr>
          <w:rFonts w:ascii="Arial" w:cs="Arial" w:eastAsia="Arial" w:hAnsi="Arial"/>
          <w:sz w:val="16"/>
          <w:szCs w:val="16"/>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The underwriters and their affiliates are currently providing investment banking advice to us and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shares may be made to the public in that Relevant Member State other than:</w:t>
      </w:r>
    </w:p>
    <w:p>
      <w:pPr>
        <w:spacing w:after="0" w:line="170"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jc w:val="both"/>
        <w:ind w:left="1040" w:hanging="384"/>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81" w:lineRule="exact"/>
        <w:rPr>
          <w:rFonts w:ascii="Arial" w:cs="Arial" w:eastAsia="Arial" w:hAnsi="Arial"/>
          <w:sz w:val="18"/>
          <w:szCs w:val="18"/>
          <w:color w:val="auto"/>
        </w:rPr>
      </w:pPr>
    </w:p>
    <w:p>
      <w:pPr>
        <w:jc w:val="both"/>
        <w:ind w:left="1040" w:hanging="384"/>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72" w:lineRule="auto"/>
        <w:rPr>
          <w:sz w:val="20"/>
          <w:szCs w:val="20"/>
          <w:color w:val="auto"/>
        </w:rPr>
      </w:pPr>
      <w:r>
        <w:rPr>
          <w:rFonts w:ascii="Arial" w:cs="Arial" w:eastAsia="Arial" w:hAnsi="Arial"/>
          <w:sz w:val="17"/>
          <w:szCs w:val="17"/>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the representatives and each of our affiliates will rely upon the truth and accuracy of the foregoing representations, acknowledgements and agreements.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validity of the common stock being offered in this offering will be passed upon for us by The Doney Law Firm, Las Vegas, Nevada. Certain other matters with respect to this offering will be passed upon for us by Morgan, Lewis &amp; Bockius LLP, Boston, Massachusetts. Certain legal matters related to this offering will be passed upon for the underwriters by Goodwin Procter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Sadler, Gibb &amp; Associates, LLC has audited our financial statements incorporated in this prospectus supplement by reference to the Annual Report on Form 10-K for the year ended December 31, 2018. Sadler, Gibb &amp; Associates, LLC has presented its report with respect to our audited financial statements. The report of Sadler, Gibb &amp; Associates, LLC is included in reliance upon their authority as experts in accounting and auditing.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into this prospectus supplement the information contained in documents that we file with them,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before the date of this prospectus supplement, while information that we file later with the SEC will automatically update and supersede prior information. Any information so updated and superseded shall not be deemed, except as so updated and superseded, to constitute a part of this prospectus supplement. We incorporate by reference the documents listed below and any future filings we will make with the SEC under Sections 13(a), 13(c), 14 or 15(d) of the Exchange Act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2"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filed with the SEC on March 12, 2019;</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8, 2019;</w:t>
      </w:r>
    </w:p>
    <w:p>
      <w:pPr>
        <w:spacing w:after="0" w:line="225" w:lineRule="exact"/>
        <w:rPr>
          <w:rFonts w:ascii="Arial" w:cs="Arial" w:eastAsia="Arial" w:hAnsi="Arial"/>
          <w:sz w:val="18"/>
          <w:szCs w:val="18"/>
          <w:color w:val="auto"/>
        </w:rPr>
      </w:pPr>
    </w:p>
    <w:p>
      <w:pPr>
        <w:jc w:val="both"/>
        <w:ind w:left="1040" w:hanging="384"/>
        <w:spacing w:after="0" w:line="264" w:lineRule="auto"/>
        <w:tabs>
          <w:tab w:leader="none" w:pos="1040" w:val="left"/>
        </w:tabs>
        <w:numPr>
          <w:ilvl w:val="0"/>
          <w:numId w:val="12"/>
        </w:numPr>
        <w:rPr>
          <w:rFonts w:ascii="Arial" w:cs="Arial" w:eastAsia="Arial" w:hAnsi="Arial"/>
          <w:sz w:val="18"/>
          <w:szCs w:val="18"/>
          <w:color w:val="0000EE"/>
        </w:rPr>
      </w:pPr>
      <w:hyperlink r:id="rId3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29,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12,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26,</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4,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10, 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31,</w:t>
        </w:r>
      </w:hyperlink>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2019</w:t>
        </w:r>
        <w:r>
          <w:rPr>
            <w:rFonts w:ascii="Arial" w:cs="Arial" w:eastAsia="Arial" w:hAnsi="Arial"/>
            <w:sz w:val="18"/>
            <w:szCs w:val="18"/>
            <w:color w:val="000000"/>
          </w:rPr>
          <w:t>; and</w:t>
        </w:r>
      </w:hyperlink>
    </w:p>
    <w:p>
      <w:pPr>
        <w:spacing w:after="0" w:line="181" w:lineRule="exact"/>
        <w:rPr>
          <w:rFonts w:ascii="Arial" w:cs="Arial" w:eastAsia="Arial" w:hAnsi="Arial"/>
          <w:sz w:val="18"/>
          <w:szCs w:val="18"/>
          <w:color w:val="0000EE"/>
        </w:rPr>
      </w:pPr>
    </w:p>
    <w:p>
      <w:pPr>
        <w:ind w:left="104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description of our common stock contained in the registration statement on </w:t>
      </w:r>
      <w:hyperlink r:id="rId3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on June 19, 2018, and all amendments and reports updating such description.</w:t>
      </w:r>
    </w:p>
    <w:p>
      <w:pPr>
        <w:spacing w:after="0" w:line="170" w:lineRule="exact"/>
        <w:rPr>
          <w:rFonts w:ascii="Arial" w:cs="Arial" w:eastAsia="Arial" w:hAnsi="Arial"/>
          <w:sz w:val="18"/>
          <w:szCs w:val="18"/>
          <w:color w:val="0000EE"/>
        </w:rPr>
      </w:pPr>
    </w:p>
    <w:p>
      <w:pPr>
        <w:jc w:val="both"/>
        <w:ind w:firstLine="648"/>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by writing or calling us at the following address and telephone number:</w:t>
      </w:r>
    </w:p>
    <w:p>
      <w:pPr>
        <w:spacing w:after="0" w:line="188"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Rochester, MI 48307</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(248) 651-6568</w:t>
      </w:r>
    </w:p>
    <w:p>
      <w:pPr>
        <w:spacing w:after="0" w:line="211" w:lineRule="exact"/>
        <w:rPr>
          <w:rFonts w:ascii="Arial" w:cs="Arial" w:eastAsia="Arial" w:hAnsi="Arial"/>
          <w:sz w:val="18"/>
          <w:szCs w:val="18"/>
          <w:color w:val="0000EE"/>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to provide you with different information.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96"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154940</wp:posOffset>
            </wp:positionV>
            <wp:extent cx="257302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5730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OptimizeRx Corporation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2,103,702 Common Shares Offered by the Selling Shareholder</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offer and sell from time to time common shares, preferred shares, debt securities, warrants or units. We may offer and sell these securities to or through one or more underwriters, dealers and agents, or directly to purchasers, on a continuous or delayed basis. Specific amounts and terms of these securities will be provided in supplements to this prospectus. The aggregate initial offering price of all securities sold by us will not exceed $40,000,000.</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selling shareholder named in this prospectus (the “selling shareholder”) may from time to time offer and sell up to 2,103,702 of our common shares. The selling shareholder may offer and sell our common shares in public or private transactions, or both. These sales may occur at fixed prices, at market prices prevailing at the time of sale, at prices related to prevailing market prices, or at negotiated prices. See “Plan of Distribution” for more information on how the selling shareholder may conduct sales of our common shares. We will not receive any proceeds from any sale of these common shares by the selling shareholders.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time we or the selling shareholder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shares are listed on the Nasdaq Capital Market under the symbol “OPRX.” On December 10, 2018, the last reported sale price of our common shares on the Nasdaq Capital Market was $14.90 per share.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OptimizeRx Corporation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About This Prospectus</w:t>
              </w:r>
            </w:hyperlink>
          </w:p>
        </w:tc>
        <w:tc>
          <w:tcPr>
            <w:tcW w:w="87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Incorporation By Reference</w:t>
              </w:r>
            </w:hyperlink>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Use of Proceeds</w:t>
              </w:r>
            </w:hyperlink>
          </w:p>
        </w:tc>
        <w:tc>
          <w:tcPr>
            <w:tcW w:w="934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Shareholder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Share Capital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Warrants</w:t>
              </w:r>
            </w:hyperlink>
          </w:p>
        </w:tc>
        <w:tc>
          <w:tcPr>
            <w:tcW w:w="8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Units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Plan of Distribution</w:t>
              </w:r>
            </w:hyperlink>
          </w:p>
        </w:tc>
        <w:tc>
          <w:tcPr>
            <w:tcW w:w="908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Disclosure of Commission Position on Indemnification for Securities Act Liabilities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Neither we nor the selling shareholders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Neither we nor the selling shareholders are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or the context otherwise requires, all references in this prospectus to “OptimizeRx Corporation” or the “Company,” “Registrant,” “we,” “our,” “ours,” “us” or similar terms refer to OptimizeRx Corporation, together with its subsidiaries, and, where the context requires, our predecessor entities.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16140" cy="5878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t>OPTIMIZERX CORPORATION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address 400 Water Street, Suite 200 Rochester, MI 48307. Our telephone number at this address is (248) 651-6568. Our principal website is https://optimizerx.com/. The information contained on, or that can be accessed through, our website is not a part of this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$40,000,000 as described in this prospectus. In addition, under this shelf registration statement, the selling shareholder named in this prospectus may sell, from time to time, up to 2,103,702 of our common shares. Each time that we or the selling shareholders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by Reference.”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prospectus, any prospectus supplement and the documents incorporated by reference herein or therein contain forward-looking statements within the meaning of Section 27A of the Securities Act of 1933, as amended (the “Securities Act”), and Section 21E of the Securities Exchange Act of 1934, as amended (the “Exchange Act”). Such statements contained in this prospectus or any prospectus supplement or incorporated by reference herein or therein are based upon current expectations that involve risks and uncertainties. Any statements contained in this prospectus or any prospectus supplement or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in the “Risk Factors” section, in addition to the other information set forth in this prospectus or any prospectus supplement or incorporated by reference herein or therein. We claim the protection of the safe harbor for forward-looking statements contained in the Private Securities Litigation Reform Act of 1995 for all forward-looking statements. All forward-looking statements contained in this prospectus or any prospectus supplement or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our Annual Report on Form 10-K for the year ended December 31, 2017 and our Quarterly Reports on Form 10-Q for the quarters ended March 31, 2018, June 30, 2018 and September 30, 2018. You should carefully consider the risks described in the “Risk Factors” section, in addition to the other information set forth in this prospectus or any prospectus supplement or incorporated by reference herein or therein, before making an investment decision.</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40" w:top="432"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16140" cy="6015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16140" cy="6015990"/>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10-K, quarterly reports on Form 10-Q and current reports on Form 8-K.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We also maintain a website at ir.smartm.com,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shares. We have included our website address in this prospectus solely as an inactive textual 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of 1934, as amended, prior to the termination of the offering under this prospectus:</w:t>
      </w:r>
    </w:p>
    <w:p>
      <w:pPr>
        <w:spacing w:after="0" w:line="188"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March 8, 2018;</w:t>
      </w:r>
    </w:p>
    <w:p>
      <w:pPr>
        <w:spacing w:after="0" w:line="23"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47">
        <w:r>
          <w:rPr>
            <w:rFonts w:ascii="Arial" w:cs="Arial" w:eastAsia="Arial" w:hAnsi="Arial"/>
            <w:sz w:val="18"/>
            <w:szCs w:val="18"/>
            <w:u w:val="single" w:color="auto"/>
            <w:color w:val="0000EE"/>
          </w:rPr>
          <w:t>March 31, 2018</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June 30,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9">
        <w:r>
          <w:rPr>
            <w:rFonts w:ascii="Arial" w:cs="Arial" w:eastAsia="Arial" w:hAnsi="Arial"/>
            <w:sz w:val="18"/>
            <w:szCs w:val="18"/>
            <w:u w:val="single" w:color="auto"/>
            <w:color w:val="0000EE"/>
          </w:rPr>
          <w:t>September 30, 2018</w:t>
        </w:r>
      </w:hyperlink>
      <w:r>
        <w:rPr>
          <w:rFonts w:ascii="Arial" w:cs="Arial" w:eastAsia="Arial" w:hAnsi="Arial"/>
          <w:sz w:val="18"/>
          <w:szCs w:val="18"/>
          <w:color w:val="auto"/>
        </w:rPr>
        <w:t>, filed with the SEC on May 2, 2018, August 7, 2018 and November 5, 2018, respectively;</w:t>
      </w:r>
    </w:p>
    <w:p>
      <w:pPr>
        <w:ind w:left="660" w:hanging="333"/>
        <w:spacing w:after="0" w:line="250" w:lineRule="auto"/>
        <w:tabs>
          <w:tab w:leader="none" w:pos="660" w:val="left"/>
        </w:tabs>
        <w:numPr>
          <w:ilvl w:val="0"/>
          <w:numId w:val="13"/>
        </w:numPr>
        <w:rPr>
          <w:rFonts w:ascii="Arial" w:cs="Arial" w:eastAsia="Arial" w:hAnsi="Arial"/>
          <w:sz w:val="18"/>
          <w:szCs w:val="18"/>
          <w:color w:val="0000EE"/>
        </w:rPr>
      </w:pPr>
      <w:r>
        <w:rPr>
          <w:rFonts w:ascii="Arial" w:cs="Arial" w:eastAsia="Arial" w:hAnsi="Arial"/>
          <w:sz w:val="18"/>
          <w:szCs w:val="18"/>
          <w:color w:val="auto"/>
        </w:rPr>
        <w:t xml:space="preserve">Current Reports on Form 8-K or 8-K/A, as the case may be, filed with the SEC on </w:t>
      </w:r>
      <w:hyperlink r:id="rId50">
        <w:r>
          <w:rPr>
            <w:rFonts w:ascii="Arial" w:cs="Arial" w:eastAsia="Arial" w:hAnsi="Arial"/>
            <w:sz w:val="18"/>
            <w:szCs w:val="18"/>
            <w:u w:val="single" w:color="auto"/>
            <w:color w:val="0000EE"/>
          </w:rPr>
          <w:t>December 10, 2018</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October 17, 2018</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September 14, 2018</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March 27, 2018</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4">
        <w:r>
          <w:rPr>
            <w:rFonts w:ascii="Arial" w:cs="Arial" w:eastAsia="Arial" w:hAnsi="Arial"/>
            <w:sz w:val="18"/>
            <w:szCs w:val="18"/>
            <w:u w:val="single" w:color="auto"/>
            <w:color w:val="0000EE"/>
          </w:rPr>
          <w:t>February 2,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ind w:left="660" w:hanging="333"/>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 our Registration Statement on </w:t>
      </w:r>
      <w:hyperlink r:id="rId3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June 19, 2018, including any amendment or reports filed for the purpose of updating such description.</w:t>
      </w:r>
    </w:p>
    <w:p>
      <w:pPr>
        <w:spacing w:after="0" w:line="184" w:lineRule="exact"/>
        <w:rPr>
          <w:rFonts w:ascii="Arial" w:cs="Arial" w:eastAsia="Arial" w:hAnsi="Arial"/>
          <w:sz w:val="18"/>
          <w:szCs w:val="18"/>
          <w:color w:val="0000EE"/>
        </w:rPr>
      </w:pPr>
    </w:p>
    <w:p>
      <w:pPr>
        <w:jc w:val="both"/>
        <w:spacing w:after="0" w:line="264" w:lineRule="auto"/>
        <w:rPr>
          <w:sz w:val="20"/>
          <w:szCs w:val="20"/>
          <w:color w:val="auto"/>
        </w:rPr>
      </w:pPr>
      <w:r>
        <w:rPr>
          <w:rFonts w:ascii="Arial" w:cs="Arial" w:eastAsia="Arial" w:hAnsi="Arial"/>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7.01 or 8.01 of Form 8-K or certain exhibits furnished pursuant to Item 9.01 of Form 8-K.</w:t>
      </w:r>
    </w:p>
    <w:p>
      <w:pPr>
        <w:spacing w:after="0" w:line="181" w:lineRule="exact"/>
        <w:rPr>
          <w:rFonts w:ascii="Arial" w:cs="Arial" w:eastAsia="Arial" w:hAnsi="Arial"/>
          <w:sz w:val="18"/>
          <w:szCs w:val="18"/>
          <w:color w:val="0000EE"/>
        </w:rPr>
      </w:pPr>
    </w:p>
    <w:p>
      <w:pPr>
        <w:jc w:val="both"/>
        <w:spacing w:after="0" w:line="277" w:lineRule="auto"/>
        <w:rPr>
          <w:sz w:val="20"/>
          <w:szCs w:val="20"/>
          <w:color w:val="auto"/>
        </w:rPr>
      </w:pPr>
      <w:r>
        <w:rPr>
          <w:rFonts w:ascii="Arial" w:cs="Arial" w:eastAsia="Arial" w:hAnsi="Arial"/>
          <w:sz w:val="18"/>
          <w:szCs w:val="18"/>
          <w:color w:val="auto"/>
        </w:rPr>
        <w:t>You may request, and we will provide you with, a copy of these filings, at no cost, by calling us at (248) 651-6568 or by writing to us at the following address:</w:t>
      </w:r>
    </w:p>
    <w:p>
      <w:pPr>
        <w:spacing w:after="0" w:line="17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Rochester, MI 48307</w:t>
      </w:r>
    </w:p>
    <w:p>
      <w:pPr>
        <w:spacing w:after="0" w:line="211" w:lineRule="exact"/>
        <w:rPr>
          <w:rFonts w:ascii="Arial" w:cs="Arial" w:eastAsia="Arial" w:hAnsi="Arial"/>
          <w:sz w:val="18"/>
          <w:szCs w:val="18"/>
          <w:color w:val="0000EE"/>
        </w:rPr>
      </w:pPr>
    </w:p>
    <w:p>
      <w:pPr>
        <w:jc w:val="both"/>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Arial" w:cs="Arial" w:eastAsia="Arial" w:hAnsi="Arial"/>
          <w:sz w:val="18"/>
          <w:szCs w:val="18"/>
          <w:color w:val="0000EE"/>
        </w:rPr>
      </w:pPr>
    </w:p>
    <w:p>
      <w:pPr>
        <w:spacing w:after="0" w:line="274"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40" w:top="432"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investment in our securities involves significant risks. Before purchasing any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our Annual Report on Form 10-K for the year ended December 31, 2017,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in a prospectus supplement, the net proceeds from the sale of the securities will be used for general corporate purposes, including working capital, acquisitions, retirement of debt and other business opportunities. We will not receive any proceeds from any shares sold by the selling shareholder.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prepared this prospectus to allow the selling shareholder or its transferees to sell or otherwise dispose of, from time to time, up to 2,103,702 common shares. On or about September 24, 2015, the selling shareholder, through a subsidiary company, made a strategic investment in our company and presently owns approximately 18% of the common shares in our company.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time of the investment, we entered into an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at the time of the investment, we amended and restated an existing Co-Marketing Agreement with Grey Healthcare Group, LLC (“GHG”) an affiliate of WPP. This agreement was amended to give the GHG the option to receive all or part of the compensation due under the agreement in our common shares. In March of 2018, we issued 100,000 shares of our common stock to a subsidiary of WPP related to the finalization and termination of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us and WPP in 2017 and 2016.</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table below presents information regarding the selling shareholder and the common shares that they may sell or otherwise dispose of from time to time under this prospectus. Percentages of beneficial ownership are based upon 12,014,185 common shares issued and outstanding as of December 10, 2018. Beneficial ownership is determined under Section 13(d) of the Exchange Act and generally includes voting or investment power with respect to securities and including any securities that grant the selling shareholder the right to acquire common shares within 60 days of December 10, 2018. Unless otherwise noted, each person or group identified possesses sole voting and investment power with respect to the shares, subject to community property laws where applicable.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know when or in what amounts the selling shareholder may sell or otherwise dispose of the shares covered hereby. We currently have no agreements, arrangements or understandings with the selling shareholder regarding the sale or other disposition of any of the shares by them other than the registration rights agreement described above. The selling shareholder might not sell any or all of the shares covered by this prospectus or may sell or dispose of some or all of the shares other than pursuant to this prospectus. Because the selling shareholder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 after completion of the offering. For purposes of determining the beneficial ownership of the selling shareholder after this offering, we have assumed that all of the shares covered hereby have been sold pursuant to the registration statement of which this prospectus forms a part.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to be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Sold Pursuant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 Prior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this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WPP Luxembourg Gamma Three S.a r.l.</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166,666,667 shares of common stock and 10,000,000 shares of preferred stock, par value $0.001 per share. As of December 10, 2018, there were 12,014,185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 2018, we entered into a registration rights agreement with certain investors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filed a registration statement covering these shares in a post-effective amendment to Form S-1 on Form S-3, filed with the SEC on July 3,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Demand Registration Rights</w:t>
      </w:r>
      <w:r>
        <w:rPr>
          <w:rFonts w:ascii="Arial" w:cs="Arial" w:eastAsia="Arial" w:hAnsi="Arial"/>
          <w:sz w:val="18"/>
          <w:szCs w:val="18"/>
          <w:color w:val="auto"/>
        </w:rPr>
        <w:t>. We granted the Investor registration rights for the 2,003,702 acquired from us and any securities acquired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an Amended and Restated Co-Marketing Agreement after a period of two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So long as the Investor owns not less than 25% of the Shares, we granted the Investor an annual right to inspect our books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Board Seat</w:t>
      </w:r>
      <w:r>
        <w:rPr>
          <w:rFonts w:ascii="Arial" w:cs="Arial" w:eastAsia="Arial" w:hAnsi="Arial"/>
          <w:sz w:val="18"/>
          <w:szCs w:val="18"/>
          <w:color w:val="auto"/>
        </w:rPr>
        <w:t>. So long as the Investor owns not less than 25% of the Shares, we agreed to appoint a nominee of the Investor as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Budget Review</w:t>
      </w:r>
      <w:r>
        <w:rPr>
          <w:rFonts w:ascii="Arial" w:cs="Arial" w:eastAsia="Arial" w:hAnsi="Arial"/>
          <w:sz w:val="18"/>
          <w:szCs w:val="18"/>
          <w:color w:val="auto"/>
        </w:rPr>
        <w:t>. So long as the Investor owns not less than 25% of the Shares, we agreed to review our budget plans with the Investor’s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submission to the Board of Directors, at the request of the Investor.</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We agreed that, in the event that it proposes to sell new securities, we will first offer such new securities to the Investor.</w:t>
      </w:r>
    </w:p>
    <w:p>
      <w:pPr>
        <w:spacing w:after="0" w:line="32"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Special Approval Matters</w:t>
      </w:r>
      <w:r>
        <w:rPr>
          <w:rFonts w:ascii="Arial" w:cs="Arial" w:eastAsia="Arial" w:hAnsi="Arial"/>
          <w:sz w:val="17"/>
          <w:szCs w:val="17"/>
          <w:color w:val="auto"/>
        </w:rPr>
        <w:t>. So long as the Investor owns not less than 25% of the Shares, and provided that it is not prohibited by the rules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of an exchange that we trades on, we agreed that 80% Board approval will be required for certain decisions, including:</w:t>
      </w:r>
    </w:p>
    <w:p>
      <w:pPr>
        <w:spacing w:after="0" w:line="189"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ind w:left="1300" w:right="2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jc w:val="both"/>
        <w:ind w:left="1300" w:hanging="320"/>
        <w:spacing w:after="0" w:line="25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outstanding warrants to purchase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1,444,464 shares of our common stock at a weighted average exercise price of $3.62 as of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Nasdaq Capital Market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debt securities we may issue will constitute either senior or subordinated debt of our company. Any debt securities that are sold may be exchangeable for and/or convertible into common shares or any of the other securities that may be sold under this prospectus. Any debt securities will be issued under an indenture between us and a trustee we will designate, or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preferred shares, common shares or any combination of such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and/or the selling shareholder, including its pledgees, donees, transferees, distributees, beneficiaries or other successors in interest, if applicable, may sell the securities in one or more of the following ways (or in any combination) from time to time:</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one or more block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ordinary brokerage transactions or transactions in which a broker solicits purchases;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 pledge of the securities for any loan or obligation, including pledges to brokers or dealers who may from time to time effect distributions of the securities, and, in the case of any collateral call or default on such loan or obligation, pledges or sales of the securities by such pledges or secured parties;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one or more exchanges or over the counter market transactions;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distribution by a selling shareholder or its successor in interest to its members, general or limited partners or shareholders (or their respective members, general or limited partners or shareholders);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the writing of options, whether the options are listed on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distributions to creditors and equityholders or the selling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necessary, the prospectus supplement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or names of any selling shareholder;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If we and/or the selling shareholder, if applicable, use underwriters or broker-dealers in the sale, the securities will be acquired by the underwriters or broker-dealers, as applicable, for their own account and may be resold from time to time in one or more transactions,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market offerings,” within the meaning of Rule 415(a)(4) of the Securities Act, to or through a market maker or into an existing trading market, on an exchange or otherwise;</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and/or the selling shareholder, if applicable, may sell the securities through agents from time to time. The prospectus supplement will name any agent involved in the offer or sale of the securities and any commissions we pay to them. Generally, any agent will be acting on a best-efforts basis for the period of its appointment.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and/or the selling shareholder,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us and/or the selling shareholders, if applicable, to indemnification by us and/or the selling shareholders,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 may also resell all or a portion of its securities in open market transactions in reliance upon Rule 144 under the Securities Act, provided it meets the criteria and conforms to the requirements of Rule 144 and all applicable laws and regulations.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selling shareholder that is an entity may elect to make a pro rata in-kind distribution of shares of our common stock to its members, partners or stockholders pursuant to the registration statement of which this prospectus forms a part by delivering a prospectus. To the extent that such members, partners or stockholders are not affiliates of such selling shareholder, such members, partners or stockholders would thereby receive freely tradeable shares of our common stock pursuant to the distribution through a registration statement.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our common shares. The third parties also may use shares of the common shares received under those sale, forward sale or derivative arrangements or shares of the common shares pledged by the selling shareholder or borrowed from the selling shareholders or others to settle such third-party sales or to close out any related open borrowings of our common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selling shareholder may engage in hedging transactions with broker-dealers in connection with distributions of the securities or otherwise. In those transactions, broker-dealers may engage in short sales of securities in the course of hedging the positions they assume with selling shareholders.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shareholders also may loan or pledge the securities, and the borrower or pledgee may sell or otherwise transfer the securities so loaned or pledged pursuant to this prospectus. Such borrower or pledgee also may transfer those securities to investors in our securities or the selling shareholders’ securities or in connection with the offering of other securities not covered by this prospectus.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series of securities other than the common shares, which is listed on the Nasdaq Capital Market, and any series of debt securities outstanding on the date hereof, will be a new issue of securities and will have no established trading market. Any underwriters to whom securities are sold for public offering and sale may make a market in the securities, but such underwriters will not be obligated to do so and may discontinue any market making at any time without notice. The securities, other than the common shares, may or may not be listed on a national securities exchange.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22"/>
          <w:szCs w:val="22"/>
          <w:b w:val="1"/>
          <w:bCs w:val="1"/>
          <w:color w:val="auto"/>
        </w:rPr>
        <w:t>1,538,500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148590</wp:posOffset>
            </wp:positionV>
            <wp:extent cx="2872740" cy="831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2872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PROSPECTUS SUPPLEMENT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June 5,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Manager</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B. Riley FBR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569595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9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upperLetter"/>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o"/>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e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jpeg"/><Relationship Id="rId65" Type="http://schemas.openxmlformats.org/officeDocument/2006/relationships/image" Target="media/image44.png"/><Relationship Id="rId34" Type="http://schemas.openxmlformats.org/officeDocument/2006/relationships/hyperlink" Target="http://www.sec.gov/Archives/edgar/data/1448431/000121390019003962/f10k2018_optimizerxcorp.htm" TargetMode="External"/><Relationship Id="rId35" Type="http://schemas.openxmlformats.org/officeDocument/2006/relationships/hyperlink" Target="http://www.sec.gov/Archives/edgar/data/1448431/000121390019008055/f10q0319_optimizerxcorp.htm" TargetMode="External"/><Relationship Id="rId36" Type="http://schemas.openxmlformats.org/officeDocument/2006/relationships/hyperlink" Target="http://www.sec.gov/Archives/edgar/data/1448431/000121390019003159/f8k022519_optimizerxcorp.htm" TargetMode="External"/><Relationship Id="rId37" Type="http://schemas.openxmlformats.org/officeDocument/2006/relationships/hyperlink" Target="http://www.sec.gov/Archives/edgar/data/1448431/000121390019009861/f8k053119_optimizerxcorp.htm" TargetMode="External"/><Relationship Id="rId38" Type="http://schemas.openxmlformats.org/officeDocument/2006/relationships/hyperlink" Target="http://www.sec.gov/Archives/edgar/data/1448431/000121390018007863/f8a12b061918_optimizerx.htm" TargetMode="External"/><Relationship Id="rId46" Type="http://schemas.openxmlformats.org/officeDocument/2006/relationships/hyperlink" Target="http://www.sec.gov/Archives/edgar/data/1448431/000121390018002722/f10k2017_optimizerxcorp.htm" TargetMode="External"/><Relationship Id="rId47" Type="http://schemas.openxmlformats.org/officeDocument/2006/relationships/hyperlink" Target="http://www.sec.gov/Archives/edgar/data/1448431/000121390018005414/f10q0318_optimizerx.htm" TargetMode="External"/><Relationship Id="rId48" Type="http://schemas.openxmlformats.org/officeDocument/2006/relationships/hyperlink" Target="http://www.sec.gov/Archives/edgar/data/1448431/000121390018010359/f10q0618_optimizerxcorp.htm" TargetMode="External"/><Relationship Id="rId49" Type="http://schemas.openxmlformats.org/officeDocument/2006/relationships/hyperlink" Target="http://www.sec.gov/Archives/edgar/data/1448431/000121390018014893/f10q0918_optimizerxcorp.htm" TargetMode="External"/><Relationship Id="rId50" Type="http://schemas.openxmlformats.org/officeDocument/2006/relationships/hyperlink" Target="http://www.sec.gov/Archives/edgar/data/1448431/000121390018017133/f8k101618a1_optimizerxcorp.htm" TargetMode="External"/><Relationship Id="rId51" Type="http://schemas.openxmlformats.org/officeDocument/2006/relationships/hyperlink" Target="http://www.sec.gov/Archives/edgar/data/1448431/000121390018014013/f8k101718_optimizerxcorp.htm" TargetMode="External"/><Relationship Id="rId52" Type="http://schemas.openxmlformats.org/officeDocument/2006/relationships/hyperlink" Target="http://www.sec.gov/Archives/edgar/data/1448431/000121390018012576/f8k091218_optimizerxcorp.htm" TargetMode="External"/><Relationship Id="rId53" Type="http://schemas.openxmlformats.org/officeDocument/2006/relationships/hyperlink" Target="http://www.sec.gov/Archives/edgar/data/1448431/000121390018003489/f8k032318_optimizerxcorp.htm" TargetMode="External"/><Relationship Id="rId54" Type="http://schemas.openxmlformats.org/officeDocument/2006/relationships/hyperlink" Target="http://www.sec.gov/Archives/edgar/data/1448431/000121390018001234/f8k020218_optimizerx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2019-12-01T22:50:56Z</dcterms:created>
  <dcterms:modified xsi:type="dcterms:W3CDTF">2019-12-01T22:50:56Z</dcterms:modified>
</cp:coreProperties>
</file>