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10-Q</w:t>
      </w:r>
    </w:p>
    <w:p>
      <w:pPr>
        <w:spacing w:after="0" w:line="256"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40" w:type="dxa"/>
            <w:vAlign w:val="bottom"/>
            <w:gridSpan w:val="7"/>
          </w:tcPr>
          <w:p>
            <w:pPr>
              <w:jc w:val="right"/>
              <w:ind w:right="1240"/>
              <w:spacing w:after="0"/>
              <w:rPr>
                <w:sz w:val="20"/>
                <w:szCs w:val="20"/>
                <w:color w:val="auto"/>
              </w:rPr>
            </w:pPr>
            <w:r>
              <w:rPr>
                <w:rFonts w:ascii="Arial" w:cs="Arial" w:eastAsia="Arial" w:hAnsi="Arial"/>
                <w:sz w:val="18"/>
                <w:szCs w:val="18"/>
                <w:color w:val="auto"/>
                <w:w w:val="93"/>
              </w:rPr>
              <w:t>For the quarterly period ended June 30, 2010</w:t>
            </w:r>
          </w:p>
        </w:tc>
      </w:tr>
      <w:tr>
        <w:trPr>
          <w:trHeight w:val="453"/>
        </w:trPr>
        <w:tc>
          <w:tcPr>
            <w:tcW w:w="400" w:type="dxa"/>
            <w:vAlign w:val="bottom"/>
          </w:tcPr>
          <w:p>
            <w:pPr>
              <w:jc w:val="right"/>
              <w:ind w:right="90"/>
              <w:spacing w:after="0"/>
              <w:rPr>
                <w:sz w:val="20"/>
                <w:szCs w:val="20"/>
                <w:color w:val="auto"/>
              </w:rPr>
            </w:pPr>
            <w:r>
              <w:rPr>
                <w:rFonts w:ascii="Arial" w:cs="Arial" w:eastAsia="Arial" w:hAnsi="Arial"/>
                <w:sz w:val="18"/>
                <w:szCs w:val="18"/>
                <w:color w:val="auto"/>
              </w:rPr>
              <w:t>[ ]</w:t>
            </w:r>
          </w:p>
        </w:tc>
        <w:tc>
          <w:tcPr>
            <w:tcW w:w="7160" w:type="dxa"/>
            <w:vAlign w:val="bottom"/>
            <w:gridSpan w:val="6"/>
          </w:tcPr>
          <w:p>
            <w:pPr>
              <w:ind w:left="180"/>
              <w:spacing w:after="0"/>
              <w:rPr>
                <w:sz w:val="20"/>
                <w:szCs w:val="20"/>
                <w:color w:val="auto"/>
              </w:rPr>
            </w:pPr>
            <w:r>
              <w:rPr>
                <w:rFonts w:ascii="Arial" w:cs="Arial" w:eastAsia="Arial" w:hAnsi="Arial"/>
                <w:sz w:val="18"/>
                <w:szCs w:val="18"/>
                <w:color w:val="auto"/>
              </w:rPr>
              <w:t>Transition Report pursuant to 13 or 15(d) of the Securities Exchange Act of 1934</w:t>
            </w:r>
          </w:p>
        </w:tc>
        <w:tc>
          <w:tcPr>
            <w:tcW w:w="1000" w:type="dxa"/>
            <w:vAlign w:val="bottom"/>
            <w:tcBorders>
              <w:top w:val="single" w:sz="8" w:color="auto"/>
            </w:tcBorders>
            <w:gridSpan w:val="3"/>
          </w:tcPr>
          <w:p>
            <w:pPr>
              <w:spacing w:after="0"/>
              <w:rPr>
                <w:sz w:val="24"/>
                <w:szCs w:val="24"/>
                <w:color w:val="auto"/>
              </w:rPr>
            </w:pPr>
          </w:p>
        </w:tc>
        <w:tc>
          <w:tcPr>
            <w:tcW w:w="1240" w:type="dxa"/>
            <w:vAlign w:val="bottom"/>
            <w:gridSpan w:val="2"/>
          </w:tcPr>
          <w:p>
            <w:pPr>
              <w:spacing w:after="0"/>
              <w:rPr>
                <w:sz w:val="24"/>
                <w:szCs w:val="24"/>
                <w:color w:val="auto"/>
              </w:rPr>
            </w:pPr>
          </w:p>
        </w:tc>
      </w:tr>
      <w:tr>
        <w:trPr>
          <w:trHeight w:val="432"/>
        </w:trPr>
        <w:tc>
          <w:tcPr>
            <w:tcW w:w="4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60" w:type="dxa"/>
            <w:vAlign w:val="bottom"/>
            <w:gridSpan w:val="9"/>
          </w:tcPr>
          <w:p>
            <w:pPr>
              <w:jc w:val="right"/>
              <w:ind w:right="1240"/>
              <w:spacing w:after="0"/>
              <w:rPr>
                <w:sz w:val="20"/>
                <w:szCs w:val="20"/>
                <w:color w:val="auto"/>
              </w:rPr>
            </w:pPr>
            <w:r>
              <w:rPr>
                <w:rFonts w:ascii="Arial" w:cs="Arial" w:eastAsia="Arial" w:hAnsi="Arial"/>
                <w:sz w:val="18"/>
                <w:szCs w:val="18"/>
                <w:color w:val="auto"/>
              </w:rPr>
              <w:t>For the transition period from __________ to __________</w:t>
            </w:r>
          </w:p>
        </w:tc>
      </w:tr>
      <w:tr>
        <w:trPr>
          <w:trHeight w:val="392"/>
        </w:trPr>
        <w:tc>
          <w:tcPr>
            <w:tcW w:w="4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40" w:type="dxa"/>
            <w:vAlign w:val="bottom"/>
            <w:gridSpan w:val="7"/>
          </w:tcPr>
          <w:p>
            <w:pPr>
              <w:jc w:val="right"/>
              <w:ind w:right="1240"/>
              <w:spacing w:after="0"/>
              <w:rPr>
                <w:sz w:val="20"/>
                <w:szCs w:val="20"/>
                <w:color w:val="auto"/>
              </w:rPr>
            </w:pPr>
            <w:r>
              <w:rPr>
                <w:rFonts w:ascii="Arial" w:cs="Arial" w:eastAsia="Arial" w:hAnsi="Arial"/>
                <w:sz w:val="18"/>
                <w:szCs w:val="18"/>
                <w:color w:val="auto"/>
              </w:rPr>
              <w:t>Commission File Number: 000-53605</w:t>
            </w:r>
          </w:p>
        </w:tc>
      </w:tr>
      <w:tr>
        <w:trPr>
          <w:trHeight w:val="439"/>
        </w:trPr>
        <w:tc>
          <w:tcPr>
            <w:tcW w:w="4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3"/>
              </w:rPr>
              <w:t>OptimizeRx Corporation</w:t>
            </w:r>
          </w:p>
        </w:tc>
        <w:tc>
          <w:tcPr>
            <w:tcW w:w="1160" w:type="dxa"/>
            <w:vAlign w:val="bottom"/>
            <w:gridSpan w:val="2"/>
          </w:tcPr>
          <w:p>
            <w:pPr>
              <w:spacing w:after="0"/>
              <w:rPr>
                <w:sz w:val="24"/>
                <w:szCs w:val="24"/>
                <w:color w:val="auto"/>
              </w:rPr>
            </w:pPr>
          </w:p>
        </w:tc>
        <w:tc>
          <w:tcPr>
            <w:tcW w:w="780" w:type="dxa"/>
            <w:vAlign w:val="bottom"/>
            <w:tcBorders>
              <w:top w:val="single" w:sz="8" w:color="auto"/>
            </w:tcBorders>
            <w:gridSpan w:val="2"/>
          </w:tcPr>
          <w:p>
            <w:pPr>
              <w:spacing w:after="0"/>
              <w:rPr>
                <w:sz w:val="24"/>
                <w:szCs w:val="24"/>
                <w:color w:val="auto"/>
              </w:rPr>
            </w:pPr>
          </w:p>
        </w:tc>
        <w:tc>
          <w:tcPr>
            <w:tcW w:w="1240" w:type="dxa"/>
            <w:vAlign w:val="bottom"/>
            <w:gridSpan w:val="2"/>
          </w:tcPr>
          <w:p>
            <w:pPr>
              <w:spacing w:after="0"/>
              <w:rPr>
                <w:sz w:val="24"/>
                <w:szCs w:val="24"/>
                <w:color w:val="auto"/>
              </w:rPr>
            </w:pPr>
          </w:p>
        </w:tc>
      </w:tr>
      <w:tr>
        <w:trPr>
          <w:trHeight w:val="237"/>
        </w:trPr>
        <w:tc>
          <w:tcPr>
            <w:tcW w:w="4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60" w:type="dxa"/>
            <w:vAlign w:val="bottom"/>
            <w:gridSpan w:val="9"/>
          </w:tcPr>
          <w:p>
            <w:pPr>
              <w:jc w:val="center"/>
              <w:ind w:right="150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419"/>
        </w:trPr>
        <w:tc>
          <w:tcPr>
            <w:tcW w:w="4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Nevada</w:t>
            </w:r>
          </w:p>
        </w:tc>
        <w:tc>
          <w:tcPr>
            <w:tcW w:w="2020" w:type="dxa"/>
            <w:vAlign w:val="bottom"/>
            <w:gridSpan w:val="2"/>
          </w:tcPr>
          <w:p>
            <w:pPr>
              <w:spacing w:after="0"/>
              <w:rPr>
                <w:sz w:val="24"/>
                <w:szCs w:val="24"/>
                <w:color w:val="auto"/>
              </w:rPr>
            </w:pPr>
          </w:p>
        </w:tc>
        <w:tc>
          <w:tcPr>
            <w:tcW w:w="2960" w:type="dxa"/>
            <w:vAlign w:val="bottom"/>
            <w:gridSpan w:val="4"/>
          </w:tcPr>
          <w:p>
            <w:pPr>
              <w:spacing w:after="0"/>
              <w:rPr>
                <w:sz w:val="24"/>
                <w:szCs w:val="24"/>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26-1265381</w:t>
            </w:r>
          </w:p>
        </w:tc>
        <w:tc>
          <w:tcPr>
            <w:tcW w:w="800" w:type="dxa"/>
            <w:vAlign w:val="bottom"/>
          </w:tcPr>
          <w:p>
            <w:pPr>
              <w:spacing w:after="0"/>
              <w:rPr>
                <w:sz w:val="24"/>
                <w:szCs w:val="24"/>
                <w:color w:val="auto"/>
              </w:rPr>
            </w:pPr>
          </w:p>
        </w:tc>
      </w:tr>
      <w:tr>
        <w:trPr>
          <w:trHeight w:val="237"/>
        </w:trPr>
        <w:tc>
          <w:tcPr>
            <w:tcW w:w="400" w:type="dxa"/>
            <w:vAlign w:val="bottom"/>
          </w:tcPr>
          <w:p>
            <w:pPr>
              <w:spacing w:after="0"/>
              <w:rPr>
                <w:sz w:val="20"/>
                <w:szCs w:val="20"/>
                <w:color w:val="auto"/>
              </w:rPr>
            </w:pPr>
          </w:p>
        </w:tc>
        <w:tc>
          <w:tcPr>
            <w:tcW w:w="4760" w:type="dxa"/>
            <w:vAlign w:val="bottom"/>
            <w:gridSpan w:val="4"/>
          </w:tcPr>
          <w:p>
            <w:pPr>
              <w:jc w:val="center"/>
              <w:ind w:left="5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1460" w:type="dxa"/>
            <w:vAlign w:val="bottom"/>
          </w:tcPr>
          <w:p>
            <w:pPr>
              <w:spacing w:after="0"/>
              <w:rPr>
                <w:sz w:val="20"/>
                <w:szCs w:val="20"/>
                <w:color w:val="auto"/>
              </w:rPr>
            </w:pPr>
          </w:p>
        </w:tc>
        <w:tc>
          <w:tcPr>
            <w:tcW w:w="3180" w:type="dxa"/>
            <w:vAlign w:val="bottom"/>
            <w:gridSpan w:val="6"/>
          </w:tcPr>
          <w:p>
            <w:pPr>
              <w:jc w:val="center"/>
              <w:ind w:left="610"/>
              <w:spacing w:after="0"/>
              <w:rPr>
                <w:sz w:val="20"/>
                <w:szCs w:val="20"/>
                <w:color w:val="auto"/>
              </w:rPr>
            </w:pPr>
            <w:r>
              <w:rPr>
                <w:rFonts w:ascii="Arial" w:cs="Arial" w:eastAsia="Arial" w:hAnsi="Arial"/>
                <w:sz w:val="18"/>
                <w:szCs w:val="18"/>
                <w:color w:val="auto"/>
                <w:w w:val="94"/>
              </w:rPr>
              <w:t>(IRS Employer Identification No.)</w:t>
            </w:r>
          </w:p>
        </w:tc>
      </w:tr>
    </w:tbl>
    <w:p>
      <w:pPr>
        <w:spacing w:after="0" w:line="202"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407 6th Street</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u w:val="single" w:color="auto"/>
          <w:color w:val="auto"/>
        </w:rPr>
        <w:t>Rochester, MI, 48307</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jc w:val="center"/>
        <w:ind w:right="-79"/>
        <w:spacing w:after="0"/>
        <w:rPr>
          <w:sz w:val="20"/>
          <w:szCs w:val="20"/>
          <w:color w:val="auto"/>
        </w:rPr>
      </w:pPr>
      <w:r>
        <w:rPr>
          <w:rFonts w:ascii="Arial" w:cs="Arial" w:eastAsia="Arial" w:hAnsi="Arial"/>
          <w:sz w:val="18"/>
          <w:szCs w:val="18"/>
          <w:u w:val="single" w:color="auto"/>
          <w:color w:val="auto"/>
        </w:rPr>
        <w:t>248-651-6568</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(Registrant's telephone number)</w:t>
      </w:r>
    </w:p>
    <w:p>
      <w:pPr>
        <w:spacing w:after="0" w:line="211" w:lineRule="exact"/>
        <w:rPr>
          <w:sz w:val="24"/>
          <w:szCs w:val="24"/>
          <w:color w:val="auto"/>
        </w:rPr>
      </w:pPr>
    </w:p>
    <w:p>
      <w:pPr>
        <w:ind w:left="2880"/>
        <w:spacing w:after="0"/>
        <w:rPr>
          <w:sz w:val="20"/>
          <w:szCs w:val="20"/>
          <w:color w:val="auto"/>
        </w:rPr>
      </w:pPr>
      <w:r>
        <w:rPr>
          <w:rFonts w:ascii="Arial" w:cs="Arial" w:eastAsia="Arial" w:hAnsi="Arial"/>
          <w:sz w:val="18"/>
          <w:szCs w:val="18"/>
          <w:color w:val="auto"/>
        </w:rPr>
        <w:t>_______________________________________________________________</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p>
      <w:pPr>
        <w:ind w:right="42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 ] No</w:t>
      </w:r>
    </w:p>
    <w:p>
      <w:pPr>
        <w:spacing w:after="0" w:line="20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229.405 of this chapter) during the preceeding 12 months (or for such shorter period that the registrant was required to submit and post such files). Yes [ ] No [X]</w:t>
      </w:r>
    </w:p>
    <w:p>
      <w:pPr>
        <w:spacing w:after="0" w:line="20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w:t>
      </w:r>
    </w:p>
    <w:p>
      <w:pPr>
        <w:sectPr>
          <w:pgSz w:w="11900" w:h="16838" w:orient="portrait"/>
          <w:cols w:equalWidth="0" w:num="1">
            <w:col w:w="11360"/>
          </w:cols>
          <w:pgMar w:left="240" w:top="233" w:right="299" w:bottom="1440" w:gutter="0" w:footer="0" w:header="0"/>
        </w:sectPr>
      </w:pPr>
    </w:p>
    <w:p>
      <w:pPr>
        <w:spacing w:after="0" w:line="264" w:lineRule="exact"/>
        <w:rPr>
          <w:sz w:val="24"/>
          <w:szCs w:val="24"/>
          <w:color w:val="auto"/>
        </w:rPr>
      </w:pPr>
    </w:p>
    <w:p>
      <w:pPr>
        <w:ind w:right="1900"/>
        <w:spacing w:after="0" w:line="277" w:lineRule="auto"/>
        <w:rPr>
          <w:sz w:val="20"/>
          <w:szCs w:val="20"/>
          <w:color w:val="auto"/>
        </w:rPr>
      </w:pPr>
      <w:r>
        <w:rPr>
          <w:rFonts w:ascii="Arial" w:cs="Arial" w:eastAsia="Arial" w:hAnsi="Arial"/>
          <w:sz w:val="18"/>
          <w:szCs w:val="18"/>
          <w:color w:val="auto"/>
        </w:rPr>
        <w:t>[ ] Large accelerated filer Accelerated filer [X] Smaller reporting company</w:t>
      </w:r>
    </w:p>
    <w:p>
      <w:pPr>
        <w:spacing w:after="0" w:line="20" w:lineRule="exact"/>
        <w:rPr>
          <w:sz w:val="24"/>
          <w:szCs w:val="24"/>
          <w:color w:val="auto"/>
        </w:rPr>
      </w:pPr>
      <w:r>
        <w:rPr>
          <w:sz w:val="24"/>
          <w:szCs w:val="24"/>
          <w:color w:val="auto"/>
        </w:rPr>
        <w:br w:type="column"/>
      </w:r>
    </w:p>
    <w:p>
      <w:pPr>
        <w:spacing w:after="0" w:line="244" w:lineRule="exact"/>
        <w:rPr>
          <w:sz w:val="24"/>
          <w:szCs w:val="24"/>
          <w:color w:val="auto"/>
        </w:rPr>
      </w:pPr>
    </w:p>
    <w:p>
      <w:pPr>
        <w:spacing w:after="0"/>
        <w:rPr>
          <w:sz w:val="20"/>
          <w:szCs w:val="20"/>
          <w:color w:val="auto"/>
        </w:rPr>
      </w:pPr>
      <w:r>
        <w:rPr>
          <w:rFonts w:ascii="Arial" w:cs="Arial" w:eastAsia="Arial" w:hAnsi="Arial"/>
          <w:sz w:val="16"/>
          <w:szCs w:val="16"/>
          <w:color w:val="auto"/>
        </w:rPr>
        <w:t>[ ] Non-accelerated filer</w:t>
      </w:r>
    </w:p>
    <w:p>
      <w:pPr>
        <w:spacing w:after="0" w:line="490" w:lineRule="exact"/>
        <w:rPr>
          <w:sz w:val="24"/>
          <w:szCs w:val="24"/>
          <w:color w:val="auto"/>
        </w:rPr>
      </w:pPr>
    </w:p>
    <w:p>
      <w:pPr>
        <w:sectPr>
          <w:pgSz w:w="11900" w:h="16838" w:orient="portrait"/>
          <w:cols w:equalWidth="0" w:num="2">
            <w:col w:w="4980" w:space="720"/>
            <w:col w:w="5660"/>
          </w:cols>
          <w:pgMar w:left="240" w:top="233" w:right="299" w:bottom="1440" w:gutter="0" w:footer="0" w:header="0"/>
          <w:type w:val="continuous"/>
        </w:sect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  No [X]</w:t>
      </w:r>
    </w:p>
    <w:p>
      <w:pPr>
        <w:spacing w:after="0" w:line="252"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State the number of shares outstanding of each of the issuer’s classes of common stock, as of the latest practicable date: 13,233,754 shares as of June 30,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432435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2646680</wp:posOffset>
            </wp:positionH>
            <wp:positionV relativeFrom="paragraph">
              <wp:posOffset>152400</wp:posOffset>
            </wp:positionV>
            <wp:extent cx="2023745"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23745" cy="454660"/>
                    </a:xfrm>
                    <a:prstGeom prst="rect">
                      <a:avLst/>
                    </a:prstGeom>
                    <a:noFill/>
                  </pic:spPr>
                </pic:pic>
              </a:graphicData>
            </a:graphic>
          </wp:anchor>
        </w:drawing>
        <w:drawing>
          <wp:anchor simplePos="0" relativeHeight="251657728" behindDoc="1" locked="0" layoutInCell="0" allowOverlap="1">
            <wp:simplePos x="0" y="0"/>
            <wp:positionH relativeFrom="column">
              <wp:posOffset>5509260</wp:posOffset>
            </wp:positionH>
            <wp:positionV relativeFrom="paragraph">
              <wp:posOffset>263525</wp:posOffset>
            </wp:positionV>
            <wp:extent cx="285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5509260</wp:posOffset>
            </wp:positionH>
            <wp:positionV relativeFrom="paragraph">
              <wp:posOffset>400685</wp:posOffset>
            </wp:positionV>
            <wp:extent cx="285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5509260</wp:posOffset>
            </wp:positionH>
            <wp:positionV relativeFrom="paragraph">
              <wp:posOffset>537845</wp:posOffset>
            </wp:positionV>
            <wp:extent cx="285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gridSpan w:val="6"/>
          </w:tcPr>
          <w:p>
            <w:pPr>
              <w:spacing w:after="0"/>
              <w:rPr>
                <w:sz w:val="20"/>
                <w:szCs w:val="20"/>
                <w:color w:val="auto"/>
              </w:rPr>
            </w:pPr>
            <w:r>
              <w:rPr>
                <w:rFonts w:ascii="Arial" w:cs="Arial" w:eastAsia="Arial" w:hAnsi="Arial"/>
                <w:sz w:val="18"/>
                <w:szCs w:val="18"/>
                <w:color w:val="auto"/>
              </w:rPr>
              <w:t>Page</w:t>
            </w: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2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300" w:type="dxa"/>
            <w:vAlign w:val="bottom"/>
            <w:gridSpan w:val="12"/>
          </w:tcPr>
          <w:p>
            <w:pPr>
              <w:jc w:val="center"/>
              <w:ind w:right="1320"/>
              <w:spacing w:after="0"/>
              <w:rPr>
                <w:sz w:val="20"/>
                <w:szCs w:val="20"/>
                <w:color w:val="auto"/>
              </w:rPr>
            </w:pPr>
            <w:r>
              <w:rPr>
                <w:rFonts w:ascii="Arial" w:cs="Arial" w:eastAsia="Arial" w:hAnsi="Arial"/>
                <w:sz w:val="18"/>
                <w:szCs w:val="18"/>
                <w:color w:val="auto"/>
                <w:w w:val="98"/>
              </w:rPr>
              <w:t>PART I – FINANCIAL INFORMATION</w:t>
            </w: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300" w:type="dxa"/>
            <w:vAlign w:val="bottom"/>
            <w:vMerge w:val="restart"/>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300" w:type="dxa"/>
            <w:vAlign w:val="bottom"/>
            <w:vMerge w:val="continue"/>
          </w:tcPr>
          <w:p>
            <w:pPr>
              <w:spacing w:after="0"/>
              <w:rPr>
                <w:sz w:val="15"/>
                <w:szCs w:val="15"/>
                <w:color w:val="auto"/>
              </w:rPr>
            </w:pPr>
          </w:p>
        </w:tc>
        <w:tc>
          <w:tcPr>
            <w:tcW w:w="800" w:type="dxa"/>
            <w:vAlign w:val="bottom"/>
            <w:gridSpan w:val="4"/>
            <w:shd w:val="clear" w:color="auto" w:fill="CBDBD1"/>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5420" w:type="dxa"/>
            <w:vAlign w:val="bottom"/>
            <w:gridSpan w:val="16"/>
            <w:shd w:val="clear" w:color="auto" w:fill="CBDBD1"/>
          </w:tcPr>
          <w:p>
            <w:pPr>
              <w:ind w:left="14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260" w:type="dxa"/>
            <w:vAlign w:val="bottom"/>
            <w:gridSpan w:val="4"/>
            <w:shd w:val="clear" w:color="auto" w:fill="CBDBD1"/>
          </w:tcPr>
          <w:p>
            <w:pPr>
              <w:jc w:val="center"/>
              <w:ind w:left="10"/>
              <w:spacing w:after="0" w:line="176"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100" w:type="dxa"/>
            <w:vAlign w:val="bottom"/>
            <w:shd w:val="clear" w:color="auto" w:fill="CBDBD1"/>
          </w:tcPr>
          <w:p>
            <w:pPr>
              <w:spacing w:after="0"/>
              <w:rPr>
                <w:sz w:val="15"/>
                <w:szCs w:val="15"/>
                <w:color w:val="auto"/>
              </w:rPr>
            </w:pPr>
          </w:p>
        </w:tc>
        <w:tc>
          <w:tcPr>
            <w:tcW w:w="260" w:type="dxa"/>
            <w:vAlign w:val="bottom"/>
            <w:shd w:val="clear" w:color="auto" w:fill="CBDBD1"/>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30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BDBD1"/>
          </w:tcPr>
          <w:p>
            <w:pPr>
              <w:spacing w:after="0" w:line="20" w:lineRule="exact"/>
              <w:rPr>
                <w:sz w:val="1"/>
                <w:szCs w:val="1"/>
                <w:color w:val="auto"/>
              </w:rPr>
            </w:pPr>
          </w:p>
        </w:tc>
        <w:tc>
          <w:tcPr>
            <w:tcW w:w="100" w:type="dxa"/>
            <w:vAlign w:val="bottom"/>
            <w:tcBorders>
              <w:top w:val="single" w:sz="8" w:color="CBDBD1"/>
            </w:tcBorders>
            <w:shd w:val="clear" w:color="auto" w:fill="CBDBD1"/>
          </w:tcPr>
          <w:p>
            <w:pPr>
              <w:spacing w:after="0" w:line="20" w:lineRule="exact"/>
              <w:rPr>
                <w:sz w:val="1"/>
                <w:szCs w:val="1"/>
                <w:color w:val="auto"/>
              </w:rPr>
            </w:pPr>
          </w:p>
        </w:tc>
        <w:tc>
          <w:tcPr>
            <w:tcW w:w="40" w:type="dxa"/>
            <w:vAlign w:val="bottom"/>
            <w:tcBorders>
              <w:top w:val="single" w:sz="8" w:color="CBDBD1"/>
            </w:tcBorders>
            <w:shd w:val="clear" w:color="auto" w:fill="CBDBD1"/>
          </w:tcPr>
          <w:p>
            <w:pPr>
              <w:spacing w:after="0" w:line="20" w:lineRule="exact"/>
              <w:rPr>
                <w:sz w:val="1"/>
                <w:szCs w:val="1"/>
                <w:color w:val="auto"/>
              </w:rPr>
            </w:pPr>
          </w:p>
        </w:tc>
        <w:tc>
          <w:tcPr>
            <w:tcW w:w="160" w:type="dxa"/>
            <w:vAlign w:val="bottom"/>
            <w:tcBorders>
              <w:top w:val="single" w:sz="8" w:color="CBDBD1"/>
            </w:tcBorders>
            <w:shd w:val="clear" w:color="auto" w:fill="CBDBD1"/>
          </w:tcPr>
          <w:p>
            <w:pPr>
              <w:spacing w:after="0" w:line="20" w:lineRule="exact"/>
              <w:rPr>
                <w:sz w:val="1"/>
                <w:szCs w:val="1"/>
                <w:color w:val="auto"/>
              </w:rPr>
            </w:pPr>
          </w:p>
        </w:tc>
        <w:tc>
          <w:tcPr>
            <w:tcW w:w="140" w:type="dxa"/>
            <w:vAlign w:val="bottom"/>
            <w:tcBorders>
              <w:top w:val="single" w:sz="8" w:color="CBDBD1"/>
            </w:tcBorders>
            <w:shd w:val="clear" w:color="auto" w:fill="CBDBD1"/>
          </w:tcPr>
          <w:p>
            <w:pPr>
              <w:spacing w:after="0" w:line="20" w:lineRule="exact"/>
              <w:rPr>
                <w:sz w:val="1"/>
                <w:szCs w:val="1"/>
                <w:color w:val="auto"/>
              </w:rPr>
            </w:pPr>
          </w:p>
        </w:tc>
        <w:tc>
          <w:tcPr>
            <w:tcW w:w="600" w:type="dxa"/>
            <w:vAlign w:val="bottom"/>
            <w:tcBorders>
              <w:top w:val="single" w:sz="8" w:color="0000EE"/>
            </w:tcBorders>
            <w:shd w:val="clear" w:color="auto" w:fill="CBDBD1"/>
          </w:tcPr>
          <w:p>
            <w:pPr>
              <w:spacing w:after="0" w:line="20" w:lineRule="exact"/>
              <w:rPr>
                <w:sz w:val="1"/>
                <w:szCs w:val="1"/>
                <w:color w:val="auto"/>
              </w:rPr>
            </w:pPr>
          </w:p>
        </w:tc>
        <w:tc>
          <w:tcPr>
            <w:tcW w:w="320" w:type="dxa"/>
            <w:vAlign w:val="bottom"/>
            <w:tcBorders>
              <w:top w:val="single" w:sz="8" w:color="0000EE"/>
            </w:tcBorders>
            <w:shd w:val="clear" w:color="auto" w:fill="CBDBD1"/>
          </w:tcPr>
          <w:p>
            <w:pPr>
              <w:spacing w:after="0" w:line="20" w:lineRule="exact"/>
              <w:rPr>
                <w:sz w:val="1"/>
                <w:szCs w:val="1"/>
                <w:color w:val="auto"/>
              </w:rPr>
            </w:pPr>
          </w:p>
        </w:tc>
        <w:tc>
          <w:tcPr>
            <w:tcW w:w="60" w:type="dxa"/>
            <w:vAlign w:val="bottom"/>
            <w:tcBorders>
              <w:top w:val="single" w:sz="8" w:color="0000EE"/>
            </w:tcBorders>
            <w:shd w:val="clear" w:color="auto" w:fill="CBDBD1"/>
          </w:tcPr>
          <w:p>
            <w:pPr>
              <w:spacing w:after="0" w:line="20" w:lineRule="exact"/>
              <w:rPr>
                <w:sz w:val="1"/>
                <w:szCs w:val="1"/>
                <w:color w:val="auto"/>
              </w:rPr>
            </w:pPr>
          </w:p>
        </w:tc>
        <w:tc>
          <w:tcPr>
            <w:tcW w:w="160" w:type="dxa"/>
            <w:vAlign w:val="bottom"/>
            <w:tcBorders>
              <w:top w:val="single" w:sz="8" w:color="0000EE"/>
            </w:tcBorders>
            <w:shd w:val="clear" w:color="auto" w:fill="CBDBD1"/>
          </w:tcPr>
          <w:p>
            <w:pPr>
              <w:spacing w:after="0" w:line="20" w:lineRule="exact"/>
              <w:rPr>
                <w:sz w:val="1"/>
                <w:szCs w:val="1"/>
                <w:color w:val="auto"/>
              </w:rPr>
            </w:pPr>
          </w:p>
        </w:tc>
        <w:tc>
          <w:tcPr>
            <w:tcW w:w="180" w:type="dxa"/>
            <w:vAlign w:val="bottom"/>
            <w:tcBorders>
              <w:top w:val="single" w:sz="8" w:color="0000EE"/>
            </w:tcBorders>
            <w:shd w:val="clear" w:color="auto" w:fill="CBDBD1"/>
          </w:tcPr>
          <w:p>
            <w:pPr>
              <w:spacing w:after="0" w:line="20" w:lineRule="exact"/>
              <w:rPr>
                <w:sz w:val="1"/>
                <w:szCs w:val="1"/>
                <w:color w:val="auto"/>
              </w:rPr>
            </w:pPr>
          </w:p>
        </w:tc>
        <w:tc>
          <w:tcPr>
            <w:tcW w:w="20" w:type="dxa"/>
            <w:vAlign w:val="bottom"/>
            <w:tcBorders>
              <w:top w:val="single" w:sz="8" w:color="0000EE"/>
            </w:tcBorders>
            <w:shd w:val="clear" w:color="auto" w:fill="CBDBD1"/>
          </w:tcPr>
          <w:p>
            <w:pPr>
              <w:spacing w:after="0" w:line="20" w:lineRule="exact"/>
              <w:rPr>
                <w:sz w:val="1"/>
                <w:szCs w:val="1"/>
                <w:color w:val="auto"/>
              </w:rPr>
            </w:pPr>
          </w:p>
        </w:tc>
        <w:tc>
          <w:tcPr>
            <w:tcW w:w="180" w:type="dxa"/>
            <w:vAlign w:val="bottom"/>
            <w:tcBorders>
              <w:top w:val="single" w:sz="8" w:color="0000EE"/>
            </w:tcBorders>
            <w:shd w:val="clear" w:color="auto" w:fill="CBDBD1"/>
          </w:tcPr>
          <w:p>
            <w:pPr>
              <w:spacing w:after="0" w:line="20" w:lineRule="exact"/>
              <w:rPr>
                <w:sz w:val="1"/>
                <w:szCs w:val="1"/>
                <w:color w:val="auto"/>
              </w:rPr>
            </w:pPr>
          </w:p>
        </w:tc>
        <w:tc>
          <w:tcPr>
            <w:tcW w:w="40" w:type="dxa"/>
            <w:vAlign w:val="bottom"/>
            <w:tcBorders>
              <w:top w:val="single" w:sz="8" w:color="CBDBD1"/>
            </w:tcBorders>
            <w:shd w:val="clear" w:color="auto" w:fill="CBDBD1"/>
          </w:tcPr>
          <w:p>
            <w:pPr>
              <w:spacing w:after="0" w:line="20" w:lineRule="exact"/>
              <w:rPr>
                <w:sz w:val="1"/>
                <w:szCs w:val="1"/>
                <w:color w:val="auto"/>
              </w:rPr>
            </w:pPr>
          </w:p>
        </w:tc>
        <w:tc>
          <w:tcPr>
            <w:tcW w:w="220" w:type="dxa"/>
            <w:vAlign w:val="bottom"/>
            <w:tcBorders>
              <w:top w:val="single" w:sz="8" w:color="CBDBD1"/>
              <w:right w:val="single" w:sz="8" w:color="CBDBD1"/>
            </w:tcBorders>
            <w:shd w:val="clear" w:color="auto" w:fill="CBDBD1"/>
          </w:tcPr>
          <w:p>
            <w:pPr>
              <w:spacing w:after="0" w:line="20" w:lineRule="exact"/>
              <w:rPr>
                <w:sz w:val="1"/>
                <w:szCs w:val="1"/>
                <w:color w:val="auto"/>
              </w:rPr>
            </w:pPr>
          </w:p>
        </w:tc>
        <w:tc>
          <w:tcPr>
            <w:tcW w:w="560" w:type="dxa"/>
            <w:vAlign w:val="bottom"/>
            <w:tcBorders>
              <w:top w:val="single" w:sz="8" w:color="CBDBD1"/>
            </w:tcBorders>
            <w:shd w:val="clear" w:color="auto" w:fill="CBDBD1"/>
          </w:tcPr>
          <w:p>
            <w:pPr>
              <w:spacing w:after="0" w:line="20" w:lineRule="exact"/>
              <w:rPr>
                <w:sz w:val="1"/>
                <w:szCs w:val="1"/>
                <w:color w:val="auto"/>
              </w:rPr>
            </w:pPr>
          </w:p>
        </w:tc>
        <w:tc>
          <w:tcPr>
            <w:tcW w:w="1460" w:type="dxa"/>
            <w:vAlign w:val="bottom"/>
            <w:tcBorders>
              <w:top w:val="single" w:sz="8" w:color="CBDBD1"/>
            </w:tcBorders>
            <w:shd w:val="clear" w:color="auto" w:fill="CBDBD1"/>
          </w:tcPr>
          <w:p>
            <w:pPr>
              <w:spacing w:after="0" w:line="20" w:lineRule="exact"/>
              <w:rPr>
                <w:sz w:val="1"/>
                <w:szCs w:val="1"/>
                <w:color w:val="auto"/>
              </w:rPr>
            </w:pPr>
          </w:p>
        </w:tc>
        <w:tc>
          <w:tcPr>
            <w:tcW w:w="160" w:type="dxa"/>
            <w:vAlign w:val="bottom"/>
            <w:tcBorders>
              <w:top w:val="single" w:sz="8" w:color="CBDBD1"/>
            </w:tcBorders>
            <w:shd w:val="clear" w:color="auto" w:fill="CBDBD1"/>
          </w:tcPr>
          <w:p>
            <w:pPr>
              <w:spacing w:after="0" w:line="20" w:lineRule="exact"/>
              <w:rPr>
                <w:sz w:val="1"/>
                <w:szCs w:val="1"/>
                <w:color w:val="auto"/>
              </w:rPr>
            </w:pPr>
          </w:p>
        </w:tc>
        <w:tc>
          <w:tcPr>
            <w:tcW w:w="400" w:type="dxa"/>
            <w:vAlign w:val="bottom"/>
            <w:tcBorders>
              <w:top w:val="single" w:sz="8" w:color="CBDBD1"/>
            </w:tcBorders>
            <w:shd w:val="clear" w:color="auto" w:fill="CBDBD1"/>
          </w:tcPr>
          <w:p>
            <w:pPr>
              <w:spacing w:after="0" w:line="20" w:lineRule="exact"/>
              <w:rPr>
                <w:sz w:val="1"/>
                <w:szCs w:val="1"/>
                <w:color w:val="auto"/>
              </w:rPr>
            </w:pPr>
          </w:p>
        </w:tc>
        <w:tc>
          <w:tcPr>
            <w:tcW w:w="500" w:type="dxa"/>
            <w:vAlign w:val="bottom"/>
            <w:tcBorders>
              <w:top w:val="single" w:sz="8" w:color="CBDBD1"/>
            </w:tcBorders>
            <w:shd w:val="clear" w:color="auto" w:fill="CBDBD1"/>
          </w:tcPr>
          <w:p>
            <w:pPr>
              <w:spacing w:after="0" w:line="20" w:lineRule="exact"/>
              <w:rPr>
                <w:sz w:val="1"/>
                <w:szCs w:val="1"/>
                <w:color w:val="auto"/>
              </w:rPr>
            </w:pPr>
          </w:p>
        </w:tc>
        <w:tc>
          <w:tcPr>
            <w:tcW w:w="420" w:type="dxa"/>
            <w:vAlign w:val="bottom"/>
            <w:tcBorders>
              <w:top w:val="single" w:sz="8" w:color="CBDBD1"/>
            </w:tcBorders>
            <w:shd w:val="clear" w:color="auto" w:fill="CBDBD1"/>
          </w:tcPr>
          <w:p>
            <w:pPr>
              <w:spacing w:after="0" w:line="20" w:lineRule="exact"/>
              <w:rPr>
                <w:sz w:val="1"/>
                <w:szCs w:val="1"/>
                <w:color w:val="auto"/>
              </w:rPr>
            </w:pPr>
          </w:p>
        </w:tc>
        <w:tc>
          <w:tcPr>
            <w:tcW w:w="80" w:type="dxa"/>
            <w:vAlign w:val="bottom"/>
            <w:tcBorders>
              <w:top w:val="single" w:sz="8" w:color="CBDBD1"/>
            </w:tcBorders>
            <w:shd w:val="clear" w:color="auto" w:fill="CBDBD1"/>
          </w:tcPr>
          <w:p>
            <w:pPr>
              <w:spacing w:after="0" w:line="20" w:lineRule="exact"/>
              <w:rPr>
                <w:sz w:val="1"/>
                <w:szCs w:val="1"/>
                <w:color w:val="auto"/>
              </w:rPr>
            </w:pPr>
          </w:p>
        </w:tc>
        <w:tc>
          <w:tcPr>
            <w:tcW w:w="60" w:type="dxa"/>
            <w:vAlign w:val="bottom"/>
            <w:tcBorders>
              <w:top w:val="single" w:sz="8" w:color="CBDBD1"/>
            </w:tcBorders>
            <w:shd w:val="clear" w:color="auto" w:fill="CBDBD1"/>
          </w:tcPr>
          <w:p>
            <w:pPr>
              <w:spacing w:after="0" w:line="20" w:lineRule="exact"/>
              <w:rPr>
                <w:sz w:val="1"/>
                <w:szCs w:val="1"/>
                <w:color w:val="auto"/>
              </w:rPr>
            </w:pPr>
          </w:p>
        </w:tc>
        <w:tc>
          <w:tcPr>
            <w:tcW w:w="80" w:type="dxa"/>
            <w:vAlign w:val="bottom"/>
            <w:tcBorders>
              <w:top w:val="single" w:sz="8" w:color="0000EE"/>
            </w:tcBorders>
            <w:shd w:val="clear" w:color="auto" w:fill="CBDBD1"/>
          </w:tcPr>
          <w:p>
            <w:pPr>
              <w:spacing w:after="0" w:line="20" w:lineRule="exact"/>
              <w:rPr>
                <w:sz w:val="1"/>
                <w:szCs w:val="1"/>
                <w:color w:val="auto"/>
              </w:rPr>
            </w:pPr>
          </w:p>
        </w:tc>
        <w:tc>
          <w:tcPr>
            <w:tcW w:w="40" w:type="dxa"/>
            <w:vAlign w:val="bottom"/>
            <w:tcBorders>
              <w:top w:val="single" w:sz="8" w:color="CBDBD1"/>
            </w:tcBorders>
            <w:shd w:val="clear" w:color="auto" w:fill="CBDBD1"/>
          </w:tcPr>
          <w:p>
            <w:pPr>
              <w:spacing w:after="0" w:line="20" w:lineRule="exact"/>
              <w:rPr>
                <w:sz w:val="1"/>
                <w:szCs w:val="1"/>
                <w:color w:val="auto"/>
              </w:rPr>
            </w:pPr>
          </w:p>
        </w:tc>
        <w:tc>
          <w:tcPr>
            <w:tcW w:w="100" w:type="dxa"/>
            <w:vAlign w:val="bottom"/>
            <w:tcBorders>
              <w:top w:val="single" w:sz="8" w:color="CBDBD1"/>
            </w:tcBorders>
            <w:shd w:val="clear" w:color="auto" w:fill="CBDBD1"/>
          </w:tcPr>
          <w:p>
            <w:pPr>
              <w:spacing w:after="0" w:line="20" w:lineRule="exact"/>
              <w:rPr>
                <w:sz w:val="1"/>
                <w:szCs w:val="1"/>
                <w:color w:val="auto"/>
              </w:rPr>
            </w:pPr>
          </w:p>
        </w:tc>
        <w:tc>
          <w:tcPr>
            <w:tcW w:w="260" w:type="dxa"/>
            <w:vAlign w:val="bottom"/>
            <w:tcBorders>
              <w:top w:val="single" w:sz="8" w:color="CBDBD1"/>
            </w:tcBorders>
            <w:shd w:val="clear" w:color="auto" w:fill="CBDBD1"/>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300" w:type="dxa"/>
            <w:vAlign w:val="bottom"/>
            <w:vMerge w:val="continue"/>
          </w:tcPr>
          <w:p>
            <w:pPr>
              <w:spacing w:after="0"/>
              <w:rPr>
                <w:sz w:val="15"/>
                <w:szCs w:val="15"/>
                <w:color w:val="auto"/>
              </w:rPr>
            </w:pPr>
          </w:p>
        </w:tc>
        <w:tc>
          <w:tcPr>
            <w:tcW w:w="800" w:type="dxa"/>
            <w:vAlign w:val="bottom"/>
            <w:gridSpan w:val="4"/>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Item 2:</w:t>
              </w:r>
            </w:hyperlink>
          </w:p>
        </w:tc>
        <w:tc>
          <w:tcPr>
            <w:tcW w:w="5420" w:type="dxa"/>
            <w:vAlign w:val="bottom"/>
            <w:gridSpan w:val="16"/>
          </w:tcPr>
          <w:p>
            <w:pPr>
              <w:ind w:left="140"/>
              <w:spacing w:after="0" w:line="176" w:lineRule="exact"/>
              <w:rPr>
                <w:rFonts w:ascii="Arial" w:cs="Arial" w:eastAsia="Arial" w:hAnsi="Arial"/>
                <w:sz w:val="18"/>
                <w:szCs w:val="18"/>
                <w:color w:val="0000EE"/>
                <w:w w:val="99"/>
              </w:rPr>
            </w:pPr>
            <w:hyperlink w:anchor="page16">
              <w:r>
                <w:rPr>
                  <w:rFonts w:ascii="Arial" w:cs="Arial" w:eastAsia="Arial" w:hAnsi="Arial"/>
                  <w:sz w:val="18"/>
                  <w:szCs w:val="18"/>
                  <w:color w:val="0000EE"/>
                  <w:w w:val="99"/>
                </w:rPr>
                <w:t>Management’s Discussion and Analysis of Financial Condition and</w:t>
              </w:r>
            </w:hyperlink>
          </w:p>
        </w:tc>
        <w:tc>
          <w:tcPr>
            <w:tcW w:w="260" w:type="dxa"/>
            <w:vAlign w:val="bottom"/>
            <w:gridSpan w:val="4"/>
          </w:tcPr>
          <w:p>
            <w:pPr>
              <w:jc w:val="center"/>
              <w:ind w:left="10"/>
              <w:spacing w:after="0" w:line="176" w:lineRule="exact"/>
              <w:rPr>
                <w:rFonts w:ascii="Arial" w:cs="Arial" w:eastAsia="Arial" w:hAnsi="Arial"/>
                <w:sz w:val="18"/>
                <w:szCs w:val="18"/>
                <w:color w:val="0000EE"/>
                <w:w w:val="79"/>
              </w:rPr>
            </w:pPr>
            <w:hyperlink w:anchor="page16">
              <w:r>
                <w:rPr>
                  <w:rFonts w:ascii="Arial" w:cs="Arial" w:eastAsia="Arial" w:hAnsi="Arial"/>
                  <w:sz w:val="18"/>
                  <w:szCs w:val="18"/>
                  <w:color w:val="0000EE"/>
                  <w:w w:val="79"/>
                </w:rPr>
                <w:t>4</w:t>
              </w:r>
            </w:hyperlink>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30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6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Results of Operations</w:t>
              </w:r>
            </w:hyperlink>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300" w:type="dxa"/>
            <w:vAlign w:val="bottom"/>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300" w:type="dxa"/>
            <w:vAlign w:val="bottom"/>
            <w:vMerge w:val="continue"/>
          </w:tcPr>
          <w:p>
            <w:pPr>
              <w:spacing w:after="0"/>
              <w:rPr>
                <w:sz w:val="15"/>
                <w:szCs w:val="15"/>
                <w:color w:val="auto"/>
              </w:rPr>
            </w:pPr>
          </w:p>
        </w:tc>
        <w:tc>
          <w:tcPr>
            <w:tcW w:w="800" w:type="dxa"/>
            <w:vAlign w:val="bottom"/>
            <w:gridSpan w:val="4"/>
            <w:shd w:val="clear" w:color="auto" w:fill="CBDBD1"/>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Item 3:</w:t>
              </w:r>
            </w:hyperlink>
          </w:p>
        </w:tc>
        <w:tc>
          <w:tcPr>
            <w:tcW w:w="5420" w:type="dxa"/>
            <w:vAlign w:val="bottom"/>
            <w:gridSpan w:val="16"/>
            <w:shd w:val="clear" w:color="auto" w:fill="CBDBD1"/>
          </w:tcPr>
          <w:p>
            <w:pPr>
              <w:ind w:left="140"/>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Quantitative and Qualitative Disclosures About Market Risk</w:t>
              </w:r>
            </w:hyperlink>
          </w:p>
        </w:tc>
        <w:tc>
          <w:tcPr>
            <w:tcW w:w="260" w:type="dxa"/>
            <w:vAlign w:val="bottom"/>
            <w:gridSpan w:val="4"/>
            <w:shd w:val="clear" w:color="auto" w:fill="CBDBD1"/>
          </w:tcPr>
          <w:p>
            <w:pPr>
              <w:jc w:val="center"/>
              <w:ind w:left="10"/>
              <w:spacing w:after="0" w:line="176" w:lineRule="exact"/>
              <w:rPr>
                <w:rFonts w:ascii="Arial" w:cs="Arial" w:eastAsia="Arial" w:hAnsi="Arial"/>
                <w:sz w:val="18"/>
                <w:szCs w:val="18"/>
                <w:color w:val="0000EE"/>
                <w:w w:val="79"/>
              </w:rPr>
            </w:pPr>
            <w:hyperlink w:anchor="page20">
              <w:r>
                <w:rPr>
                  <w:rFonts w:ascii="Arial" w:cs="Arial" w:eastAsia="Arial" w:hAnsi="Arial"/>
                  <w:sz w:val="18"/>
                  <w:szCs w:val="18"/>
                  <w:color w:val="0000EE"/>
                  <w:w w:val="79"/>
                </w:rPr>
                <w:t>8</w:t>
              </w:r>
            </w:hyperlink>
          </w:p>
        </w:tc>
        <w:tc>
          <w:tcPr>
            <w:tcW w:w="100" w:type="dxa"/>
            <w:vAlign w:val="bottom"/>
            <w:shd w:val="clear" w:color="auto" w:fill="CBDBD1"/>
          </w:tcPr>
          <w:p>
            <w:pPr>
              <w:spacing w:after="0"/>
              <w:rPr>
                <w:sz w:val="15"/>
                <w:szCs w:val="15"/>
                <w:color w:val="auto"/>
              </w:rPr>
            </w:pPr>
          </w:p>
        </w:tc>
        <w:tc>
          <w:tcPr>
            <w:tcW w:w="260" w:type="dxa"/>
            <w:vAlign w:val="bottom"/>
            <w:shd w:val="clear" w:color="auto" w:fill="CBDBD1"/>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30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BDBD1"/>
          </w:tcPr>
          <w:p>
            <w:pPr>
              <w:spacing w:after="0" w:line="20" w:lineRule="exact"/>
              <w:rPr>
                <w:sz w:val="1"/>
                <w:szCs w:val="1"/>
                <w:color w:val="auto"/>
              </w:rPr>
            </w:pPr>
          </w:p>
        </w:tc>
        <w:tc>
          <w:tcPr>
            <w:tcW w:w="100" w:type="dxa"/>
            <w:vAlign w:val="bottom"/>
            <w:tcBorders>
              <w:top w:val="single" w:sz="8" w:color="CBDBD1"/>
            </w:tcBorders>
            <w:shd w:val="clear" w:color="auto" w:fill="CBDBD1"/>
          </w:tcPr>
          <w:p>
            <w:pPr>
              <w:spacing w:after="0" w:line="20" w:lineRule="exact"/>
              <w:rPr>
                <w:sz w:val="1"/>
                <w:szCs w:val="1"/>
                <w:color w:val="auto"/>
              </w:rPr>
            </w:pPr>
          </w:p>
        </w:tc>
        <w:tc>
          <w:tcPr>
            <w:tcW w:w="40" w:type="dxa"/>
            <w:vAlign w:val="bottom"/>
            <w:tcBorders>
              <w:top w:val="single" w:sz="8" w:color="CBDBD1"/>
            </w:tcBorders>
            <w:shd w:val="clear" w:color="auto" w:fill="CBDBD1"/>
          </w:tcPr>
          <w:p>
            <w:pPr>
              <w:spacing w:after="0" w:line="20" w:lineRule="exact"/>
              <w:rPr>
                <w:sz w:val="1"/>
                <w:szCs w:val="1"/>
                <w:color w:val="auto"/>
              </w:rPr>
            </w:pPr>
          </w:p>
        </w:tc>
        <w:tc>
          <w:tcPr>
            <w:tcW w:w="160" w:type="dxa"/>
            <w:vAlign w:val="bottom"/>
            <w:tcBorders>
              <w:top w:val="single" w:sz="8" w:color="CBDBD1"/>
            </w:tcBorders>
            <w:shd w:val="clear" w:color="auto" w:fill="CBDBD1"/>
          </w:tcPr>
          <w:p>
            <w:pPr>
              <w:spacing w:after="0" w:line="20" w:lineRule="exact"/>
              <w:rPr>
                <w:sz w:val="1"/>
                <w:szCs w:val="1"/>
                <w:color w:val="auto"/>
              </w:rPr>
            </w:pPr>
          </w:p>
        </w:tc>
        <w:tc>
          <w:tcPr>
            <w:tcW w:w="140" w:type="dxa"/>
            <w:vAlign w:val="bottom"/>
            <w:tcBorders>
              <w:top w:val="single" w:sz="8" w:color="CBDBD1"/>
            </w:tcBorders>
            <w:shd w:val="clear" w:color="auto" w:fill="CBDBD1"/>
          </w:tcPr>
          <w:p>
            <w:pPr>
              <w:spacing w:after="0" w:line="20" w:lineRule="exact"/>
              <w:rPr>
                <w:sz w:val="1"/>
                <w:szCs w:val="1"/>
                <w:color w:val="auto"/>
              </w:rPr>
            </w:pPr>
          </w:p>
        </w:tc>
        <w:tc>
          <w:tcPr>
            <w:tcW w:w="600" w:type="dxa"/>
            <w:vAlign w:val="bottom"/>
            <w:tcBorders>
              <w:top w:val="single" w:sz="8" w:color="0000EE"/>
            </w:tcBorders>
            <w:shd w:val="clear" w:color="auto" w:fill="CBDBD1"/>
          </w:tcPr>
          <w:p>
            <w:pPr>
              <w:spacing w:after="0" w:line="20" w:lineRule="exact"/>
              <w:rPr>
                <w:sz w:val="1"/>
                <w:szCs w:val="1"/>
                <w:color w:val="auto"/>
              </w:rPr>
            </w:pPr>
          </w:p>
        </w:tc>
        <w:tc>
          <w:tcPr>
            <w:tcW w:w="320" w:type="dxa"/>
            <w:vAlign w:val="bottom"/>
            <w:tcBorders>
              <w:top w:val="single" w:sz="8" w:color="0000EE"/>
            </w:tcBorders>
            <w:shd w:val="clear" w:color="auto" w:fill="CBDBD1"/>
          </w:tcPr>
          <w:p>
            <w:pPr>
              <w:spacing w:after="0" w:line="20" w:lineRule="exact"/>
              <w:rPr>
                <w:sz w:val="1"/>
                <w:szCs w:val="1"/>
                <w:color w:val="auto"/>
              </w:rPr>
            </w:pPr>
          </w:p>
        </w:tc>
        <w:tc>
          <w:tcPr>
            <w:tcW w:w="60" w:type="dxa"/>
            <w:vAlign w:val="bottom"/>
            <w:tcBorders>
              <w:top w:val="single" w:sz="8" w:color="0000EE"/>
            </w:tcBorders>
            <w:shd w:val="clear" w:color="auto" w:fill="CBDBD1"/>
          </w:tcPr>
          <w:p>
            <w:pPr>
              <w:spacing w:after="0" w:line="20" w:lineRule="exact"/>
              <w:rPr>
                <w:sz w:val="1"/>
                <w:szCs w:val="1"/>
                <w:color w:val="auto"/>
              </w:rPr>
            </w:pPr>
          </w:p>
        </w:tc>
        <w:tc>
          <w:tcPr>
            <w:tcW w:w="160" w:type="dxa"/>
            <w:vAlign w:val="bottom"/>
            <w:tcBorders>
              <w:top w:val="single" w:sz="8" w:color="0000EE"/>
            </w:tcBorders>
            <w:shd w:val="clear" w:color="auto" w:fill="CBDBD1"/>
          </w:tcPr>
          <w:p>
            <w:pPr>
              <w:spacing w:after="0" w:line="20" w:lineRule="exact"/>
              <w:rPr>
                <w:sz w:val="1"/>
                <w:szCs w:val="1"/>
                <w:color w:val="auto"/>
              </w:rPr>
            </w:pPr>
          </w:p>
        </w:tc>
        <w:tc>
          <w:tcPr>
            <w:tcW w:w="180" w:type="dxa"/>
            <w:vAlign w:val="bottom"/>
            <w:tcBorders>
              <w:top w:val="single" w:sz="8" w:color="0000EE"/>
            </w:tcBorders>
            <w:shd w:val="clear" w:color="auto" w:fill="CBDBD1"/>
          </w:tcPr>
          <w:p>
            <w:pPr>
              <w:spacing w:after="0" w:line="20" w:lineRule="exact"/>
              <w:rPr>
                <w:sz w:val="1"/>
                <w:szCs w:val="1"/>
                <w:color w:val="auto"/>
              </w:rPr>
            </w:pPr>
          </w:p>
        </w:tc>
        <w:tc>
          <w:tcPr>
            <w:tcW w:w="20" w:type="dxa"/>
            <w:vAlign w:val="bottom"/>
            <w:tcBorders>
              <w:top w:val="single" w:sz="8" w:color="0000EE"/>
            </w:tcBorders>
            <w:shd w:val="clear" w:color="auto" w:fill="CBDBD1"/>
          </w:tcPr>
          <w:p>
            <w:pPr>
              <w:spacing w:after="0" w:line="20" w:lineRule="exact"/>
              <w:rPr>
                <w:sz w:val="1"/>
                <w:szCs w:val="1"/>
                <w:color w:val="auto"/>
              </w:rPr>
            </w:pPr>
          </w:p>
        </w:tc>
        <w:tc>
          <w:tcPr>
            <w:tcW w:w="180" w:type="dxa"/>
            <w:vAlign w:val="bottom"/>
            <w:tcBorders>
              <w:top w:val="single" w:sz="8" w:color="0000EE"/>
            </w:tcBorders>
            <w:shd w:val="clear" w:color="auto" w:fill="CBDBD1"/>
          </w:tcPr>
          <w:p>
            <w:pPr>
              <w:spacing w:after="0" w:line="20" w:lineRule="exact"/>
              <w:rPr>
                <w:sz w:val="1"/>
                <w:szCs w:val="1"/>
                <w:color w:val="auto"/>
              </w:rPr>
            </w:pPr>
          </w:p>
        </w:tc>
        <w:tc>
          <w:tcPr>
            <w:tcW w:w="40" w:type="dxa"/>
            <w:vAlign w:val="bottom"/>
            <w:tcBorders>
              <w:top w:val="single" w:sz="8" w:color="0000EE"/>
            </w:tcBorders>
            <w:shd w:val="clear" w:color="auto" w:fill="CBDBD1"/>
          </w:tcPr>
          <w:p>
            <w:pPr>
              <w:spacing w:after="0" w:line="20" w:lineRule="exact"/>
              <w:rPr>
                <w:sz w:val="1"/>
                <w:szCs w:val="1"/>
                <w:color w:val="auto"/>
              </w:rPr>
            </w:pPr>
          </w:p>
        </w:tc>
        <w:tc>
          <w:tcPr>
            <w:tcW w:w="220" w:type="dxa"/>
            <w:vAlign w:val="bottom"/>
            <w:tcBorders>
              <w:top w:val="single" w:sz="8" w:color="0000EE"/>
              <w:right w:val="single" w:sz="8" w:color="CBDBD1"/>
            </w:tcBorders>
            <w:shd w:val="clear" w:color="auto" w:fill="CBDBD1"/>
          </w:tcPr>
          <w:p>
            <w:pPr>
              <w:spacing w:after="0" w:line="20" w:lineRule="exact"/>
              <w:rPr>
                <w:sz w:val="1"/>
                <w:szCs w:val="1"/>
                <w:color w:val="auto"/>
              </w:rPr>
            </w:pPr>
          </w:p>
        </w:tc>
        <w:tc>
          <w:tcPr>
            <w:tcW w:w="560" w:type="dxa"/>
            <w:vAlign w:val="bottom"/>
            <w:tcBorders>
              <w:top w:val="single" w:sz="8" w:color="0000EE"/>
            </w:tcBorders>
            <w:shd w:val="clear" w:color="auto" w:fill="CBDBD1"/>
          </w:tcPr>
          <w:p>
            <w:pPr>
              <w:spacing w:after="0" w:line="20" w:lineRule="exact"/>
              <w:rPr>
                <w:sz w:val="1"/>
                <w:szCs w:val="1"/>
                <w:color w:val="auto"/>
              </w:rPr>
            </w:pPr>
          </w:p>
        </w:tc>
        <w:tc>
          <w:tcPr>
            <w:tcW w:w="1460" w:type="dxa"/>
            <w:vAlign w:val="bottom"/>
            <w:tcBorders>
              <w:top w:val="single" w:sz="8" w:color="0000EE"/>
            </w:tcBorders>
            <w:shd w:val="clear" w:color="auto" w:fill="CBDBD1"/>
          </w:tcPr>
          <w:p>
            <w:pPr>
              <w:spacing w:after="0" w:line="20" w:lineRule="exact"/>
              <w:rPr>
                <w:sz w:val="1"/>
                <w:szCs w:val="1"/>
                <w:color w:val="auto"/>
              </w:rPr>
            </w:pPr>
          </w:p>
        </w:tc>
        <w:tc>
          <w:tcPr>
            <w:tcW w:w="160" w:type="dxa"/>
            <w:vAlign w:val="bottom"/>
            <w:tcBorders>
              <w:top w:val="single" w:sz="8" w:color="0000EE"/>
            </w:tcBorders>
            <w:shd w:val="clear" w:color="auto" w:fill="CBDBD1"/>
          </w:tcPr>
          <w:p>
            <w:pPr>
              <w:spacing w:after="0" w:line="20" w:lineRule="exact"/>
              <w:rPr>
                <w:sz w:val="1"/>
                <w:szCs w:val="1"/>
                <w:color w:val="auto"/>
              </w:rPr>
            </w:pPr>
          </w:p>
        </w:tc>
        <w:tc>
          <w:tcPr>
            <w:tcW w:w="400" w:type="dxa"/>
            <w:vAlign w:val="bottom"/>
            <w:tcBorders>
              <w:top w:val="single" w:sz="8" w:color="0000EE"/>
            </w:tcBorders>
            <w:shd w:val="clear" w:color="auto" w:fill="CBDBD1"/>
          </w:tcPr>
          <w:p>
            <w:pPr>
              <w:spacing w:after="0" w:line="20" w:lineRule="exact"/>
              <w:rPr>
                <w:sz w:val="1"/>
                <w:szCs w:val="1"/>
                <w:color w:val="auto"/>
              </w:rPr>
            </w:pPr>
          </w:p>
        </w:tc>
        <w:tc>
          <w:tcPr>
            <w:tcW w:w="500" w:type="dxa"/>
            <w:vAlign w:val="bottom"/>
            <w:tcBorders>
              <w:top w:val="single" w:sz="8" w:color="CBDBD1"/>
            </w:tcBorders>
            <w:shd w:val="clear" w:color="auto" w:fill="CBDBD1"/>
          </w:tcPr>
          <w:p>
            <w:pPr>
              <w:spacing w:after="0" w:line="20" w:lineRule="exact"/>
              <w:rPr>
                <w:sz w:val="1"/>
                <w:szCs w:val="1"/>
                <w:color w:val="auto"/>
              </w:rPr>
            </w:pPr>
          </w:p>
        </w:tc>
        <w:tc>
          <w:tcPr>
            <w:tcW w:w="420" w:type="dxa"/>
            <w:vAlign w:val="bottom"/>
            <w:tcBorders>
              <w:top w:val="single" w:sz="8" w:color="CBDBD1"/>
            </w:tcBorders>
            <w:shd w:val="clear" w:color="auto" w:fill="CBDBD1"/>
          </w:tcPr>
          <w:p>
            <w:pPr>
              <w:spacing w:after="0" w:line="20" w:lineRule="exact"/>
              <w:rPr>
                <w:sz w:val="1"/>
                <w:szCs w:val="1"/>
                <w:color w:val="auto"/>
              </w:rPr>
            </w:pPr>
          </w:p>
        </w:tc>
        <w:tc>
          <w:tcPr>
            <w:tcW w:w="80" w:type="dxa"/>
            <w:vAlign w:val="bottom"/>
            <w:tcBorders>
              <w:top w:val="single" w:sz="8" w:color="CBDBD1"/>
            </w:tcBorders>
            <w:shd w:val="clear" w:color="auto" w:fill="CBDBD1"/>
          </w:tcPr>
          <w:p>
            <w:pPr>
              <w:spacing w:after="0" w:line="20" w:lineRule="exact"/>
              <w:rPr>
                <w:sz w:val="1"/>
                <w:szCs w:val="1"/>
                <w:color w:val="auto"/>
              </w:rPr>
            </w:pPr>
          </w:p>
        </w:tc>
        <w:tc>
          <w:tcPr>
            <w:tcW w:w="60" w:type="dxa"/>
            <w:vAlign w:val="bottom"/>
            <w:tcBorders>
              <w:top w:val="single" w:sz="8" w:color="CBDBD1"/>
            </w:tcBorders>
            <w:shd w:val="clear" w:color="auto" w:fill="CBDBD1"/>
          </w:tcPr>
          <w:p>
            <w:pPr>
              <w:spacing w:after="0" w:line="20" w:lineRule="exact"/>
              <w:rPr>
                <w:sz w:val="1"/>
                <w:szCs w:val="1"/>
                <w:color w:val="auto"/>
              </w:rPr>
            </w:pPr>
          </w:p>
        </w:tc>
        <w:tc>
          <w:tcPr>
            <w:tcW w:w="80" w:type="dxa"/>
            <w:vAlign w:val="bottom"/>
            <w:tcBorders>
              <w:top w:val="single" w:sz="8" w:color="0000EE"/>
            </w:tcBorders>
            <w:shd w:val="clear" w:color="auto" w:fill="CBDBD1"/>
          </w:tcPr>
          <w:p>
            <w:pPr>
              <w:spacing w:after="0" w:line="20" w:lineRule="exact"/>
              <w:rPr>
                <w:sz w:val="1"/>
                <w:szCs w:val="1"/>
                <w:color w:val="auto"/>
              </w:rPr>
            </w:pPr>
          </w:p>
        </w:tc>
        <w:tc>
          <w:tcPr>
            <w:tcW w:w="40" w:type="dxa"/>
            <w:vAlign w:val="bottom"/>
            <w:tcBorders>
              <w:top w:val="single" w:sz="8" w:color="CBDBD1"/>
            </w:tcBorders>
            <w:shd w:val="clear" w:color="auto" w:fill="CBDBD1"/>
          </w:tcPr>
          <w:p>
            <w:pPr>
              <w:spacing w:after="0" w:line="20" w:lineRule="exact"/>
              <w:rPr>
                <w:sz w:val="1"/>
                <w:szCs w:val="1"/>
                <w:color w:val="auto"/>
              </w:rPr>
            </w:pPr>
          </w:p>
        </w:tc>
        <w:tc>
          <w:tcPr>
            <w:tcW w:w="100" w:type="dxa"/>
            <w:vAlign w:val="bottom"/>
            <w:tcBorders>
              <w:top w:val="single" w:sz="8" w:color="CBDBD1"/>
            </w:tcBorders>
            <w:shd w:val="clear" w:color="auto" w:fill="CBDBD1"/>
          </w:tcPr>
          <w:p>
            <w:pPr>
              <w:spacing w:after="0" w:line="20" w:lineRule="exact"/>
              <w:rPr>
                <w:sz w:val="1"/>
                <w:szCs w:val="1"/>
                <w:color w:val="auto"/>
              </w:rPr>
            </w:pPr>
          </w:p>
        </w:tc>
        <w:tc>
          <w:tcPr>
            <w:tcW w:w="260" w:type="dxa"/>
            <w:vAlign w:val="bottom"/>
            <w:tcBorders>
              <w:top w:val="single" w:sz="8" w:color="CBDBD1"/>
            </w:tcBorders>
            <w:shd w:val="clear" w:color="auto" w:fill="CBDBD1"/>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300" w:type="dxa"/>
            <w:vAlign w:val="bottom"/>
            <w:vMerge w:val="continue"/>
          </w:tcPr>
          <w:p>
            <w:pPr>
              <w:spacing w:after="0"/>
              <w:rPr>
                <w:sz w:val="15"/>
                <w:szCs w:val="15"/>
                <w:color w:val="auto"/>
              </w:rPr>
            </w:pPr>
          </w:p>
        </w:tc>
        <w:tc>
          <w:tcPr>
            <w:tcW w:w="800" w:type="dxa"/>
            <w:vAlign w:val="bottom"/>
            <w:gridSpan w:val="4"/>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Item 4T:</w:t>
              </w:r>
            </w:hyperlink>
          </w:p>
        </w:tc>
        <w:tc>
          <w:tcPr>
            <w:tcW w:w="5420" w:type="dxa"/>
            <w:vAlign w:val="bottom"/>
            <w:gridSpan w:val="16"/>
          </w:tcPr>
          <w:p>
            <w:pPr>
              <w:ind w:left="140"/>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Controls and Procedures</w:t>
              </w:r>
            </w:hyperlink>
          </w:p>
        </w:tc>
        <w:tc>
          <w:tcPr>
            <w:tcW w:w="260" w:type="dxa"/>
            <w:vAlign w:val="bottom"/>
            <w:gridSpan w:val="4"/>
          </w:tcPr>
          <w:p>
            <w:pPr>
              <w:jc w:val="center"/>
              <w:ind w:left="10"/>
              <w:spacing w:after="0" w:line="176" w:lineRule="exact"/>
              <w:rPr>
                <w:rFonts w:ascii="Arial" w:cs="Arial" w:eastAsia="Arial" w:hAnsi="Arial"/>
                <w:sz w:val="18"/>
                <w:szCs w:val="18"/>
                <w:color w:val="0000EE"/>
                <w:w w:val="79"/>
              </w:rPr>
            </w:pPr>
            <w:hyperlink w:anchor="page20">
              <w:r>
                <w:rPr>
                  <w:rFonts w:ascii="Arial" w:cs="Arial" w:eastAsia="Arial" w:hAnsi="Arial"/>
                  <w:sz w:val="18"/>
                  <w:szCs w:val="18"/>
                  <w:color w:val="0000EE"/>
                  <w:w w:val="79"/>
                </w:rPr>
                <w:t>8</w:t>
              </w:r>
            </w:hyperlink>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300" w:type="dxa"/>
            <w:vAlign w:val="bottom"/>
            <w:gridSpan w:val="12"/>
          </w:tcPr>
          <w:p>
            <w:pPr>
              <w:jc w:val="center"/>
              <w:ind w:right="1320"/>
              <w:spacing w:after="0"/>
              <w:rPr>
                <w:sz w:val="20"/>
                <w:szCs w:val="20"/>
                <w:color w:val="auto"/>
              </w:rPr>
            </w:pPr>
            <w:r>
              <w:rPr>
                <w:rFonts w:ascii="Arial" w:cs="Arial" w:eastAsia="Arial" w:hAnsi="Arial"/>
                <w:sz w:val="18"/>
                <w:szCs w:val="18"/>
                <w:color w:val="auto"/>
                <w:w w:val="95"/>
              </w:rPr>
              <w:t>PART II – OTHER INFORMATION</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300" w:type="dxa"/>
            <w:vAlign w:val="bottom"/>
            <w:vMerge w:val="restart"/>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300" w:type="dxa"/>
            <w:vAlign w:val="bottom"/>
            <w:vMerge w:val="continue"/>
          </w:tcPr>
          <w:p>
            <w:pPr>
              <w:spacing w:after="0"/>
              <w:rPr>
                <w:sz w:val="15"/>
                <w:szCs w:val="15"/>
                <w:color w:val="auto"/>
              </w:rPr>
            </w:pPr>
          </w:p>
        </w:tc>
        <w:tc>
          <w:tcPr>
            <w:tcW w:w="800" w:type="dxa"/>
            <w:vAlign w:val="bottom"/>
            <w:gridSpan w:val="4"/>
            <w:shd w:val="clear" w:color="auto" w:fill="CBDBD1"/>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Item 1:</w:t>
              </w:r>
            </w:hyperlink>
          </w:p>
        </w:tc>
        <w:tc>
          <w:tcPr>
            <w:tcW w:w="5420" w:type="dxa"/>
            <w:vAlign w:val="bottom"/>
            <w:gridSpan w:val="16"/>
            <w:shd w:val="clear" w:color="auto" w:fill="CBDBD1"/>
          </w:tcPr>
          <w:p>
            <w:pPr>
              <w:ind w:left="140"/>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Legal Proceedings</w:t>
              </w:r>
            </w:hyperlink>
          </w:p>
        </w:tc>
        <w:tc>
          <w:tcPr>
            <w:tcW w:w="260" w:type="dxa"/>
            <w:vAlign w:val="bottom"/>
            <w:gridSpan w:val="4"/>
            <w:shd w:val="clear" w:color="auto" w:fill="CBDBD1"/>
          </w:tcPr>
          <w:p>
            <w:pPr>
              <w:jc w:val="center"/>
              <w:ind w:left="10"/>
              <w:spacing w:after="0" w:line="176" w:lineRule="exact"/>
              <w:rPr>
                <w:rFonts w:ascii="Arial" w:cs="Arial" w:eastAsia="Arial" w:hAnsi="Arial"/>
                <w:sz w:val="18"/>
                <w:szCs w:val="18"/>
                <w:color w:val="0000EE"/>
                <w:w w:val="79"/>
              </w:rPr>
            </w:pPr>
            <w:hyperlink w:anchor="page21">
              <w:r>
                <w:rPr>
                  <w:rFonts w:ascii="Arial" w:cs="Arial" w:eastAsia="Arial" w:hAnsi="Arial"/>
                  <w:sz w:val="18"/>
                  <w:szCs w:val="18"/>
                  <w:color w:val="0000EE"/>
                  <w:w w:val="79"/>
                </w:rPr>
                <w:t>9</w:t>
              </w:r>
            </w:hyperlink>
          </w:p>
        </w:tc>
        <w:tc>
          <w:tcPr>
            <w:tcW w:w="100" w:type="dxa"/>
            <w:vAlign w:val="bottom"/>
            <w:shd w:val="clear" w:color="auto" w:fill="CBDBD1"/>
          </w:tcPr>
          <w:p>
            <w:pPr>
              <w:spacing w:after="0"/>
              <w:rPr>
                <w:sz w:val="15"/>
                <w:szCs w:val="15"/>
                <w:color w:val="auto"/>
              </w:rPr>
            </w:pPr>
          </w:p>
        </w:tc>
        <w:tc>
          <w:tcPr>
            <w:tcW w:w="260" w:type="dxa"/>
            <w:vAlign w:val="bottom"/>
            <w:shd w:val="clear" w:color="auto" w:fill="CBDBD1"/>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30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BDBD1"/>
          </w:tcPr>
          <w:p>
            <w:pPr>
              <w:spacing w:after="0" w:line="20" w:lineRule="exact"/>
              <w:rPr>
                <w:sz w:val="1"/>
                <w:szCs w:val="1"/>
                <w:color w:val="auto"/>
              </w:rPr>
            </w:pPr>
          </w:p>
        </w:tc>
        <w:tc>
          <w:tcPr>
            <w:tcW w:w="100" w:type="dxa"/>
            <w:vAlign w:val="bottom"/>
            <w:tcBorders>
              <w:top w:val="single" w:sz="8" w:color="CBDBD1"/>
            </w:tcBorders>
            <w:shd w:val="clear" w:color="auto" w:fill="CBDBD1"/>
          </w:tcPr>
          <w:p>
            <w:pPr>
              <w:spacing w:after="0" w:line="20" w:lineRule="exact"/>
              <w:rPr>
                <w:sz w:val="1"/>
                <w:szCs w:val="1"/>
                <w:color w:val="auto"/>
              </w:rPr>
            </w:pPr>
          </w:p>
        </w:tc>
        <w:tc>
          <w:tcPr>
            <w:tcW w:w="40" w:type="dxa"/>
            <w:vAlign w:val="bottom"/>
            <w:tcBorders>
              <w:top w:val="single" w:sz="8" w:color="CBDBD1"/>
            </w:tcBorders>
            <w:shd w:val="clear" w:color="auto" w:fill="CBDBD1"/>
          </w:tcPr>
          <w:p>
            <w:pPr>
              <w:spacing w:after="0" w:line="20" w:lineRule="exact"/>
              <w:rPr>
                <w:sz w:val="1"/>
                <w:szCs w:val="1"/>
                <w:color w:val="auto"/>
              </w:rPr>
            </w:pPr>
          </w:p>
        </w:tc>
        <w:tc>
          <w:tcPr>
            <w:tcW w:w="160" w:type="dxa"/>
            <w:vAlign w:val="bottom"/>
            <w:tcBorders>
              <w:top w:val="single" w:sz="8" w:color="CBDBD1"/>
            </w:tcBorders>
            <w:shd w:val="clear" w:color="auto" w:fill="CBDBD1"/>
          </w:tcPr>
          <w:p>
            <w:pPr>
              <w:spacing w:after="0" w:line="20" w:lineRule="exact"/>
              <w:rPr>
                <w:sz w:val="1"/>
                <w:szCs w:val="1"/>
                <w:color w:val="auto"/>
              </w:rPr>
            </w:pPr>
          </w:p>
        </w:tc>
        <w:tc>
          <w:tcPr>
            <w:tcW w:w="140" w:type="dxa"/>
            <w:vAlign w:val="bottom"/>
            <w:tcBorders>
              <w:top w:val="single" w:sz="8" w:color="CBDBD1"/>
            </w:tcBorders>
            <w:shd w:val="clear" w:color="auto" w:fill="CBDBD1"/>
          </w:tcPr>
          <w:p>
            <w:pPr>
              <w:spacing w:after="0" w:line="20" w:lineRule="exact"/>
              <w:rPr>
                <w:sz w:val="1"/>
                <w:szCs w:val="1"/>
                <w:color w:val="auto"/>
              </w:rPr>
            </w:pPr>
          </w:p>
        </w:tc>
        <w:tc>
          <w:tcPr>
            <w:tcW w:w="600" w:type="dxa"/>
            <w:vAlign w:val="bottom"/>
            <w:tcBorders>
              <w:top w:val="single" w:sz="8" w:color="0000EE"/>
            </w:tcBorders>
            <w:shd w:val="clear" w:color="auto" w:fill="CBDBD1"/>
          </w:tcPr>
          <w:p>
            <w:pPr>
              <w:spacing w:after="0" w:line="20" w:lineRule="exact"/>
              <w:rPr>
                <w:sz w:val="1"/>
                <w:szCs w:val="1"/>
                <w:color w:val="auto"/>
              </w:rPr>
            </w:pPr>
          </w:p>
        </w:tc>
        <w:tc>
          <w:tcPr>
            <w:tcW w:w="320" w:type="dxa"/>
            <w:vAlign w:val="bottom"/>
            <w:tcBorders>
              <w:top w:val="single" w:sz="8" w:color="0000EE"/>
            </w:tcBorders>
            <w:shd w:val="clear" w:color="auto" w:fill="CBDBD1"/>
          </w:tcPr>
          <w:p>
            <w:pPr>
              <w:spacing w:after="0" w:line="20" w:lineRule="exact"/>
              <w:rPr>
                <w:sz w:val="1"/>
                <w:szCs w:val="1"/>
                <w:color w:val="auto"/>
              </w:rPr>
            </w:pPr>
          </w:p>
        </w:tc>
        <w:tc>
          <w:tcPr>
            <w:tcW w:w="60" w:type="dxa"/>
            <w:vAlign w:val="bottom"/>
            <w:tcBorders>
              <w:top w:val="single" w:sz="8" w:color="0000EE"/>
            </w:tcBorders>
            <w:shd w:val="clear" w:color="auto" w:fill="CBDBD1"/>
          </w:tcPr>
          <w:p>
            <w:pPr>
              <w:spacing w:after="0" w:line="20" w:lineRule="exact"/>
              <w:rPr>
                <w:sz w:val="1"/>
                <w:szCs w:val="1"/>
                <w:color w:val="auto"/>
              </w:rPr>
            </w:pPr>
          </w:p>
        </w:tc>
        <w:tc>
          <w:tcPr>
            <w:tcW w:w="160" w:type="dxa"/>
            <w:vAlign w:val="bottom"/>
            <w:tcBorders>
              <w:top w:val="single" w:sz="8" w:color="0000EE"/>
            </w:tcBorders>
            <w:shd w:val="clear" w:color="auto" w:fill="CBDBD1"/>
          </w:tcPr>
          <w:p>
            <w:pPr>
              <w:spacing w:after="0" w:line="20" w:lineRule="exact"/>
              <w:rPr>
                <w:sz w:val="1"/>
                <w:szCs w:val="1"/>
                <w:color w:val="auto"/>
              </w:rPr>
            </w:pPr>
          </w:p>
        </w:tc>
        <w:tc>
          <w:tcPr>
            <w:tcW w:w="180" w:type="dxa"/>
            <w:vAlign w:val="bottom"/>
            <w:tcBorders>
              <w:top w:val="single" w:sz="8" w:color="0000EE"/>
            </w:tcBorders>
            <w:shd w:val="clear" w:color="auto" w:fill="CBDBD1"/>
          </w:tcPr>
          <w:p>
            <w:pPr>
              <w:spacing w:after="0" w:line="20" w:lineRule="exact"/>
              <w:rPr>
                <w:sz w:val="1"/>
                <w:szCs w:val="1"/>
                <w:color w:val="auto"/>
              </w:rPr>
            </w:pPr>
          </w:p>
        </w:tc>
        <w:tc>
          <w:tcPr>
            <w:tcW w:w="20" w:type="dxa"/>
            <w:vAlign w:val="bottom"/>
            <w:tcBorders>
              <w:top w:val="single" w:sz="8" w:color="0000EE"/>
            </w:tcBorders>
            <w:shd w:val="clear" w:color="auto" w:fill="CBDBD1"/>
          </w:tcPr>
          <w:p>
            <w:pPr>
              <w:spacing w:after="0" w:line="20" w:lineRule="exact"/>
              <w:rPr>
                <w:sz w:val="1"/>
                <w:szCs w:val="1"/>
                <w:color w:val="auto"/>
              </w:rPr>
            </w:pPr>
          </w:p>
        </w:tc>
        <w:tc>
          <w:tcPr>
            <w:tcW w:w="180" w:type="dxa"/>
            <w:vAlign w:val="bottom"/>
            <w:tcBorders>
              <w:top w:val="single" w:sz="8" w:color="CBDBD1"/>
            </w:tcBorders>
            <w:shd w:val="clear" w:color="auto" w:fill="CBDBD1"/>
          </w:tcPr>
          <w:p>
            <w:pPr>
              <w:spacing w:after="0" w:line="20" w:lineRule="exact"/>
              <w:rPr>
                <w:sz w:val="1"/>
                <w:szCs w:val="1"/>
                <w:color w:val="auto"/>
              </w:rPr>
            </w:pPr>
          </w:p>
        </w:tc>
        <w:tc>
          <w:tcPr>
            <w:tcW w:w="40" w:type="dxa"/>
            <w:vAlign w:val="bottom"/>
            <w:tcBorders>
              <w:top w:val="single" w:sz="8" w:color="CBDBD1"/>
            </w:tcBorders>
            <w:shd w:val="clear" w:color="auto" w:fill="CBDBD1"/>
          </w:tcPr>
          <w:p>
            <w:pPr>
              <w:spacing w:after="0" w:line="20" w:lineRule="exact"/>
              <w:rPr>
                <w:sz w:val="1"/>
                <w:szCs w:val="1"/>
                <w:color w:val="auto"/>
              </w:rPr>
            </w:pPr>
          </w:p>
        </w:tc>
        <w:tc>
          <w:tcPr>
            <w:tcW w:w="220" w:type="dxa"/>
            <w:vAlign w:val="bottom"/>
            <w:tcBorders>
              <w:top w:val="single" w:sz="8" w:color="CBDBD1"/>
              <w:right w:val="single" w:sz="8" w:color="CBDBD1"/>
            </w:tcBorders>
            <w:shd w:val="clear" w:color="auto" w:fill="CBDBD1"/>
          </w:tcPr>
          <w:p>
            <w:pPr>
              <w:spacing w:after="0" w:line="20" w:lineRule="exact"/>
              <w:rPr>
                <w:sz w:val="1"/>
                <w:szCs w:val="1"/>
                <w:color w:val="auto"/>
              </w:rPr>
            </w:pPr>
          </w:p>
        </w:tc>
        <w:tc>
          <w:tcPr>
            <w:tcW w:w="560" w:type="dxa"/>
            <w:vAlign w:val="bottom"/>
            <w:tcBorders>
              <w:top w:val="single" w:sz="8" w:color="CBDBD1"/>
            </w:tcBorders>
            <w:shd w:val="clear" w:color="auto" w:fill="CBDBD1"/>
          </w:tcPr>
          <w:p>
            <w:pPr>
              <w:spacing w:after="0" w:line="20" w:lineRule="exact"/>
              <w:rPr>
                <w:sz w:val="1"/>
                <w:szCs w:val="1"/>
                <w:color w:val="auto"/>
              </w:rPr>
            </w:pPr>
          </w:p>
        </w:tc>
        <w:tc>
          <w:tcPr>
            <w:tcW w:w="1460" w:type="dxa"/>
            <w:vAlign w:val="bottom"/>
            <w:tcBorders>
              <w:top w:val="single" w:sz="8" w:color="CBDBD1"/>
            </w:tcBorders>
            <w:shd w:val="clear" w:color="auto" w:fill="CBDBD1"/>
          </w:tcPr>
          <w:p>
            <w:pPr>
              <w:spacing w:after="0" w:line="20" w:lineRule="exact"/>
              <w:rPr>
                <w:sz w:val="1"/>
                <w:szCs w:val="1"/>
                <w:color w:val="auto"/>
              </w:rPr>
            </w:pPr>
          </w:p>
        </w:tc>
        <w:tc>
          <w:tcPr>
            <w:tcW w:w="160" w:type="dxa"/>
            <w:vAlign w:val="bottom"/>
            <w:tcBorders>
              <w:top w:val="single" w:sz="8" w:color="CBDBD1"/>
            </w:tcBorders>
            <w:shd w:val="clear" w:color="auto" w:fill="CBDBD1"/>
          </w:tcPr>
          <w:p>
            <w:pPr>
              <w:spacing w:after="0" w:line="20" w:lineRule="exact"/>
              <w:rPr>
                <w:sz w:val="1"/>
                <w:szCs w:val="1"/>
                <w:color w:val="auto"/>
              </w:rPr>
            </w:pPr>
          </w:p>
        </w:tc>
        <w:tc>
          <w:tcPr>
            <w:tcW w:w="400" w:type="dxa"/>
            <w:vAlign w:val="bottom"/>
            <w:tcBorders>
              <w:top w:val="single" w:sz="8" w:color="CBDBD1"/>
            </w:tcBorders>
            <w:shd w:val="clear" w:color="auto" w:fill="CBDBD1"/>
          </w:tcPr>
          <w:p>
            <w:pPr>
              <w:spacing w:after="0" w:line="20" w:lineRule="exact"/>
              <w:rPr>
                <w:sz w:val="1"/>
                <w:szCs w:val="1"/>
                <w:color w:val="auto"/>
              </w:rPr>
            </w:pPr>
          </w:p>
        </w:tc>
        <w:tc>
          <w:tcPr>
            <w:tcW w:w="500" w:type="dxa"/>
            <w:vAlign w:val="bottom"/>
            <w:tcBorders>
              <w:top w:val="single" w:sz="8" w:color="CBDBD1"/>
            </w:tcBorders>
            <w:shd w:val="clear" w:color="auto" w:fill="CBDBD1"/>
          </w:tcPr>
          <w:p>
            <w:pPr>
              <w:spacing w:after="0" w:line="20" w:lineRule="exact"/>
              <w:rPr>
                <w:sz w:val="1"/>
                <w:szCs w:val="1"/>
                <w:color w:val="auto"/>
              </w:rPr>
            </w:pPr>
          </w:p>
        </w:tc>
        <w:tc>
          <w:tcPr>
            <w:tcW w:w="420" w:type="dxa"/>
            <w:vAlign w:val="bottom"/>
            <w:tcBorders>
              <w:top w:val="single" w:sz="8" w:color="CBDBD1"/>
            </w:tcBorders>
            <w:shd w:val="clear" w:color="auto" w:fill="CBDBD1"/>
          </w:tcPr>
          <w:p>
            <w:pPr>
              <w:spacing w:after="0" w:line="20" w:lineRule="exact"/>
              <w:rPr>
                <w:sz w:val="1"/>
                <w:szCs w:val="1"/>
                <w:color w:val="auto"/>
              </w:rPr>
            </w:pPr>
          </w:p>
        </w:tc>
        <w:tc>
          <w:tcPr>
            <w:tcW w:w="80" w:type="dxa"/>
            <w:vAlign w:val="bottom"/>
            <w:tcBorders>
              <w:top w:val="single" w:sz="8" w:color="CBDBD1"/>
            </w:tcBorders>
            <w:shd w:val="clear" w:color="auto" w:fill="CBDBD1"/>
          </w:tcPr>
          <w:p>
            <w:pPr>
              <w:spacing w:after="0" w:line="20" w:lineRule="exact"/>
              <w:rPr>
                <w:sz w:val="1"/>
                <w:szCs w:val="1"/>
                <w:color w:val="auto"/>
              </w:rPr>
            </w:pPr>
          </w:p>
        </w:tc>
        <w:tc>
          <w:tcPr>
            <w:tcW w:w="60" w:type="dxa"/>
            <w:vAlign w:val="bottom"/>
            <w:tcBorders>
              <w:top w:val="single" w:sz="8" w:color="CBDBD1"/>
            </w:tcBorders>
            <w:shd w:val="clear" w:color="auto" w:fill="CBDBD1"/>
          </w:tcPr>
          <w:p>
            <w:pPr>
              <w:spacing w:after="0" w:line="20" w:lineRule="exact"/>
              <w:rPr>
                <w:sz w:val="1"/>
                <w:szCs w:val="1"/>
                <w:color w:val="auto"/>
              </w:rPr>
            </w:pPr>
          </w:p>
        </w:tc>
        <w:tc>
          <w:tcPr>
            <w:tcW w:w="80" w:type="dxa"/>
            <w:vAlign w:val="bottom"/>
            <w:tcBorders>
              <w:top w:val="single" w:sz="8" w:color="0000EE"/>
            </w:tcBorders>
            <w:shd w:val="clear" w:color="auto" w:fill="CBDBD1"/>
          </w:tcPr>
          <w:p>
            <w:pPr>
              <w:spacing w:after="0" w:line="20" w:lineRule="exact"/>
              <w:rPr>
                <w:sz w:val="1"/>
                <w:szCs w:val="1"/>
                <w:color w:val="auto"/>
              </w:rPr>
            </w:pPr>
          </w:p>
        </w:tc>
        <w:tc>
          <w:tcPr>
            <w:tcW w:w="40" w:type="dxa"/>
            <w:vAlign w:val="bottom"/>
            <w:tcBorders>
              <w:top w:val="single" w:sz="8" w:color="CBDBD1"/>
            </w:tcBorders>
            <w:shd w:val="clear" w:color="auto" w:fill="CBDBD1"/>
          </w:tcPr>
          <w:p>
            <w:pPr>
              <w:spacing w:after="0" w:line="20" w:lineRule="exact"/>
              <w:rPr>
                <w:sz w:val="1"/>
                <w:szCs w:val="1"/>
                <w:color w:val="auto"/>
              </w:rPr>
            </w:pPr>
          </w:p>
        </w:tc>
        <w:tc>
          <w:tcPr>
            <w:tcW w:w="100" w:type="dxa"/>
            <w:vAlign w:val="bottom"/>
            <w:tcBorders>
              <w:top w:val="single" w:sz="8" w:color="CBDBD1"/>
            </w:tcBorders>
            <w:shd w:val="clear" w:color="auto" w:fill="CBDBD1"/>
          </w:tcPr>
          <w:p>
            <w:pPr>
              <w:spacing w:after="0" w:line="20" w:lineRule="exact"/>
              <w:rPr>
                <w:sz w:val="1"/>
                <w:szCs w:val="1"/>
                <w:color w:val="auto"/>
              </w:rPr>
            </w:pPr>
          </w:p>
        </w:tc>
        <w:tc>
          <w:tcPr>
            <w:tcW w:w="260" w:type="dxa"/>
            <w:vAlign w:val="bottom"/>
            <w:tcBorders>
              <w:top w:val="single" w:sz="8" w:color="CBDBD1"/>
            </w:tcBorders>
            <w:shd w:val="clear" w:color="auto" w:fill="CBDBD1"/>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300" w:type="dxa"/>
            <w:vAlign w:val="bottom"/>
            <w:vMerge w:val="continue"/>
          </w:tcPr>
          <w:p>
            <w:pPr>
              <w:spacing w:after="0"/>
              <w:rPr>
                <w:sz w:val="15"/>
                <w:szCs w:val="15"/>
                <w:color w:val="auto"/>
              </w:rPr>
            </w:pPr>
          </w:p>
        </w:tc>
        <w:tc>
          <w:tcPr>
            <w:tcW w:w="800" w:type="dxa"/>
            <w:vAlign w:val="bottom"/>
            <w:gridSpan w:val="4"/>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Item 1A:</w:t>
              </w:r>
            </w:hyperlink>
          </w:p>
        </w:tc>
        <w:tc>
          <w:tcPr>
            <w:tcW w:w="5420" w:type="dxa"/>
            <w:vAlign w:val="bottom"/>
            <w:gridSpan w:val="16"/>
          </w:tcPr>
          <w:p>
            <w:pPr>
              <w:ind w:left="140"/>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Risk Factors</w:t>
              </w:r>
            </w:hyperlink>
          </w:p>
        </w:tc>
        <w:tc>
          <w:tcPr>
            <w:tcW w:w="260" w:type="dxa"/>
            <w:vAlign w:val="bottom"/>
            <w:gridSpan w:val="4"/>
          </w:tcPr>
          <w:p>
            <w:pPr>
              <w:jc w:val="center"/>
              <w:ind w:left="10"/>
              <w:spacing w:after="0" w:line="176" w:lineRule="exact"/>
              <w:rPr>
                <w:rFonts w:ascii="Arial" w:cs="Arial" w:eastAsia="Arial" w:hAnsi="Arial"/>
                <w:sz w:val="18"/>
                <w:szCs w:val="18"/>
                <w:color w:val="0000EE"/>
                <w:w w:val="79"/>
              </w:rPr>
            </w:pPr>
            <w:hyperlink w:anchor="page21">
              <w:r>
                <w:rPr>
                  <w:rFonts w:ascii="Arial" w:cs="Arial" w:eastAsia="Arial" w:hAnsi="Arial"/>
                  <w:sz w:val="18"/>
                  <w:szCs w:val="18"/>
                  <w:color w:val="0000EE"/>
                  <w:w w:val="79"/>
                </w:rPr>
                <w:t>9</w:t>
              </w:r>
            </w:hyperlink>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30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300" w:type="dxa"/>
            <w:vAlign w:val="bottom"/>
            <w:vMerge w:val="continue"/>
          </w:tcPr>
          <w:p>
            <w:pPr>
              <w:spacing w:after="0"/>
              <w:rPr>
                <w:sz w:val="15"/>
                <w:szCs w:val="15"/>
                <w:color w:val="auto"/>
              </w:rPr>
            </w:pPr>
          </w:p>
        </w:tc>
        <w:tc>
          <w:tcPr>
            <w:tcW w:w="800" w:type="dxa"/>
            <w:vAlign w:val="bottom"/>
            <w:gridSpan w:val="4"/>
            <w:shd w:val="clear" w:color="auto" w:fill="CBDBD1"/>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Item 2:</w:t>
              </w:r>
            </w:hyperlink>
          </w:p>
        </w:tc>
        <w:tc>
          <w:tcPr>
            <w:tcW w:w="5420" w:type="dxa"/>
            <w:vAlign w:val="bottom"/>
            <w:gridSpan w:val="16"/>
            <w:shd w:val="clear" w:color="auto" w:fill="CBDBD1"/>
          </w:tcPr>
          <w:p>
            <w:pPr>
              <w:ind w:left="140"/>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Unregistered Sales of Equity Securities and Use of Proceeds</w:t>
              </w:r>
            </w:hyperlink>
          </w:p>
        </w:tc>
        <w:tc>
          <w:tcPr>
            <w:tcW w:w="260" w:type="dxa"/>
            <w:vAlign w:val="bottom"/>
            <w:gridSpan w:val="4"/>
            <w:shd w:val="clear" w:color="auto" w:fill="CBDBD1"/>
          </w:tcPr>
          <w:p>
            <w:pPr>
              <w:jc w:val="center"/>
              <w:ind w:left="10"/>
              <w:spacing w:after="0" w:line="176" w:lineRule="exact"/>
              <w:rPr>
                <w:rFonts w:ascii="Arial" w:cs="Arial" w:eastAsia="Arial" w:hAnsi="Arial"/>
                <w:sz w:val="18"/>
                <w:szCs w:val="18"/>
                <w:color w:val="0000EE"/>
                <w:w w:val="79"/>
              </w:rPr>
            </w:pPr>
            <w:hyperlink w:anchor="page21">
              <w:r>
                <w:rPr>
                  <w:rFonts w:ascii="Arial" w:cs="Arial" w:eastAsia="Arial" w:hAnsi="Arial"/>
                  <w:sz w:val="18"/>
                  <w:szCs w:val="18"/>
                  <w:color w:val="0000EE"/>
                  <w:w w:val="79"/>
                </w:rPr>
                <w:t>9</w:t>
              </w:r>
            </w:hyperlink>
          </w:p>
        </w:tc>
        <w:tc>
          <w:tcPr>
            <w:tcW w:w="100" w:type="dxa"/>
            <w:vAlign w:val="bottom"/>
            <w:shd w:val="clear" w:color="auto" w:fill="CBDBD1"/>
          </w:tcPr>
          <w:p>
            <w:pPr>
              <w:spacing w:after="0"/>
              <w:rPr>
                <w:sz w:val="15"/>
                <w:szCs w:val="15"/>
                <w:color w:val="auto"/>
              </w:rPr>
            </w:pPr>
          </w:p>
        </w:tc>
        <w:tc>
          <w:tcPr>
            <w:tcW w:w="260" w:type="dxa"/>
            <w:vAlign w:val="bottom"/>
            <w:shd w:val="clear" w:color="auto" w:fill="CBDBD1"/>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30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BDBD1"/>
          </w:tcPr>
          <w:p>
            <w:pPr>
              <w:spacing w:after="0" w:line="20" w:lineRule="exact"/>
              <w:rPr>
                <w:sz w:val="1"/>
                <w:szCs w:val="1"/>
                <w:color w:val="auto"/>
              </w:rPr>
            </w:pPr>
          </w:p>
        </w:tc>
        <w:tc>
          <w:tcPr>
            <w:tcW w:w="100" w:type="dxa"/>
            <w:vAlign w:val="bottom"/>
            <w:tcBorders>
              <w:top w:val="single" w:sz="8" w:color="CBDBD1"/>
            </w:tcBorders>
            <w:shd w:val="clear" w:color="auto" w:fill="CBDBD1"/>
          </w:tcPr>
          <w:p>
            <w:pPr>
              <w:spacing w:after="0" w:line="20" w:lineRule="exact"/>
              <w:rPr>
                <w:sz w:val="1"/>
                <w:szCs w:val="1"/>
                <w:color w:val="auto"/>
              </w:rPr>
            </w:pPr>
          </w:p>
        </w:tc>
        <w:tc>
          <w:tcPr>
            <w:tcW w:w="40" w:type="dxa"/>
            <w:vAlign w:val="bottom"/>
            <w:tcBorders>
              <w:top w:val="single" w:sz="8" w:color="CBDBD1"/>
            </w:tcBorders>
            <w:shd w:val="clear" w:color="auto" w:fill="CBDBD1"/>
          </w:tcPr>
          <w:p>
            <w:pPr>
              <w:spacing w:after="0" w:line="20" w:lineRule="exact"/>
              <w:rPr>
                <w:sz w:val="1"/>
                <w:szCs w:val="1"/>
                <w:color w:val="auto"/>
              </w:rPr>
            </w:pPr>
          </w:p>
        </w:tc>
        <w:tc>
          <w:tcPr>
            <w:tcW w:w="160" w:type="dxa"/>
            <w:vAlign w:val="bottom"/>
            <w:tcBorders>
              <w:top w:val="single" w:sz="8" w:color="CBDBD1"/>
            </w:tcBorders>
            <w:shd w:val="clear" w:color="auto" w:fill="CBDBD1"/>
          </w:tcPr>
          <w:p>
            <w:pPr>
              <w:spacing w:after="0" w:line="20" w:lineRule="exact"/>
              <w:rPr>
                <w:sz w:val="1"/>
                <w:szCs w:val="1"/>
                <w:color w:val="auto"/>
              </w:rPr>
            </w:pPr>
          </w:p>
        </w:tc>
        <w:tc>
          <w:tcPr>
            <w:tcW w:w="140" w:type="dxa"/>
            <w:vAlign w:val="bottom"/>
            <w:tcBorders>
              <w:top w:val="single" w:sz="8" w:color="CBDBD1"/>
            </w:tcBorders>
            <w:shd w:val="clear" w:color="auto" w:fill="CBDBD1"/>
          </w:tcPr>
          <w:p>
            <w:pPr>
              <w:spacing w:after="0" w:line="20" w:lineRule="exact"/>
              <w:rPr>
                <w:sz w:val="1"/>
                <w:szCs w:val="1"/>
                <w:color w:val="auto"/>
              </w:rPr>
            </w:pPr>
          </w:p>
        </w:tc>
        <w:tc>
          <w:tcPr>
            <w:tcW w:w="600" w:type="dxa"/>
            <w:vAlign w:val="bottom"/>
            <w:tcBorders>
              <w:top w:val="single" w:sz="8" w:color="0000EE"/>
            </w:tcBorders>
            <w:shd w:val="clear" w:color="auto" w:fill="CBDBD1"/>
          </w:tcPr>
          <w:p>
            <w:pPr>
              <w:spacing w:after="0" w:line="20" w:lineRule="exact"/>
              <w:rPr>
                <w:sz w:val="1"/>
                <w:szCs w:val="1"/>
                <w:color w:val="auto"/>
              </w:rPr>
            </w:pPr>
          </w:p>
        </w:tc>
        <w:tc>
          <w:tcPr>
            <w:tcW w:w="320" w:type="dxa"/>
            <w:vAlign w:val="bottom"/>
            <w:tcBorders>
              <w:top w:val="single" w:sz="8" w:color="0000EE"/>
            </w:tcBorders>
            <w:shd w:val="clear" w:color="auto" w:fill="CBDBD1"/>
          </w:tcPr>
          <w:p>
            <w:pPr>
              <w:spacing w:after="0" w:line="20" w:lineRule="exact"/>
              <w:rPr>
                <w:sz w:val="1"/>
                <w:szCs w:val="1"/>
                <w:color w:val="auto"/>
              </w:rPr>
            </w:pPr>
          </w:p>
        </w:tc>
        <w:tc>
          <w:tcPr>
            <w:tcW w:w="60" w:type="dxa"/>
            <w:vAlign w:val="bottom"/>
            <w:tcBorders>
              <w:top w:val="single" w:sz="8" w:color="0000EE"/>
            </w:tcBorders>
            <w:shd w:val="clear" w:color="auto" w:fill="CBDBD1"/>
          </w:tcPr>
          <w:p>
            <w:pPr>
              <w:spacing w:after="0" w:line="20" w:lineRule="exact"/>
              <w:rPr>
                <w:sz w:val="1"/>
                <w:szCs w:val="1"/>
                <w:color w:val="auto"/>
              </w:rPr>
            </w:pPr>
          </w:p>
        </w:tc>
        <w:tc>
          <w:tcPr>
            <w:tcW w:w="160" w:type="dxa"/>
            <w:vAlign w:val="bottom"/>
            <w:tcBorders>
              <w:top w:val="single" w:sz="8" w:color="0000EE"/>
            </w:tcBorders>
            <w:shd w:val="clear" w:color="auto" w:fill="CBDBD1"/>
          </w:tcPr>
          <w:p>
            <w:pPr>
              <w:spacing w:after="0" w:line="20" w:lineRule="exact"/>
              <w:rPr>
                <w:sz w:val="1"/>
                <w:szCs w:val="1"/>
                <w:color w:val="auto"/>
              </w:rPr>
            </w:pPr>
          </w:p>
        </w:tc>
        <w:tc>
          <w:tcPr>
            <w:tcW w:w="180" w:type="dxa"/>
            <w:vAlign w:val="bottom"/>
            <w:tcBorders>
              <w:top w:val="single" w:sz="8" w:color="0000EE"/>
            </w:tcBorders>
            <w:shd w:val="clear" w:color="auto" w:fill="CBDBD1"/>
          </w:tcPr>
          <w:p>
            <w:pPr>
              <w:spacing w:after="0" w:line="20" w:lineRule="exact"/>
              <w:rPr>
                <w:sz w:val="1"/>
                <w:szCs w:val="1"/>
                <w:color w:val="auto"/>
              </w:rPr>
            </w:pPr>
          </w:p>
        </w:tc>
        <w:tc>
          <w:tcPr>
            <w:tcW w:w="20" w:type="dxa"/>
            <w:vAlign w:val="bottom"/>
            <w:tcBorders>
              <w:top w:val="single" w:sz="8" w:color="0000EE"/>
            </w:tcBorders>
            <w:shd w:val="clear" w:color="auto" w:fill="CBDBD1"/>
          </w:tcPr>
          <w:p>
            <w:pPr>
              <w:spacing w:after="0" w:line="20" w:lineRule="exact"/>
              <w:rPr>
                <w:sz w:val="1"/>
                <w:szCs w:val="1"/>
                <w:color w:val="auto"/>
              </w:rPr>
            </w:pPr>
          </w:p>
        </w:tc>
        <w:tc>
          <w:tcPr>
            <w:tcW w:w="180" w:type="dxa"/>
            <w:vAlign w:val="bottom"/>
            <w:tcBorders>
              <w:top w:val="single" w:sz="8" w:color="0000EE"/>
            </w:tcBorders>
            <w:shd w:val="clear" w:color="auto" w:fill="CBDBD1"/>
          </w:tcPr>
          <w:p>
            <w:pPr>
              <w:spacing w:after="0" w:line="20" w:lineRule="exact"/>
              <w:rPr>
                <w:sz w:val="1"/>
                <w:szCs w:val="1"/>
                <w:color w:val="auto"/>
              </w:rPr>
            </w:pPr>
          </w:p>
        </w:tc>
        <w:tc>
          <w:tcPr>
            <w:tcW w:w="40" w:type="dxa"/>
            <w:vAlign w:val="bottom"/>
            <w:tcBorders>
              <w:top w:val="single" w:sz="8" w:color="0000EE"/>
            </w:tcBorders>
            <w:shd w:val="clear" w:color="auto" w:fill="CBDBD1"/>
          </w:tcPr>
          <w:p>
            <w:pPr>
              <w:spacing w:after="0" w:line="20" w:lineRule="exact"/>
              <w:rPr>
                <w:sz w:val="1"/>
                <w:szCs w:val="1"/>
                <w:color w:val="auto"/>
              </w:rPr>
            </w:pPr>
          </w:p>
        </w:tc>
        <w:tc>
          <w:tcPr>
            <w:tcW w:w="220" w:type="dxa"/>
            <w:vAlign w:val="bottom"/>
            <w:tcBorders>
              <w:top w:val="single" w:sz="8" w:color="0000EE"/>
              <w:right w:val="single" w:sz="8" w:color="CBDBD1"/>
            </w:tcBorders>
            <w:shd w:val="clear" w:color="auto" w:fill="CBDBD1"/>
          </w:tcPr>
          <w:p>
            <w:pPr>
              <w:spacing w:after="0" w:line="20" w:lineRule="exact"/>
              <w:rPr>
                <w:sz w:val="1"/>
                <w:szCs w:val="1"/>
                <w:color w:val="auto"/>
              </w:rPr>
            </w:pPr>
          </w:p>
        </w:tc>
        <w:tc>
          <w:tcPr>
            <w:tcW w:w="560" w:type="dxa"/>
            <w:vAlign w:val="bottom"/>
            <w:tcBorders>
              <w:top w:val="single" w:sz="8" w:color="0000EE"/>
            </w:tcBorders>
            <w:shd w:val="clear" w:color="auto" w:fill="CBDBD1"/>
          </w:tcPr>
          <w:p>
            <w:pPr>
              <w:spacing w:after="0" w:line="20" w:lineRule="exact"/>
              <w:rPr>
                <w:sz w:val="1"/>
                <w:szCs w:val="1"/>
                <w:color w:val="auto"/>
              </w:rPr>
            </w:pPr>
          </w:p>
        </w:tc>
        <w:tc>
          <w:tcPr>
            <w:tcW w:w="1460" w:type="dxa"/>
            <w:vAlign w:val="bottom"/>
            <w:tcBorders>
              <w:top w:val="single" w:sz="8" w:color="0000EE"/>
            </w:tcBorders>
            <w:shd w:val="clear" w:color="auto" w:fill="CBDBD1"/>
          </w:tcPr>
          <w:p>
            <w:pPr>
              <w:spacing w:after="0" w:line="20" w:lineRule="exact"/>
              <w:rPr>
                <w:sz w:val="1"/>
                <w:szCs w:val="1"/>
                <w:color w:val="auto"/>
              </w:rPr>
            </w:pPr>
          </w:p>
        </w:tc>
        <w:tc>
          <w:tcPr>
            <w:tcW w:w="160" w:type="dxa"/>
            <w:vAlign w:val="bottom"/>
            <w:tcBorders>
              <w:top w:val="single" w:sz="8" w:color="0000EE"/>
            </w:tcBorders>
            <w:shd w:val="clear" w:color="auto" w:fill="CBDBD1"/>
          </w:tcPr>
          <w:p>
            <w:pPr>
              <w:spacing w:after="0" w:line="20" w:lineRule="exact"/>
              <w:rPr>
                <w:sz w:val="1"/>
                <w:szCs w:val="1"/>
                <w:color w:val="auto"/>
              </w:rPr>
            </w:pPr>
          </w:p>
        </w:tc>
        <w:tc>
          <w:tcPr>
            <w:tcW w:w="400" w:type="dxa"/>
            <w:vAlign w:val="bottom"/>
            <w:tcBorders>
              <w:top w:val="single" w:sz="8" w:color="0000EE"/>
            </w:tcBorders>
            <w:shd w:val="clear" w:color="auto" w:fill="CBDBD1"/>
          </w:tcPr>
          <w:p>
            <w:pPr>
              <w:spacing w:after="0" w:line="20" w:lineRule="exact"/>
              <w:rPr>
                <w:sz w:val="1"/>
                <w:szCs w:val="1"/>
                <w:color w:val="auto"/>
              </w:rPr>
            </w:pPr>
          </w:p>
        </w:tc>
        <w:tc>
          <w:tcPr>
            <w:tcW w:w="500" w:type="dxa"/>
            <w:vAlign w:val="bottom"/>
            <w:tcBorders>
              <w:top w:val="single" w:sz="8" w:color="CBDBD1"/>
            </w:tcBorders>
            <w:shd w:val="clear" w:color="auto" w:fill="CBDBD1"/>
          </w:tcPr>
          <w:p>
            <w:pPr>
              <w:spacing w:after="0" w:line="20" w:lineRule="exact"/>
              <w:rPr>
                <w:sz w:val="1"/>
                <w:szCs w:val="1"/>
                <w:color w:val="auto"/>
              </w:rPr>
            </w:pPr>
          </w:p>
        </w:tc>
        <w:tc>
          <w:tcPr>
            <w:tcW w:w="420" w:type="dxa"/>
            <w:vAlign w:val="bottom"/>
            <w:tcBorders>
              <w:top w:val="single" w:sz="8" w:color="CBDBD1"/>
            </w:tcBorders>
            <w:shd w:val="clear" w:color="auto" w:fill="CBDBD1"/>
          </w:tcPr>
          <w:p>
            <w:pPr>
              <w:spacing w:after="0" w:line="20" w:lineRule="exact"/>
              <w:rPr>
                <w:sz w:val="1"/>
                <w:szCs w:val="1"/>
                <w:color w:val="auto"/>
              </w:rPr>
            </w:pPr>
          </w:p>
        </w:tc>
        <w:tc>
          <w:tcPr>
            <w:tcW w:w="80" w:type="dxa"/>
            <w:vAlign w:val="bottom"/>
            <w:tcBorders>
              <w:top w:val="single" w:sz="8" w:color="CBDBD1"/>
            </w:tcBorders>
            <w:shd w:val="clear" w:color="auto" w:fill="CBDBD1"/>
          </w:tcPr>
          <w:p>
            <w:pPr>
              <w:spacing w:after="0" w:line="20" w:lineRule="exact"/>
              <w:rPr>
                <w:sz w:val="1"/>
                <w:szCs w:val="1"/>
                <w:color w:val="auto"/>
              </w:rPr>
            </w:pPr>
          </w:p>
        </w:tc>
        <w:tc>
          <w:tcPr>
            <w:tcW w:w="60" w:type="dxa"/>
            <w:vAlign w:val="bottom"/>
            <w:tcBorders>
              <w:top w:val="single" w:sz="8" w:color="CBDBD1"/>
            </w:tcBorders>
            <w:shd w:val="clear" w:color="auto" w:fill="CBDBD1"/>
          </w:tcPr>
          <w:p>
            <w:pPr>
              <w:spacing w:after="0" w:line="20" w:lineRule="exact"/>
              <w:rPr>
                <w:sz w:val="1"/>
                <w:szCs w:val="1"/>
                <w:color w:val="auto"/>
              </w:rPr>
            </w:pPr>
          </w:p>
        </w:tc>
        <w:tc>
          <w:tcPr>
            <w:tcW w:w="80" w:type="dxa"/>
            <w:vAlign w:val="bottom"/>
            <w:tcBorders>
              <w:top w:val="single" w:sz="8" w:color="0000EE"/>
            </w:tcBorders>
            <w:shd w:val="clear" w:color="auto" w:fill="CBDBD1"/>
          </w:tcPr>
          <w:p>
            <w:pPr>
              <w:spacing w:after="0" w:line="20" w:lineRule="exact"/>
              <w:rPr>
                <w:sz w:val="1"/>
                <w:szCs w:val="1"/>
                <w:color w:val="auto"/>
              </w:rPr>
            </w:pPr>
          </w:p>
        </w:tc>
        <w:tc>
          <w:tcPr>
            <w:tcW w:w="40" w:type="dxa"/>
            <w:vAlign w:val="bottom"/>
            <w:tcBorders>
              <w:top w:val="single" w:sz="8" w:color="CBDBD1"/>
            </w:tcBorders>
            <w:shd w:val="clear" w:color="auto" w:fill="CBDBD1"/>
          </w:tcPr>
          <w:p>
            <w:pPr>
              <w:spacing w:after="0" w:line="20" w:lineRule="exact"/>
              <w:rPr>
                <w:sz w:val="1"/>
                <w:szCs w:val="1"/>
                <w:color w:val="auto"/>
              </w:rPr>
            </w:pPr>
          </w:p>
        </w:tc>
        <w:tc>
          <w:tcPr>
            <w:tcW w:w="100" w:type="dxa"/>
            <w:vAlign w:val="bottom"/>
            <w:tcBorders>
              <w:top w:val="single" w:sz="8" w:color="CBDBD1"/>
            </w:tcBorders>
            <w:shd w:val="clear" w:color="auto" w:fill="CBDBD1"/>
          </w:tcPr>
          <w:p>
            <w:pPr>
              <w:spacing w:after="0" w:line="20" w:lineRule="exact"/>
              <w:rPr>
                <w:sz w:val="1"/>
                <w:szCs w:val="1"/>
                <w:color w:val="auto"/>
              </w:rPr>
            </w:pPr>
          </w:p>
        </w:tc>
        <w:tc>
          <w:tcPr>
            <w:tcW w:w="260" w:type="dxa"/>
            <w:vAlign w:val="bottom"/>
            <w:tcBorders>
              <w:top w:val="single" w:sz="8" w:color="CBDBD1"/>
            </w:tcBorders>
            <w:shd w:val="clear" w:color="auto" w:fill="CBDBD1"/>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300" w:type="dxa"/>
            <w:vAlign w:val="bottom"/>
            <w:vMerge w:val="continue"/>
          </w:tcPr>
          <w:p>
            <w:pPr>
              <w:spacing w:after="0"/>
              <w:rPr>
                <w:sz w:val="15"/>
                <w:szCs w:val="15"/>
                <w:color w:val="auto"/>
              </w:rPr>
            </w:pPr>
          </w:p>
        </w:tc>
        <w:tc>
          <w:tcPr>
            <w:tcW w:w="800" w:type="dxa"/>
            <w:vAlign w:val="bottom"/>
            <w:gridSpan w:val="4"/>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Item 3:</w:t>
              </w:r>
            </w:hyperlink>
          </w:p>
        </w:tc>
        <w:tc>
          <w:tcPr>
            <w:tcW w:w="5420" w:type="dxa"/>
            <w:vAlign w:val="bottom"/>
            <w:gridSpan w:val="16"/>
          </w:tcPr>
          <w:p>
            <w:pPr>
              <w:ind w:left="140"/>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Defaults Upon Senior Securities</w:t>
              </w:r>
            </w:hyperlink>
          </w:p>
        </w:tc>
        <w:tc>
          <w:tcPr>
            <w:tcW w:w="360" w:type="dxa"/>
            <w:vAlign w:val="bottom"/>
            <w:gridSpan w:val="5"/>
          </w:tcPr>
          <w:p>
            <w:pPr>
              <w:jc w:val="center"/>
              <w:ind w:right="20"/>
              <w:spacing w:after="0" w:line="176"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10</w:t>
              </w:r>
            </w:hyperlink>
          </w:p>
        </w:tc>
        <w:tc>
          <w:tcPr>
            <w:tcW w:w="2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30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300" w:type="dxa"/>
            <w:vAlign w:val="bottom"/>
            <w:vMerge w:val="continue"/>
          </w:tcPr>
          <w:p>
            <w:pPr>
              <w:spacing w:after="0"/>
              <w:rPr>
                <w:sz w:val="15"/>
                <w:szCs w:val="15"/>
                <w:color w:val="auto"/>
              </w:rPr>
            </w:pPr>
          </w:p>
        </w:tc>
        <w:tc>
          <w:tcPr>
            <w:tcW w:w="800" w:type="dxa"/>
            <w:vAlign w:val="bottom"/>
            <w:gridSpan w:val="4"/>
            <w:shd w:val="clear" w:color="auto" w:fill="CBDBD1"/>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Item 4:</w:t>
              </w:r>
            </w:hyperlink>
          </w:p>
        </w:tc>
        <w:tc>
          <w:tcPr>
            <w:tcW w:w="5420" w:type="dxa"/>
            <w:vAlign w:val="bottom"/>
            <w:gridSpan w:val="16"/>
            <w:shd w:val="clear" w:color="auto" w:fill="CBDBD1"/>
          </w:tcPr>
          <w:p>
            <w:pPr>
              <w:ind w:left="140"/>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Removed and Reserved</w:t>
              </w:r>
            </w:hyperlink>
          </w:p>
        </w:tc>
        <w:tc>
          <w:tcPr>
            <w:tcW w:w="360" w:type="dxa"/>
            <w:vAlign w:val="bottom"/>
            <w:gridSpan w:val="5"/>
            <w:shd w:val="clear" w:color="auto" w:fill="CBDBD1"/>
          </w:tcPr>
          <w:p>
            <w:pPr>
              <w:jc w:val="center"/>
              <w:ind w:right="20"/>
              <w:spacing w:after="0" w:line="176"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10</w:t>
              </w:r>
            </w:hyperlink>
          </w:p>
        </w:tc>
        <w:tc>
          <w:tcPr>
            <w:tcW w:w="260" w:type="dxa"/>
            <w:vAlign w:val="bottom"/>
            <w:shd w:val="clear" w:color="auto" w:fill="CBDBD1"/>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30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BDBD1"/>
          </w:tcPr>
          <w:p>
            <w:pPr>
              <w:spacing w:after="0" w:line="20" w:lineRule="exact"/>
              <w:rPr>
                <w:sz w:val="1"/>
                <w:szCs w:val="1"/>
                <w:color w:val="auto"/>
              </w:rPr>
            </w:pPr>
          </w:p>
        </w:tc>
        <w:tc>
          <w:tcPr>
            <w:tcW w:w="100" w:type="dxa"/>
            <w:vAlign w:val="bottom"/>
            <w:tcBorders>
              <w:top w:val="single" w:sz="8" w:color="CBDBD1"/>
            </w:tcBorders>
            <w:shd w:val="clear" w:color="auto" w:fill="CBDBD1"/>
          </w:tcPr>
          <w:p>
            <w:pPr>
              <w:spacing w:after="0" w:line="20" w:lineRule="exact"/>
              <w:rPr>
                <w:sz w:val="1"/>
                <w:szCs w:val="1"/>
                <w:color w:val="auto"/>
              </w:rPr>
            </w:pPr>
          </w:p>
        </w:tc>
        <w:tc>
          <w:tcPr>
            <w:tcW w:w="40" w:type="dxa"/>
            <w:vAlign w:val="bottom"/>
            <w:tcBorders>
              <w:top w:val="single" w:sz="8" w:color="CBDBD1"/>
            </w:tcBorders>
            <w:shd w:val="clear" w:color="auto" w:fill="CBDBD1"/>
          </w:tcPr>
          <w:p>
            <w:pPr>
              <w:spacing w:after="0" w:line="20" w:lineRule="exact"/>
              <w:rPr>
                <w:sz w:val="1"/>
                <w:szCs w:val="1"/>
                <w:color w:val="auto"/>
              </w:rPr>
            </w:pPr>
          </w:p>
        </w:tc>
        <w:tc>
          <w:tcPr>
            <w:tcW w:w="160" w:type="dxa"/>
            <w:vAlign w:val="bottom"/>
            <w:tcBorders>
              <w:top w:val="single" w:sz="8" w:color="CBDBD1"/>
            </w:tcBorders>
            <w:shd w:val="clear" w:color="auto" w:fill="CBDBD1"/>
          </w:tcPr>
          <w:p>
            <w:pPr>
              <w:spacing w:after="0" w:line="20" w:lineRule="exact"/>
              <w:rPr>
                <w:sz w:val="1"/>
                <w:szCs w:val="1"/>
                <w:color w:val="auto"/>
              </w:rPr>
            </w:pPr>
          </w:p>
        </w:tc>
        <w:tc>
          <w:tcPr>
            <w:tcW w:w="140" w:type="dxa"/>
            <w:vAlign w:val="bottom"/>
            <w:tcBorders>
              <w:top w:val="single" w:sz="8" w:color="CBDBD1"/>
            </w:tcBorders>
            <w:shd w:val="clear" w:color="auto" w:fill="CBDBD1"/>
          </w:tcPr>
          <w:p>
            <w:pPr>
              <w:spacing w:after="0" w:line="20" w:lineRule="exact"/>
              <w:rPr>
                <w:sz w:val="1"/>
                <w:szCs w:val="1"/>
                <w:color w:val="auto"/>
              </w:rPr>
            </w:pPr>
          </w:p>
        </w:tc>
        <w:tc>
          <w:tcPr>
            <w:tcW w:w="600" w:type="dxa"/>
            <w:vAlign w:val="bottom"/>
            <w:tcBorders>
              <w:top w:val="single" w:sz="8" w:color="0000EE"/>
            </w:tcBorders>
            <w:shd w:val="clear" w:color="auto" w:fill="CBDBD1"/>
          </w:tcPr>
          <w:p>
            <w:pPr>
              <w:spacing w:after="0" w:line="20" w:lineRule="exact"/>
              <w:rPr>
                <w:sz w:val="1"/>
                <w:szCs w:val="1"/>
                <w:color w:val="auto"/>
              </w:rPr>
            </w:pPr>
          </w:p>
        </w:tc>
        <w:tc>
          <w:tcPr>
            <w:tcW w:w="320" w:type="dxa"/>
            <w:vAlign w:val="bottom"/>
            <w:tcBorders>
              <w:top w:val="single" w:sz="8" w:color="0000EE"/>
            </w:tcBorders>
            <w:shd w:val="clear" w:color="auto" w:fill="CBDBD1"/>
          </w:tcPr>
          <w:p>
            <w:pPr>
              <w:spacing w:after="0" w:line="20" w:lineRule="exact"/>
              <w:rPr>
                <w:sz w:val="1"/>
                <w:szCs w:val="1"/>
                <w:color w:val="auto"/>
              </w:rPr>
            </w:pPr>
          </w:p>
        </w:tc>
        <w:tc>
          <w:tcPr>
            <w:tcW w:w="60" w:type="dxa"/>
            <w:vAlign w:val="bottom"/>
            <w:tcBorders>
              <w:top w:val="single" w:sz="8" w:color="0000EE"/>
            </w:tcBorders>
            <w:shd w:val="clear" w:color="auto" w:fill="CBDBD1"/>
          </w:tcPr>
          <w:p>
            <w:pPr>
              <w:spacing w:after="0" w:line="20" w:lineRule="exact"/>
              <w:rPr>
                <w:sz w:val="1"/>
                <w:szCs w:val="1"/>
                <w:color w:val="auto"/>
              </w:rPr>
            </w:pPr>
          </w:p>
        </w:tc>
        <w:tc>
          <w:tcPr>
            <w:tcW w:w="160" w:type="dxa"/>
            <w:vAlign w:val="bottom"/>
            <w:tcBorders>
              <w:top w:val="single" w:sz="8" w:color="0000EE"/>
            </w:tcBorders>
            <w:shd w:val="clear" w:color="auto" w:fill="CBDBD1"/>
          </w:tcPr>
          <w:p>
            <w:pPr>
              <w:spacing w:after="0" w:line="20" w:lineRule="exact"/>
              <w:rPr>
                <w:sz w:val="1"/>
                <w:szCs w:val="1"/>
                <w:color w:val="auto"/>
              </w:rPr>
            </w:pPr>
          </w:p>
        </w:tc>
        <w:tc>
          <w:tcPr>
            <w:tcW w:w="180" w:type="dxa"/>
            <w:vAlign w:val="bottom"/>
            <w:tcBorders>
              <w:top w:val="single" w:sz="8" w:color="0000EE"/>
            </w:tcBorders>
            <w:shd w:val="clear" w:color="auto" w:fill="CBDBD1"/>
          </w:tcPr>
          <w:p>
            <w:pPr>
              <w:spacing w:after="0" w:line="20" w:lineRule="exact"/>
              <w:rPr>
                <w:sz w:val="1"/>
                <w:szCs w:val="1"/>
                <w:color w:val="auto"/>
              </w:rPr>
            </w:pPr>
          </w:p>
        </w:tc>
        <w:tc>
          <w:tcPr>
            <w:tcW w:w="20" w:type="dxa"/>
            <w:vAlign w:val="bottom"/>
            <w:tcBorders>
              <w:top w:val="single" w:sz="8" w:color="0000EE"/>
            </w:tcBorders>
            <w:shd w:val="clear" w:color="auto" w:fill="CBDBD1"/>
          </w:tcPr>
          <w:p>
            <w:pPr>
              <w:spacing w:after="0" w:line="20" w:lineRule="exact"/>
              <w:rPr>
                <w:sz w:val="1"/>
                <w:szCs w:val="1"/>
                <w:color w:val="auto"/>
              </w:rPr>
            </w:pPr>
          </w:p>
        </w:tc>
        <w:tc>
          <w:tcPr>
            <w:tcW w:w="180" w:type="dxa"/>
            <w:vAlign w:val="bottom"/>
            <w:tcBorders>
              <w:top w:val="single" w:sz="8" w:color="0000EE"/>
            </w:tcBorders>
            <w:shd w:val="clear" w:color="auto" w:fill="CBDBD1"/>
          </w:tcPr>
          <w:p>
            <w:pPr>
              <w:spacing w:after="0" w:line="20" w:lineRule="exact"/>
              <w:rPr>
                <w:sz w:val="1"/>
                <w:szCs w:val="1"/>
                <w:color w:val="auto"/>
              </w:rPr>
            </w:pPr>
          </w:p>
        </w:tc>
        <w:tc>
          <w:tcPr>
            <w:tcW w:w="40" w:type="dxa"/>
            <w:vAlign w:val="bottom"/>
            <w:tcBorders>
              <w:top w:val="single" w:sz="8" w:color="0000EE"/>
            </w:tcBorders>
            <w:shd w:val="clear" w:color="auto" w:fill="CBDBD1"/>
          </w:tcPr>
          <w:p>
            <w:pPr>
              <w:spacing w:after="0" w:line="20" w:lineRule="exact"/>
              <w:rPr>
                <w:sz w:val="1"/>
                <w:szCs w:val="1"/>
                <w:color w:val="auto"/>
              </w:rPr>
            </w:pPr>
          </w:p>
        </w:tc>
        <w:tc>
          <w:tcPr>
            <w:tcW w:w="220" w:type="dxa"/>
            <w:vAlign w:val="bottom"/>
            <w:tcBorders>
              <w:top w:val="single" w:sz="8" w:color="0000EE"/>
              <w:right w:val="single" w:sz="8" w:color="CBDBD1"/>
            </w:tcBorders>
            <w:shd w:val="clear" w:color="auto" w:fill="CBDBD1"/>
          </w:tcPr>
          <w:p>
            <w:pPr>
              <w:spacing w:after="0" w:line="20" w:lineRule="exact"/>
              <w:rPr>
                <w:sz w:val="1"/>
                <w:szCs w:val="1"/>
                <w:color w:val="auto"/>
              </w:rPr>
            </w:pPr>
          </w:p>
        </w:tc>
        <w:tc>
          <w:tcPr>
            <w:tcW w:w="560" w:type="dxa"/>
            <w:vAlign w:val="bottom"/>
            <w:tcBorders>
              <w:top w:val="single" w:sz="8" w:color="CBDBD1"/>
            </w:tcBorders>
            <w:shd w:val="clear" w:color="auto" w:fill="CBDBD1"/>
          </w:tcPr>
          <w:p>
            <w:pPr>
              <w:spacing w:after="0" w:line="20" w:lineRule="exact"/>
              <w:rPr>
                <w:sz w:val="1"/>
                <w:szCs w:val="1"/>
                <w:color w:val="auto"/>
              </w:rPr>
            </w:pPr>
          </w:p>
        </w:tc>
        <w:tc>
          <w:tcPr>
            <w:tcW w:w="1460" w:type="dxa"/>
            <w:vAlign w:val="bottom"/>
            <w:tcBorders>
              <w:top w:val="single" w:sz="8" w:color="CBDBD1"/>
            </w:tcBorders>
            <w:shd w:val="clear" w:color="auto" w:fill="CBDBD1"/>
          </w:tcPr>
          <w:p>
            <w:pPr>
              <w:spacing w:after="0" w:line="20" w:lineRule="exact"/>
              <w:rPr>
                <w:sz w:val="1"/>
                <w:szCs w:val="1"/>
                <w:color w:val="auto"/>
              </w:rPr>
            </w:pPr>
          </w:p>
        </w:tc>
        <w:tc>
          <w:tcPr>
            <w:tcW w:w="160" w:type="dxa"/>
            <w:vAlign w:val="bottom"/>
            <w:tcBorders>
              <w:top w:val="single" w:sz="8" w:color="CBDBD1"/>
            </w:tcBorders>
            <w:shd w:val="clear" w:color="auto" w:fill="CBDBD1"/>
          </w:tcPr>
          <w:p>
            <w:pPr>
              <w:spacing w:after="0" w:line="20" w:lineRule="exact"/>
              <w:rPr>
                <w:sz w:val="1"/>
                <w:szCs w:val="1"/>
                <w:color w:val="auto"/>
              </w:rPr>
            </w:pPr>
          </w:p>
        </w:tc>
        <w:tc>
          <w:tcPr>
            <w:tcW w:w="400" w:type="dxa"/>
            <w:vAlign w:val="bottom"/>
            <w:tcBorders>
              <w:top w:val="single" w:sz="8" w:color="CBDBD1"/>
            </w:tcBorders>
            <w:shd w:val="clear" w:color="auto" w:fill="CBDBD1"/>
          </w:tcPr>
          <w:p>
            <w:pPr>
              <w:spacing w:after="0" w:line="20" w:lineRule="exact"/>
              <w:rPr>
                <w:sz w:val="1"/>
                <w:szCs w:val="1"/>
                <w:color w:val="auto"/>
              </w:rPr>
            </w:pPr>
          </w:p>
        </w:tc>
        <w:tc>
          <w:tcPr>
            <w:tcW w:w="500" w:type="dxa"/>
            <w:vAlign w:val="bottom"/>
            <w:tcBorders>
              <w:top w:val="single" w:sz="8" w:color="CBDBD1"/>
            </w:tcBorders>
            <w:shd w:val="clear" w:color="auto" w:fill="CBDBD1"/>
          </w:tcPr>
          <w:p>
            <w:pPr>
              <w:spacing w:after="0" w:line="20" w:lineRule="exact"/>
              <w:rPr>
                <w:sz w:val="1"/>
                <w:szCs w:val="1"/>
                <w:color w:val="auto"/>
              </w:rPr>
            </w:pPr>
          </w:p>
        </w:tc>
        <w:tc>
          <w:tcPr>
            <w:tcW w:w="420" w:type="dxa"/>
            <w:vAlign w:val="bottom"/>
            <w:tcBorders>
              <w:top w:val="single" w:sz="8" w:color="CBDBD1"/>
            </w:tcBorders>
            <w:shd w:val="clear" w:color="auto" w:fill="CBDBD1"/>
          </w:tcPr>
          <w:p>
            <w:pPr>
              <w:spacing w:after="0" w:line="20" w:lineRule="exact"/>
              <w:rPr>
                <w:sz w:val="1"/>
                <w:szCs w:val="1"/>
                <w:color w:val="auto"/>
              </w:rPr>
            </w:pPr>
          </w:p>
        </w:tc>
        <w:tc>
          <w:tcPr>
            <w:tcW w:w="80" w:type="dxa"/>
            <w:vAlign w:val="bottom"/>
            <w:tcBorders>
              <w:top w:val="single" w:sz="8" w:color="CBDBD1"/>
            </w:tcBorders>
            <w:shd w:val="clear" w:color="auto" w:fill="CBDBD1"/>
          </w:tcPr>
          <w:p>
            <w:pPr>
              <w:spacing w:after="0" w:line="20" w:lineRule="exact"/>
              <w:rPr>
                <w:sz w:val="1"/>
                <w:szCs w:val="1"/>
                <w:color w:val="auto"/>
              </w:rPr>
            </w:pPr>
          </w:p>
        </w:tc>
        <w:tc>
          <w:tcPr>
            <w:tcW w:w="60" w:type="dxa"/>
            <w:vAlign w:val="bottom"/>
            <w:tcBorders>
              <w:top w:val="single" w:sz="8" w:color="0000EE"/>
            </w:tcBorders>
            <w:shd w:val="clear" w:color="auto" w:fill="CBDBD1"/>
          </w:tcPr>
          <w:p>
            <w:pPr>
              <w:spacing w:after="0" w:line="20" w:lineRule="exact"/>
              <w:rPr>
                <w:sz w:val="1"/>
                <w:szCs w:val="1"/>
                <w:color w:val="auto"/>
              </w:rPr>
            </w:pPr>
          </w:p>
        </w:tc>
        <w:tc>
          <w:tcPr>
            <w:tcW w:w="80" w:type="dxa"/>
            <w:vAlign w:val="bottom"/>
            <w:tcBorders>
              <w:top w:val="single" w:sz="8" w:color="0000EE"/>
            </w:tcBorders>
            <w:shd w:val="clear" w:color="auto" w:fill="CBDBD1"/>
          </w:tcPr>
          <w:p>
            <w:pPr>
              <w:spacing w:after="0" w:line="20" w:lineRule="exact"/>
              <w:rPr>
                <w:sz w:val="1"/>
                <w:szCs w:val="1"/>
                <w:color w:val="auto"/>
              </w:rPr>
            </w:pPr>
          </w:p>
        </w:tc>
        <w:tc>
          <w:tcPr>
            <w:tcW w:w="40" w:type="dxa"/>
            <w:vAlign w:val="bottom"/>
            <w:tcBorders>
              <w:top w:val="single" w:sz="8" w:color="0000EE"/>
            </w:tcBorders>
            <w:shd w:val="clear" w:color="auto" w:fill="CBDBD1"/>
          </w:tcPr>
          <w:p>
            <w:pPr>
              <w:spacing w:after="0" w:line="20" w:lineRule="exact"/>
              <w:rPr>
                <w:sz w:val="1"/>
                <w:szCs w:val="1"/>
                <w:color w:val="auto"/>
              </w:rPr>
            </w:pPr>
          </w:p>
        </w:tc>
        <w:tc>
          <w:tcPr>
            <w:tcW w:w="100" w:type="dxa"/>
            <w:vAlign w:val="bottom"/>
            <w:tcBorders>
              <w:top w:val="single" w:sz="8" w:color="CBDBD1"/>
            </w:tcBorders>
            <w:shd w:val="clear" w:color="auto" w:fill="CBDBD1"/>
          </w:tcPr>
          <w:p>
            <w:pPr>
              <w:spacing w:after="0" w:line="20" w:lineRule="exact"/>
              <w:rPr>
                <w:sz w:val="1"/>
                <w:szCs w:val="1"/>
                <w:color w:val="auto"/>
              </w:rPr>
            </w:pPr>
          </w:p>
        </w:tc>
        <w:tc>
          <w:tcPr>
            <w:tcW w:w="260" w:type="dxa"/>
            <w:vAlign w:val="bottom"/>
            <w:tcBorders>
              <w:top w:val="single" w:sz="8" w:color="CBDBD1"/>
            </w:tcBorders>
            <w:shd w:val="clear" w:color="auto" w:fill="CBDBD1"/>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300" w:type="dxa"/>
            <w:vAlign w:val="bottom"/>
            <w:vMerge w:val="continue"/>
          </w:tcPr>
          <w:p>
            <w:pPr>
              <w:spacing w:after="0"/>
              <w:rPr>
                <w:sz w:val="15"/>
                <w:szCs w:val="15"/>
                <w:color w:val="auto"/>
              </w:rPr>
            </w:pPr>
          </w:p>
        </w:tc>
        <w:tc>
          <w:tcPr>
            <w:tcW w:w="800" w:type="dxa"/>
            <w:vAlign w:val="bottom"/>
            <w:gridSpan w:val="4"/>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Item 5:</w:t>
              </w:r>
            </w:hyperlink>
          </w:p>
        </w:tc>
        <w:tc>
          <w:tcPr>
            <w:tcW w:w="5420" w:type="dxa"/>
            <w:vAlign w:val="bottom"/>
            <w:gridSpan w:val="16"/>
          </w:tcPr>
          <w:p>
            <w:pPr>
              <w:ind w:left="140"/>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Other Information</w:t>
              </w:r>
            </w:hyperlink>
          </w:p>
        </w:tc>
        <w:tc>
          <w:tcPr>
            <w:tcW w:w="360" w:type="dxa"/>
            <w:vAlign w:val="bottom"/>
            <w:gridSpan w:val="5"/>
          </w:tcPr>
          <w:p>
            <w:pPr>
              <w:jc w:val="center"/>
              <w:ind w:right="20"/>
              <w:spacing w:after="0" w:line="176"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10</w:t>
              </w:r>
            </w:hyperlink>
          </w:p>
        </w:tc>
        <w:tc>
          <w:tcPr>
            <w:tcW w:w="2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30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00" w:type="dxa"/>
            <w:vAlign w:val="bottom"/>
            <w:vMerge w:val="continue"/>
          </w:tcPr>
          <w:p>
            <w:pPr>
              <w:spacing w:after="0"/>
              <w:rPr>
                <w:sz w:val="17"/>
                <w:szCs w:val="17"/>
                <w:color w:val="auto"/>
              </w:rPr>
            </w:pPr>
          </w:p>
        </w:tc>
        <w:tc>
          <w:tcPr>
            <w:tcW w:w="800" w:type="dxa"/>
            <w:vAlign w:val="bottom"/>
            <w:gridSpan w:val="4"/>
            <w:shd w:val="clear" w:color="auto" w:fill="CBDBD1"/>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Item 6:</w:t>
              </w:r>
            </w:hyperlink>
          </w:p>
        </w:tc>
        <w:tc>
          <w:tcPr>
            <w:tcW w:w="5420" w:type="dxa"/>
            <w:vAlign w:val="bottom"/>
            <w:gridSpan w:val="16"/>
            <w:shd w:val="clear" w:color="auto" w:fill="CBDBD1"/>
          </w:tcPr>
          <w:p>
            <w:pPr>
              <w:ind w:left="140"/>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Exhibits</w:t>
              </w:r>
            </w:hyperlink>
          </w:p>
        </w:tc>
        <w:tc>
          <w:tcPr>
            <w:tcW w:w="360" w:type="dxa"/>
            <w:vAlign w:val="bottom"/>
            <w:gridSpan w:val="5"/>
            <w:shd w:val="clear" w:color="auto" w:fill="CBDBD1"/>
          </w:tcPr>
          <w:p>
            <w:pPr>
              <w:jc w:val="center"/>
              <w:ind w:right="20"/>
              <w:spacing w:after="0" w:line="176"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10</w:t>
              </w:r>
            </w:hyperlink>
          </w:p>
        </w:tc>
        <w:tc>
          <w:tcPr>
            <w:tcW w:w="260" w:type="dxa"/>
            <w:vAlign w:val="bottom"/>
            <w:shd w:val="clear" w:color="auto" w:fill="CBDBD1"/>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8"/>
        </w:trPr>
        <w:tc>
          <w:tcPr>
            <w:tcW w:w="230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00" w:type="dxa"/>
            <w:vAlign w:val="bottom"/>
            <w:tcBorders>
              <w:top w:val="single" w:sz="8" w:color="CBDBD1"/>
            </w:tcBorders>
          </w:tcPr>
          <w:p>
            <w:pPr>
              <w:spacing w:after="0"/>
              <w:rPr>
                <w:sz w:val="24"/>
                <w:szCs w:val="24"/>
                <w:color w:val="auto"/>
              </w:rPr>
            </w:pPr>
          </w:p>
        </w:tc>
        <w:tc>
          <w:tcPr>
            <w:tcW w:w="40" w:type="dxa"/>
            <w:vAlign w:val="bottom"/>
            <w:tcBorders>
              <w:top w:val="single" w:sz="8" w:color="CBDBD1"/>
            </w:tcBorders>
          </w:tcPr>
          <w:p>
            <w:pPr>
              <w:spacing w:after="0"/>
              <w:rPr>
                <w:sz w:val="24"/>
                <w:szCs w:val="24"/>
                <w:color w:val="auto"/>
              </w:rPr>
            </w:pPr>
          </w:p>
        </w:tc>
        <w:tc>
          <w:tcPr>
            <w:tcW w:w="160" w:type="dxa"/>
            <w:vAlign w:val="bottom"/>
            <w:tcBorders>
              <w:top w:val="single" w:sz="8" w:color="CBDBD1"/>
            </w:tcBorders>
          </w:tcPr>
          <w:p>
            <w:pPr>
              <w:spacing w:after="0"/>
              <w:rPr>
                <w:sz w:val="24"/>
                <w:szCs w:val="24"/>
                <w:color w:val="auto"/>
              </w:rPr>
            </w:pPr>
          </w:p>
        </w:tc>
        <w:tc>
          <w:tcPr>
            <w:tcW w:w="140" w:type="dxa"/>
            <w:vAlign w:val="bottom"/>
            <w:tcBorders>
              <w:top w:val="single" w:sz="8" w:color="CBDBD1"/>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200" w:type="dxa"/>
            <w:vAlign w:val="bottom"/>
            <w:tcBorders>
              <w:top w:val="single" w:sz="8" w:color="CBDBD1"/>
            </w:tcBorders>
            <w:gridSpan w:val="10"/>
          </w:tcPr>
          <w:p>
            <w:pPr>
              <w:jc w:val="center"/>
              <w:ind w:left="450"/>
              <w:spacing w:after="0"/>
              <w:rPr>
                <w:sz w:val="20"/>
                <w:szCs w:val="20"/>
                <w:color w:val="auto"/>
              </w:rPr>
            </w:pPr>
            <w:r>
              <w:rPr>
                <w:rFonts w:ascii="Arial" w:cs="Arial" w:eastAsia="Arial" w:hAnsi="Arial"/>
                <w:sz w:val="18"/>
                <w:szCs w:val="18"/>
                <w:color w:val="auto"/>
                <w:w w:val="99"/>
              </w:rPr>
              <w:t>2</w:t>
            </w:r>
          </w:p>
        </w:tc>
        <w:tc>
          <w:tcPr>
            <w:tcW w:w="160" w:type="dxa"/>
            <w:vAlign w:val="bottom"/>
            <w:tcBorders>
              <w:top w:val="single" w:sz="8" w:color="CBDBD1"/>
            </w:tcBorders>
          </w:tcPr>
          <w:p>
            <w:pPr>
              <w:spacing w:after="0"/>
              <w:rPr>
                <w:sz w:val="24"/>
                <w:szCs w:val="24"/>
                <w:color w:val="auto"/>
              </w:rPr>
            </w:pPr>
          </w:p>
        </w:tc>
        <w:tc>
          <w:tcPr>
            <w:tcW w:w="400" w:type="dxa"/>
            <w:vAlign w:val="bottom"/>
            <w:tcBorders>
              <w:top w:val="single" w:sz="8" w:color="CBDBD1"/>
            </w:tcBorders>
          </w:tcPr>
          <w:p>
            <w:pPr>
              <w:spacing w:after="0"/>
              <w:rPr>
                <w:sz w:val="24"/>
                <w:szCs w:val="24"/>
                <w:color w:val="auto"/>
              </w:rPr>
            </w:pPr>
          </w:p>
        </w:tc>
        <w:tc>
          <w:tcPr>
            <w:tcW w:w="500" w:type="dxa"/>
            <w:vAlign w:val="bottom"/>
            <w:tcBorders>
              <w:top w:val="single" w:sz="8" w:color="CBDBD1"/>
            </w:tcBorders>
          </w:tcPr>
          <w:p>
            <w:pPr>
              <w:spacing w:after="0"/>
              <w:rPr>
                <w:sz w:val="24"/>
                <w:szCs w:val="24"/>
                <w:color w:val="auto"/>
              </w:rPr>
            </w:pPr>
          </w:p>
        </w:tc>
        <w:tc>
          <w:tcPr>
            <w:tcW w:w="420" w:type="dxa"/>
            <w:vAlign w:val="bottom"/>
            <w:tcBorders>
              <w:top w:val="single" w:sz="8" w:color="CBDBD1"/>
            </w:tcBorders>
          </w:tcPr>
          <w:p>
            <w:pPr>
              <w:spacing w:after="0"/>
              <w:rPr>
                <w:sz w:val="24"/>
                <w:szCs w:val="24"/>
                <w:color w:val="auto"/>
              </w:rPr>
            </w:pPr>
          </w:p>
        </w:tc>
        <w:tc>
          <w:tcPr>
            <w:tcW w:w="80" w:type="dxa"/>
            <w:vAlign w:val="bottom"/>
            <w:tcBorders>
              <w:top w:val="single" w:sz="8" w:color="CBDBD1"/>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CBDBD1"/>
            </w:tcBorders>
          </w:tcPr>
          <w:p>
            <w:pPr>
              <w:spacing w:after="0"/>
              <w:rPr>
                <w:sz w:val="24"/>
                <w:szCs w:val="24"/>
                <w:color w:val="auto"/>
              </w:rPr>
            </w:pPr>
          </w:p>
        </w:tc>
        <w:tc>
          <w:tcPr>
            <w:tcW w:w="260" w:type="dxa"/>
            <w:vAlign w:val="bottom"/>
            <w:tcBorders>
              <w:top w:val="single" w:sz="8" w:color="CBDBD1"/>
            </w:tcBorders>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30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financial statements included in this Form 10-Q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 w:type="dxa"/>
            <w:vAlign w:val="bottom"/>
          </w:tcPr>
          <w:p>
            <w:pPr>
              <w:spacing w:after="0"/>
              <w:rPr>
                <w:rFonts w:ascii="Arial" w:cs="Arial" w:eastAsia="Arial" w:hAnsi="Arial"/>
                <w:sz w:val="18"/>
                <w:szCs w:val="18"/>
                <w:color w:val="0000EE"/>
                <w:w w:val="81"/>
              </w:rPr>
            </w:pPr>
            <w:hyperlink w:anchor="page4">
              <w:r>
                <w:rPr>
                  <w:rFonts w:ascii="Arial" w:cs="Arial" w:eastAsia="Arial" w:hAnsi="Arial"/>
                  <w:sz w:val="18"/>
                  <w:szCs w:val="18"/>
                  <w:color w:val="0000EE"/>
                  <w:w w:val="81"/>
                </w:rPr>
                <w:t>F-1</w:t>
              </w:r>
            </w:hyperlink>
          </w:p>
        </w:tc>
        <w:tc>
          <w:tcPr>
            <w:tcW w:w="620" w:type="dxa"/>
            <w:vAlign w:val="bottom"/>
          </w:tcPr>
          <w:p>
            <w:pPr>
              <w:spacing w:after="0"/>
              <w:rPr>
                <w:sz w:val="17"/>
                <w:szCs w:val="17"/>
                <w:color w:val="auto"/>
              </w:rPr>
            </w:pPr>
          </w:p>
        </w:tc>
        <w:tc>
          <w:tcPr>
            <w:tcW w:w="10420" w:type="dxa"/>
            <w:vAlign w:val="bottom"/>
            <w:gridSpan w:val="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Balance Sheets as of June 30, 2010 (unaudited) and December 31, 2009 (audited);</w:t>
              </w:r>
            </w:hyperlink>
          </w:p>
        </w:tc>
      </w:tr>
      <w:tr>
        <w:trPr>
          <w:trHeight w:val="20"/>
        </w:trPr>
        <w:tc>
          <w:tcPr>
            <w:tcW w:w="26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72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260" w:type="dxa"/>
            <w:vAlign w:val="bottom"/>
          </w:tcPr>
          <w:p>
            <w:pPr>
              <w:spacing w:after="0" w:line="196" w:lineRule="exact"/>
              <w:rPr>
                <w:rFonts w:ascii="Arial" w:cs="Arial" w:eastAsia="Arial" w:hAnsi="Arial"/>
                <w:sz w:val="18"/>
                <w:szCs w:val="18"/>
                <w:color w:val="0000EE"/>
                <w:w w:val="81"/>
              </w:rPr>
            </w:pPr>
            <w:hyperlink w:anchor="page5">
              <w:r>
                <w:rPr>
                  <w:rFonts w:ascii="Arial" w:cs="Arial" w:eastAsia="Arial" w:hAnsi="Arial"/>
                  <w:sz w:val="18"/>
                  <w:szCs w:val="18"/>
                  <w:color w:val="0000EE"/>
                  <w:w w:val="81"/>
                </w:rPr>
                <w:t>F-2</w:t>
              </w:r>
            </w:hyperlink>
          </w:p>
        </w:tc>
        <w:tc>
          <w:tcPr>
            <w:tcW w:w="620" w:type="dxa"/>
            <w:vAlign w:val="bottom"/>
          </w:tcPr>
          <w:p>
            <w:pPr>
              <w:spacing w:after="0"/>
              <w:rPr>
                <w:sz w:val="17"/>
                <w:szCs w:val="17"/>
                <w:color w:val="auto"/>
              </w:rPr>
            </w:pPr>
          </w:p>
        </w:tc>
        <w:tc>
          <w:tcPr>
            <w:tcW w:w="10420" w:type="dxa"/>
            <w:vAlign w:val="bottom"/>
            <w:gridSpan w:val="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Unaudited Consolidated Statements of Operations for the three months ended June 30, 2010 and 2009 (unaudited);</w:t>
              </w:r>
            </w:hyperlink>
          </w:p>
        </w:tc>
      </w:tr>
      <w:tr>
        <w:trPr>
          <w:trHeight w:val="20"/>
        </w:trPr>
        <w:tc>
          <w:tcPr>
            <w:tcW w:w="26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60" w:type="dxa"/>
            <w:vAlign w:val="bottom"/>
            <w:gridSpan w:val="2"/>
            <w:shd w:val="clear" w:color="auto" w:fill="0000EE"/>
          </w:tcPr>
          <w:p>
            <w:pPr>
              <w:spacing w:after="0" w:line="20" w:lineRule="exact"/>
              <w:rPr>
                <w:sz w:val="1"/>
                <w:szCs w:val="1"/>
                <w:color w:val="auto"/>
              </w:rPr>
            </w:pPr>
          </w:p>
        </w:tc>
        <w:tc>
          <w:tcPr>
            <w:tcW w:w="196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260" w:type="dxa"/>
            <w:vAlign w:val="bottom"/>
            <w:tcBorders>
              <w:bottom w:val="single" w:sz="8" w:color="0000EE"/>
            </w:tcBorders>
          </w:tcPr>
          <w:p>
            <w:pPr>
              <w:spacing w:after="0" w:line="196" w:lineRule="exact"/>
              <w:rPr>
                <w:rFonts w:ascii="Arial" w:cs="Arial" w:eastAsia="Arial" w:hAnsi="Arial"/>
                <w:sz w:val="18"/>
                <w:szCs w:val="18"/>
                <w:color w:val="0000EE"/>
                <w:w w:val="81"/>
              </w:rPr>
            </w:pPr>
            <w:hyperlink w:anchor="page6">
              <w:r>
                <w:rPr>
                  <w:rFonts w:ascii="Arial" w:cs="Arial" w:eastAsia="Arial" w:hAnsi="Arial"/>
                  <w:sz w:val="18"/>
                  <w:szCs w:val="18"/>
                  <w:color w:val="0000EE"/>
                  <w:w w:val="81"/>
                </w:rPr>
                <w:t>F-3</w:t>
              </w:r>
            </w:hyperlink>
          </w:p>
        </w:tc>
        <w:tc>
          <w:tcPr>
            <w:tcW w:w="620" w:type="dxa"/>
            <w:vAlign w:val="bottom"/>
          </w:tcPr>
          <w:p>
            <w:pPr>
              <w:spacing w:after="0"/>
              <w:rPr>
                <w:sz w:val="17"/>
                <w:szCs w:val="17"/>
                <w:color w:val="auto"/>
              </w:rPr>
            </w:pPr>
          </w:p>
        </w:tc>
        <w:tc>
          <w:tcPr>
            <w:tcW w:w="1020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Unaudited Consolidated Statements of Operations for the six months ended June 30, 2010 and 2009 and for the period from January 31, 2006</w:t>
              </w:r>
            </w:hyperlink>
          </w:p>
        </w:tc>
        <w:tc>
          <w:tcPr>
            <w:tcW w:w="220" w:type="dxa"/>
            <w:vAlign w:val="bottom"/>
          </w:tcPr>
          <w:p>
            <w:pPr>
              <w:spacing w:after="0"/>
              <w:rPr>
                <w:sz w:val="17"/>
                <w:szCs w:val="17"/>
                <w:color w:val="auto"/>
              </w:rPr>
            </w:pPr>
          </w:p>
        </w:tc>
      </w:tr>
      <w:tr>
        <w:trPr>
          <w:trHeight w:val="196"/>
        </w:trPr>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96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(Inception) to June 30, 2010 (unaudited);</w:t>
              </w:r>
            </w:hyperlink>
          </w:p>
        </w:tc>
        <w:tc>
          <w:tcPr>
            <w:tcW w:w="7460" w:type="dxa"/>
            <w:vAlign w:val="bottom"/>
            <w:gridSpan w:val="5"/>
          </w:tcPr>
          <w:p>
            <w:pPr>
              <w:spacing w:after="0"/>
              <w:rPr>
                <w:sz w:val="17"/>
                <w:szCs w:val="17"/>
                <w:color w:val="auto"/>
              </w:rPr>
            </w:pPr>
          </w:p>
        </w:tc>
      </w:tr>
      <w:tr>
        <w:trPr>
          <w:trHeight w:val="196"/>
        </w:trPr>
        <w:tc>
          <w:tcPr>
            <w:tcW w:w="260" w:type="dxa"/>
            <w:vAlign w:val="bottom"/>
          </w:tcPr>
          <w:p>
            <w:pPr>
              <w:spacing w:after="0" w:line="196" w:lineRule="exact"/>
              <w:rPr>
                <w:rFonts w:ascii="Arial" w:cs="Arial" w:eastAsia="Arial" w:hAnsi="Arial"/>
                <w:sz w:val="18"/>
                <w:szCs w:val="18"/>
                <w:color w:val="0000EE"/>
                <w:w w:val="81"/>
              </w:rPr>
            </w:pPr>
            <w:hyperlink w:anchor="page7">
              <w:r>
                <w:rPr>
                  <w:rFonts w:ascii="Arial" w:cs="Arial" w:eastAsia="Arial" w:hAnsi="Arial"/>
                  <w:sz w:val="18"/>
                  <w:szCs w:val="18"/>
                  <w:color w:val="0000EE"/>
                  <w:w w:val="81"/>
                </w:rPr>
                <w:t>F-4</w:t>
              </w:r>
            </w:hyperlink>
          </w:p>
        </w:tc>
        <w:tc>
          <w:tcPr>
            <w:tcW w:w="620" w:type="dxa"/>
            <w:vAlign w:val="bottom"/>
          </w:tcPr>
          <w:p>
            <w:pPr>
              <w:spacing w:after="0"/>
              <w:rPr>
                <w:sz w:val="17"/>
                <w:szCs w:val="17"/>
                <w:color w:val="auto"/>
              </w:rPr>
            </w:pPr>
          </w:p>
        </w:tc>
        <w:tc>
          <w:tcPr>
            <w:tcW w:w="10420" w:type="dxa"/>
            <w:vAlign w:val="bottom"/>
            <w:gridSpan w:val="7"/>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Statement of Stockholders’ Equity for the period from January 1, 2009 to June 30, 2010 (unaudited);</w:t>
              </w:r>
            </w:hyperlink>
          </w:p>
        </w:tc>
      </w:tr>
      <w:tr>
        <w:trPr>
          <w:trHeight w:val="20"/>
        </w:trPr>
        <w:tc>
          <w:tcPr>
            <w:tcW w:w="26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5060" w:type="dxa"/>
            <w:vAlign w:val="bottom"/>
            <w:gridSpan w:val="2"/>
            <w:shd w:val="clear" w:color="auto" w:fill="0000EE"/>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r>
      <w:tr>
        <w:trPr>
          <w:trHeight w:val="196"/>
        </w:trPr>
        <w:tc>
          <w:tcPr>
            <w:tcW w:w="260" w:type="dxa"/>
            <w:vAlign w:val="bottom"/>
            <w:tcBorders>
              <w:bottom w:val="single" w:sz="8" w:color="0000EE"/>
            </w:tcBorders>
          </w:tcPr>
          <w:p>
            <w:pPr>
              <w:spacing w:after="0" w:line="196" w:lineRule="exact"/>
              <w:rPr>
                <w:rFonts w:ascii="Arial" w:cs="Arial" w:eastAsia="Arial" w:hAnsi="Arial"/>
                <w:sz w:val="18"/>
                <w:szCs w:val="18"/>
                <w:color w:val="0000EE"/>
                <w:w w:val="81"/>
              </w:rPr>
            </w:pPr>
            <w:hyperlink w:anchor="page8">
              <w:r>
                <w:rPr>
                  <w:rFonts w:ascii="Arial" w:cs="Arial" w:eastAsia="Arial" w:hAnsi="Arial"/>
                  <w:sz w:val="18"/>
                  <w:szCs w:val="18"/>
                  <w:color w:val="0000EE"/>
                  <w:w w:val="81"/>
                </w:rPr>
                <w:t>F-5</w:t>
              </w:r>
            </w:hyperlink>
          </w:p>
        </w:tc>
        <w:tc>
          <w:tcPr>
            <w:tcW w:w="620" w:type="dxa"/>
            <w:vAlign w:val="bottom"/>
          </w:tcPr>
          <w:p>
            <w:pPr>
              <w:spacing w:after="0"/>
              <w:rPr>
                <w:sz w:val="17"/>
                <w:szCs w:val="17"/>
                <w:color w:val="auto"/>
              </w:rPr>
            </w:pPr>
          </w:p>
        </w:tc>
        <w:tc>
          <w:tcPr>
            <w:tcW w:w="1042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Consolidated Statements of Cash Flow for the six months ended June 30, 2010 and 2009 and for the period from January 31, 2006 (Inception) to</w:t>
              </w:r>
            </w:hyperlink>
          </w:p>
        </w:tc>
      </w:tr>
      <w:tr>
        <w:trPr>
          <w:trHeight w:val="196"/>
        </w:trPr>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20" w:type="dxa"/>
            <w:vAlign w:val="bottom"/>
            <w:gridSpan w:val="7"/>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June 30, 2010 (unaudited);</w:t>
              </w:r>
            </w:hyperlink>
          </w:p>
        </w:tc>
      </w:tr>
      <w:tr>
        <w:trPr>
          <w:trHeight w:val="20"/>
        </w:trPr>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7240" w:type="dxa"/>
            <w:vAlign w:val="bottom"/>
            <w:gridSpan w:val="4"/>
          </w:tcPr>
          <w:p>
            <w:pPr>
              <w:spacing w:after="0" w:line="20" w:lineRule="exact"/>
              <w:rPr>
                <w:sz w:val="1"/>
                <w:szCs w:val="1"/>
                <w:color w:val="auto"/>
              </w:rPr>
            </w:pPr>
          </w:p>
        </w:tc>
      </w:tr>
      <w:tr>
        <w:trPr>
          <w:trHeight w:val="196"/>
        </w:trPr>
        <w:tc>
          <w:tcPr>
            <w:tcW w:w="260" w:type="dxa"/>
            <w:vAlign w:val="bottom"/>
          </w:tcPr>
          <w:p>
            <w:pPr>
              <w:spacing w:after="0" w:line="196" w:lineRule="exact"/>
              <w:rPr>
                <w:rFonts w:ascii="Arial" w:cs="Arial" w:eastAsia="Arial" w:hAnsi="Arial"/>
                <w:sz w:val="18"/>
                <w:szCs w:val="18"/>
                <w:color w:val="0000EE"/>
                <w:w w:val="81"/>
              </w:rPr>
            </w:pPr>
            <w:hyperlink w:anchor="page9">
              <w:r>
                <w:rPr>
                  <w:rFonts w:ascii="Arial" w:cs="Arial" w:eastAsia="Arial" w:hAnsi="Arial"/>
                  <w:sz w:val="18"/>
                  <w:szCs w:val="18"/>
                  <w:color w:val="0000EE"/>
                  <w:w w:val="81"/>
                </w:rPr>
                <w:t>F-6</w:t>
              </w:r>
            </w:hyperlink>
          </w:p>
        </w:tc>
        <w:tc>
          <w:tcPr>
            <w:tcW w:w="620" w:type="dxa"/>
            <w:vAlign w:val="bottom"/>
          </w:tcPr>
          <w:p>
            <w:pPr>
              <w:spacing w:after="0"/>
              <w:rPr>
                <w:sz w:val="17"/>
                <w:szCs w:val="17"/>
                <w:color w:val="auto"/>
              </w:rPr>
            </w:pPr>
          </w:p>
        </w:tc>
        <w:tc>
          <w:tcPr>
            <w:tcW w:w="10420" w:type="dxa"/>
            <w:vAlign w:val="bottom"/>
            <w:gridSpan w:val="7"/>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Notes to Consolidated Financial Statements.</w:t>
              </w:r>
            </w:hyperlink>
          </w:p>
        </w:tc>
      </w:tr>
      <w:tr>
        <w:trPr>
          <w:trHeight w:val="20"/>
        </w:trPr>
        <w:tc>
          <w:tcPr>
            <w:tcW w:w="26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have been prepared in accordance with accounting principles generally accepted in the United States of America for interim financial information and the SEC instructions to Form 10-Q. In the opinion of management, all adjustments considered necessary for a fair presentation have been included. Operating results for the interim period ended June 30, 2010 are not necessarily indicative of the results that can be expected for the full year.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OPTIMIZERx CORPORATION</w:t>
      </w:r>
    </w:p>
    <w:p>
      <w:pPr>
        <w:spacing w:after="0" w:line="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OF JUNE 30, 2010 (UNAUDITED) AND DECEMBER 31, 2009 (AUDITED)</w:t>
      </w:r>
    </w:p>
    <w:p>
      <w:pPr>
        <w:spacing w:after="0" w:line="238"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00" w:type="dxa"/>
            <w:vAlign w:val="bottom"/>
            <w:vMerge w:val="restart"/>
          </w:tcPr>
          <w:p>
            <w:pPr>
              <w:ind w:left="2000"/>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18"/>
                <w:szCs w:val="18"/>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June 30, 2010</w:t>
            </w:r>
          </w:p>
        </w:tc>
        <w:tc>
          <w:tcPr>
            <w:tcW w:w="80" w:type="dxa"/>
            <w:vAlign w:val="bottom"/>
          </w:tcPr>
          <w:p>
            <w:pPr>
              <w:spacing w:after="0"/>
              <w:rPr>
                <w:sz w:val="18"/>
                <w:szCs w:val="18"/>
                <w:color w:val="auto"/>
              </w:rPr>
            </w:pPr>
          </w:p>
        </w:tc>
        <w:tc>
          <w:tcPr>
            <w:tcW w:w="1520" w:type="dxa"/>
            <w:vAlign w:val="bottom"/>
            <w:gridSpan w:val="3"/>
          </w:tcPr>
          <w:p>
            <w:pPr>
              <w:jc w:val="right"/>
              <w:ind w:right="60"/>
              <w:spacing w:after="0"/>
              <w:rPr>
                <w:sz w:val="20"/>
                <w:szCs w:val="20"/>
                <w:color w:val="auto"/>
              </w:rPr>
            </w:pPr>
            <w:r>
              <w:rPr>
                <w:rFonts w:ascii="Arial" w:cs="Arial" w:eastAsia="Arial" w:hAnsi="Arial"/>
                <w:sz w:val="18"/>
                <w:szCs w:val="18"/>
                <w:color w:val="auto"/>
                <w:w w:val="91"/>
              </w:rPr>
              <w:t>December 31, 2009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(Unaudited)</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(Audited)</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BDBD1"/>
          </w:tcPr>
          <w:p>
            <w:pPr>
              <w:ind w:left="30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BDBD1"/>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1,132,928</w:t>
            </w:r>
          </w:p>
        </w:tc>
        <w:tc>
          <w:tcPr>
            <w:tcW w:w="80" w:type="dxa"/>
            <w:vAlign w:val="bottom"/>
            <w:shd w:val="clear" w:color="auto" w:fill="CBDBD1"/>
          </w:tcPr>
          <w:p>
            <w:pPr>
              <w:spacing w:after="0"/>
              <w:rPr>
                <w:sz w:val="18"/>
                <w:szCs w:val="18"/>
                <w:color w:val="auto"/>
              </w:rPr>
            </w:pPr>
          </w:p>
        </w:tc>
        <w:tc>
          <w:tcPr>
            <w:tcW w:w="320" w:type="dxa"/>
            <w:vAlign w:val="bottom"/>
            <w:gridSpan w:val="2"/>
            <w:shd w:val="clear" w:color="auto" w:fill="CBDBD1"/>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656,394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0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675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BDBD1"/>
          </w:tcPr>
          <w:p>
            <w:pPr>
              <w:ind w:left="300"/>
              <w:spacing w:after="0"/>
              <w:rPr>
                <w:sz w:val="20"/>
                <w:szCs w:val="20"/>
                <w:color w:val="auto"/>
              </w:rPr>
            </w:pPr>
            <w:r>
              <w:rPr>
                <w:rFonts w:ascii="Arial" w:cs="Arial" w:eastAsia="Arial" w:hAnsi="Arial"/>
                <w:sz w:val="18"/>
                <w:szCs w:val="18"/>
                <w:color w:val="auto"/>
              </w:rPr>
              <w:t>Prepaid expenses</w:t>
            </w:r>
          </w:p>
        </w:tc>
        <w:tc>
          <w:tcPr>
            <w:tcW w:w="200" w:type="dxa"/>
            <w:vAlign w:val="bottom"/>
            <w:shd w:val="clear" w:color="auto" w:fill="CBDBD1"/>
          </w:tcPr>
          <w:p>
            <w:pPr>
              <w:spacing w:after="0"/>
              <w:rPr>
                <w:sz w:val="18"/>
                <w:szCs w:val="18"/>
                <w:color w:val="auto"/>
              </w:rPr>
            </w:pPr>
          </w:p>
        </w:tc>
        <w:tc>
          <w:tcPr>
            <w:tcW w:w="148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18,908</w:t>
            </w:r>
          </w:p>
        </w:tc>
        <w:tc>
          <w:tcPr>
            <w:tcW w:w="80" w:type="dxa"/>
            <w:vAlign w:val="bottom"/>
            <w:shd w:val="clear" w:color="auto" w:fill="CBDBD1"/>
          </w:tcPr>
          <w:p>
            <w:pPr>
              <w:spacing w:after="0"/>
              <w:rPr>
                <w:sz w:val="18"/>
                <w:szCs w:val="18"/>
                <w:color w:val="auto"/>
              </w:rPr>
            </w:pPr>
          </w:p>
        </w:tc>
        <w:tc>
          <w:tcPr>
            <w:tcW w:w="240" w:type="dxa"/>
            <w:vAlign w:val="bottom"/>
            <w:shd w:val="clear" w:color="auto" w:fill="CBDBD1"/>
          </w:tcPr>
          <w:p>
            <w:pPr>
              <w:spacing w:after="0"/>
              <w:rPr>
                <w:sz w:val="18"/>
                <w:szCs w:val="18"/>
                <w:color w:val="auto"/>
              </w:rPr>
            </w:pPr>
          </w:p>
        </w:tc>
        <w:tc>
          <w:tcPr>
            <w:tcW w:w="12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8,092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shd w:val="clear" w:color="auto" w:fill="CBDBD1"/>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80" w:type="dxa"/>
            <w:vAlign w:val="bottom"/>
            <w:shd w:val="clear" w:color="auto" w:fill="CBDBD1"/>
          </w:tcPr>
          <w:p>
            <w:pPr>
              <w:spacing w:after="0"/>
              <w:rPr>
                <w:sz w:val="2"/>
                <w:szCs w:val="2"/>
                <w:color w:val="auto"/>
              </w:rPr>
            </w:pPr>
          </w:p>
        </w:tc>
        <w:tc>
          <w:tcPr>
            <w:tcW w:w="80" w:type="dxa"/>
            <w:vAlign w:val="bottom"/>
            <w:shd w:val="clear" w:color="auto" w:fill="CBDBD1"/>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9"/>
                <w:szCs w:val="19"/>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1,152,511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678,951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shd w:val="clear" w:color="auto" w:fill="CBDBD1"/>
          </w:tcPr>
          <w:p>
            <w:pPr>
              <w:spacing w:after="0"/>
              <w:rPr>
                <w:sz w:val="18"/>
                <w:szCs w:val="18"/>
                <w:color w:val="auto"/>
              </w:rPr>
            </w:pPr>
          </w:p>
        </w:tc>
        <w:tc>
          <w:tcPr>
            <w:tcW w:w="200" w:type="dxa"/>
            <w:vAlign w:val="bottom"/>
            <w:tcBorders>
              <w:top w:val="single" w:sz="8" w:color="auto"/>
            </w:tcBorders>
            <w:shd w:val="clear" w:color="auto" w:fill="CBDBD1"/>
          </w:tcPr>
          <w:p>
            <w:pPr>
              <w:spacing w:after="0"/>
              <w:rPr>
                <w:sz w:val="18"/>
                <w:szCs w:val="18"/>
                <w:color w:val="auto"/>
              </w:rPr>
            </w:pPr>
          </w:p>
        </w:tc>
        <w:tc>
          <w:tcPr>
            <w:tcW w:w="1400" w:type="dxa"/>
            <w:vAlign w:val="bottom"/>
            <w:tcBorders>
              <w:top w:val="single" w:sz="8" w:color="auto"/>
            </w:tcBorders>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240" w:type="dxa"/>
            <w:vAlign w:val="bottom"/>
            <w:tcBorders>
              <w:top w:val="single" w:sz="8" w:color="auto"/>
            </w:tcBorders>
            <w:shd w:val="clear" w:color="auto" w:fill="CBDBD1"/>
          </w:tcPr>
          <w:p>
            <w:pPr>
              <w:spacing w:after="0"/>
              <w:rPr>
                <w:sz w:val="18"/>
                <w:szCs w:val="18"/>
                <w:color w:val="auto"/>
              </w:rPr>
            </w:pPr>
          </w:p>
        </w:tc>
        <w:tc>
          <w:tcPr>
            <w:tcW w:w="1260" w:type="dxa"/>
            <w:vAlign w:val="bottom"/>
            <w:tcBorders>
              <w:top w:val="single" w:sz="8" w:color="auto"/>
            </w:tcBorders>
            <w:shd w:val="clear" w:color="auto" w:fill="CBDBD1"/>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9"/>
                <w:szCs w:val="19"/>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12,737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13,581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shd w:val="clear" w:color="auto" w:fill="CBDBD1"/>
          </w:tcPr>
          <w:p>
            <w:pPr>
              <w:spacing w:after="0"/>
              <w:rPr>
                <w:sz w:val="18"/>
                <w:szCs w:val="18"/>
                <w:color w:val="auto"/>
              </w:rPr>
            </w:pPr>
          </w:p>
        </w:tc>
        <w:tc>
          <w:tcPr>
            <w:tcW w:w="200" w:type="dxa"/>
            <w:vAlign w:val="bottom"/>
            <w:tcBorders>
              <w:top w:val="single" w:sz="8" w:color="auto"/>
            </w:tcBorders>
            <w:shd w:val="clear" w:color="auto" w:fill="CBDBD1"/>
          </w:tcPr>
          <w:p>
            <w:pPr>
              <w:spacing w:after="0"/>
              <w:rPr>
                <w:sz w:val="18"/>
                <w:szCs w:val="18"/>
                <w:color w:val="auto"/>
              </w:rPr>
            </w:pPr>
          </w:p>
        </w:tc>
        <w:tc>
          <w:tcPr>
            <w:tcW w:w="1400" w:type="dxa"/>
            <w:vAlign w:val="bottom"/>
            <w:tcBorders>
              <w:top w:val="single" w:sz="8" w:color="auto"/>
            </w:tcBorders>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240" w:type="dxa"/>
            <w:vAlign w:val="bottom"/>
            <w:tcBorders>
              <w:top w:val="single" w:sz="8" w:color="auto"/>
            </w:tcBorders>
            <w:shd w:val="clear" w:color="auto" w:fill="CBDBD1"/>
          </w:tcPr>
          <w:p>
            <w:pPr>
              <w:spacing w:after="0"/>
              <w:rPr>
                <w:sz w:val="18"/>
                <w:szCs w:val="18"/>
                <w:color w:val="auto"/>
              </w:rPr>
            </w:pPr>
          </w:p>
        </w:tc>
        <w:tc>
          <w:tcPr>
            <w:tcW w:w="1260" w:type="dxa"/>
            <w:vAlign w:val="bottom"/>
            <w:tcBorders>
              <w:top w:val="single" w:sz="8" w:color="auto"/>
            </w:tcBorders>
            <w:shd w:val="clear" w:color="auto" w:fill="CBDBD1"/>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BDBD1"/>
          </w:tcPr>
          <w:p>
            <w:pPr>
              <w:ind w:left="300"/>
              <w:spacing w:after="0"/>
              <w:rPr>
                <w:sz w:val="20"/>
                <w:szCs w:val="20"/>
                <w:color w:val="auto"/>
              </w:rPr>
            </w:pPr>
            <w:r>
              <w:rPr>
                <w:rFonts w:ascii="Arial" w:cs="Arial" w:eastAsia="Arial" w:hAnsi="Arial"/>
                <w:sz w:val="18"/>
                <w:szCs w:val="18"/>
                <w:color w:val="auto"/>
              </w:rPr>
              <w:t>Patent rights</w:t>
            </w:r>
          </w:p>
        </w:tc>
        <w:tc>
          <w:tcPr>
            <w:tcW w:w="200" w:type="dxa"/>
            <w:vAlign w:val="bottom"/>
            <w:shd w:val="clear" w:color="auto" w:fill="CBDBD1"/>
          </w:tcPr>
          <w:p>
            <w:pPr>
              <w:spacing w:after="0"/>
              <w:rPr>
                <w:sz w:val="18"/>
                <w:szCs w:val="18"/>
                <w:color w:val="auto"/>
              </w:rPr>
            </w:pPr>
          </w:p>
        </w:tc>
        <w:tc>
          <w:tcPr>
            <w:tcW w:w="148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974,762</w:t>
            </w:r>
          </w:p>
        </w:tc>
        <w:tc>
          <w:tcPr>
            <w:tcW w:w="80" w:type="dxa"/>
            <w:vAlign w:val="bottom"/>
            <w:shd w:val="clear" w:color="auto" w:fill="CBDBD1"/>
          </w:tcPr>
          <w:p>
            <w:pPr>
              <w:spacing w:after="0"/>
              <w:rPr>
                <w:sz w:val="18"/>
                <w:szCs w:val="18"/>
                <w:color w:val="auto"/>
              </w:rPr>
            </w:pPr>
          </w:p>
        </w:tc>
        <w:tc>
          <w:tcPr>
            <w:tcW w:w="240" w:type="dxa"/>
            <w:vAlign w:val="bottom"/>
            <w:shd w:val="clear" w:color="auto" w:fill="CBDBD1"/>
          </w:tcPr>
          <w:p>
            <w:pPr>
              <w:spacing w:after="0"/>
              <w:rPr>
                <w:sz w:val="18"/>
                <w:szCs w:val="18"/>
                <w:color w:val="auto"/>
              </w:rPr>
            </w:pPr>
          </w:p>
        </w:tc>
        <w:tc>
          <w:tcPr>
            <w:tcW w:w="12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00"/>
              <w:spacing w:after="0"/>
              <w:rPr>
                <w:sz w:val="20"/>
                <w:szCs w:val="20"/>
                <w:color w:val="auto"/>
              </w:rPr>
            </w:pPr>
            <w:r>
              <w:rPr>
                <w:rFonts w:ascii="Arial" w:cs="Arial" w:eastAsia="Arial" w:hAnsi="Arial"/>
                <w:sz w:val="18"/>
                <w:szCs w:val="18"/>
                <w:color w:val="auto"/>
              </w:rPr>
              <w:t>License fees</w:t>
            </w:r>
          </w:p>
        </w:tc>
        <w:tc>
          <w:tcPr>
            <w:tcW w:w="20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40,000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shd w:val="clear" w:color="auto" w:fill="CBDBD1"/>
          </w:tcPr>
          <w:p>
            <w:pPr>
              <w:ind w:left="300"/>
              <w:spacing w:after="0"/>
              <w:rPr>
                <w:sz w:val="20"/>
                <w:szCs w:val="20"/>
                <w:color w:val="auto"/>
              </w:rPr>
            </w:pPr>
            <w:r>
              <w:rPr>
                <w:rFonts w:ascii="Arial" w:cs="Arial" w:eastAsia="Arial" w:hAnsi="Arial"/>
                <w:sz w:val="18"/>
                <w:szCs w:val="18"/>
                <w:color w:val="auto"/>
              </w:rPr>
              <w:t>Website development costs, net</w:t>
            </w:r>
          </w:p>
        </w:tc>
        <w:tc>
          <w:tcPr>
            <w:tcW w:w="200" w:type="dxa"/>
            <w:vAlign w:val="bottom"/>
            <w:shd w:val="clear" w:color="auto" w:fill="CBDBD1"/>
          </w:tcPr>
          <w:p>
            <w:pPr>
              <w:spacing w:after="0"/>
              <w:rPr>
                <w:sz w:val="19"/>
                <w:szCs w:val="19"/>
                <w:color w:val="auto"/>
              </w:rPr>
            </w:pPr>
          </w:p>
        </w:tc>
        <w:tc>
          <w:tcPr>
            <w:tcW w:w="148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271,856</w:t>
            </w:r>
          </w:p>
        </w:tc>
        <w:tc>
          <w:tcPr>
            <w:tcW w:w="80" w:type="dxa"/>
            <w:vAlign w:val="bottom"/>
            <w:shd w:val="clear" w:color="auto" w:fill="CBDBD1"/>
          </w:tcPr>
          <w:p>
            <w:pPr>
              <w:spacing w:after="0"/>
              <w:rPr>
                <w:sz w:val="19"/>
                <w:szCs w:val="19"/>
                <w:color w:val="auto"/>
              </w:rPr>
            </w:pPr>
          </w:p>
        </w:tc>
        <w:tc>
          <w:tcPr>
            <w:tcW w:w="240" w:type="dxa"/>
            <w:vAlign w:val="bottom"/>
            <w:shd w:val="clear" w:color="auto" w:fill="CBDBD1"/>
          </w:tcPr>
          <w:p>
            <w:pPr>
              <w:spacing w:after="0"/>
              <w:rPr>
                <w:sz w:val="19"/>
                <w:szCs w:val="19"/>
                <w:color w:val="auto"/>
              </w:rPr>
            </w:pPr>
          </w:p>
        </w:tc>
        <w:tc>
          <w:tcPr>
            <w:tcW w:w="12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197,610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Borders>
              <w:top w:val="single" w:sz="8" w:color="CBDBD1"/>
            </w:tcBorders>
          </w:tcPr>
          <w:p>
            <w:pPr>
              <w:spacing w:after="0"/>
              <w:rPr>
                <w:sz w:val="20"/>
                <w:szCs w:val="20"/>
                <w:color w:val="auto"/>
              </w:rPr>
            </w:pPr>
            <w:r>
              <w:rPr>
                <w:rFonts w:ascii="Arial" w:cs="Arial" w:eastAsia="Arial" w:hAnsi="Arial"/>
                <w:sz w:val="18"/>
                <w:szCs w:val="18"/>
                <w:color w:val="auto"/>
              </w:rPr>
              <w:t>Total Other Assets</w:t>
            </w:r>
          </w:p>
        </w:tc>
        <w:tc>
          <w:tcPr>
            <w:tcW w:w="2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1,286,618</w:t>
            </w:r>
          </w:p>
        </w:tc>
        <w:tc>
          <w:tcPr>
            <w:tcW w:w="80" w:type="dxa"/>
            <w:vAlign w:val="bottom"/>
            <w:tcBorders>
              <w:top w:val="single" w:sz="8" w:color="CBDBD1"/>
            </w:tcBorders>
          </w:tcPr>
          <w:p>
            <w:pPr>
              <w:spacing w:after="0"/>
              <w:rPr>
                <w:sz w:val="19"/>
                <w:szCs w:val="19"/>
                <w:color w:val="auto"/>
              </w:rPr>
            </w:pPr>
          </w:p>
        </w:tc>
        <w:tc>
          <w:tcPr>
            <w:tcW w:w="80" w:type="dxa"/>
            <w:vAlign w:val="bottom"/>
            <w:tcBorders>
              <w:top w:val="single" w:sz="8" w:color="CBDBD1"/>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197,610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shd w:val="clear" w:color="auto" w:fill="CBDBD1"/>
          </w:tcPr>
          <w:p>
            <w:pPr>
              <w:spacing w:after="0"/>
              <w:rPr>
                <w:sz w:val="18"/>
                <w:szCs w:val="18"/>
                <w:color w:val="auto"/>
              </w:rPr>
            </w:pPr>
          </w:p>
        </w:tc>
        <w:tc>
          <w:tcPr>
            <w:tcW w:w="200" w:type="dxa"/>
            <w:vAlign w:val="bottom"/>
            <w:shd w:val="clear" w:color="auto" w:fill="CBDBD1"/>
          </w:tcPr>
          <w:p>
            <w:pPr>
              <w:spacing w:after="0"/>
              <w:rPr>
                <w:sz w:val="18"/>
                <w:szCs w:val="18"/>
                <w:color w:val="auto"/>
              </w:rPr>
            </w:pPr>
          </w:p>
        </w:tc>
        <w:tc>
          <w:tcPr>
            <w:tcW w:w="140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240" w:type="dxa"/>
            <w:vAlign w:val="bottom"/>
            <w:shd w:val="clear" w:color="auto" w:fill="CBDBD1"/>
          </w:tcPr>
          <w:p>
            <w:pPr>
              <w:spacing w:after="0"/>
              <w:rPr>
                <w:sz w:val="18"/>
                <w:szCs w:val="18"/>
                <w:color w:val="auto"/>
              </w:rPr>
            </w:pPr>
          </w:p>
        </w:tc>
        <w:tc>
          <w:tcPr>
            <w:tcW w:w="1260" w:type="dxa"/>
            <w:vAlign w:val="bottom"/>
            <w:shd w:val="clear" w:color="auto" w:fill="CBDBD1"/>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TOTAL ASSETS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2,451,866</w:t>
            </w:r>
          </w:p>
        </w:tc>
        <w:tc>
          <w:tcPr>
            <w:tcW w:w="80" w:type="dxa"/>
            <w:vAlign w:val="bottom"/>
          </w:tcPr>
          <w:p>
            <w:pPr>
              <w:spacing w:after="0"/>
              <w:rPr>
                <w:sz w:val="18"/>
                <w:szCs w:val="18"/>
                <w:color w:val="auto"/>
              </w:rPr>
            </w:pP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890,142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shd w:val="clear" w:color="auto" w:fill="CBDBD1"/>
          </w:tcPr>
          <w:p>
            <w:pPr>
              <w:spacing w:after="0"/>
              <w:rPr>
                <w:sz w:val="18"/>
                <w:szCs w:val="18"/>
                <w:color w:val="auto"/>
              </w:rPr>
            </w:pPr>
          </w:p>
        </w:tc>
        <w:tc>
          <w:tcPr>
            <w:tcW w:w="200" w:type="dxa"/>
            <w:vAlign w:val="bottom"/>
            <w:shd w:val="clear" w:color="auto" w:fill="CBDBD1"/>
          </w:tcPr>
          <w:p>
            <w:pPr>
              <w:spacing w:after="0"/>
              <w:rPr>
                <w:sz w:val="18"/>
                <w:szCs w:val="18"/>
                <w:color w:val="auto"/>
              </w:rPr>
            </w:pPr>
          </w:p>
        </w:tc>
        <w:tc>
          <w:tcPr>
            <w:tcW w:w="140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240" w:type="dxa"/>
            <w:vAlign w:val="bottom"/>
            <w:shd w:val="clear" w:color="auto" w:fill="CBDBD1"/>
          </w:tcPr>
          <w:p>
            <w:pPr>
              <w:spacing w:after="0"/>
              <w:rPr>
                <w:sz w:val="18"/>
                <w:szCs w:val="18"/>
                <w:color w:val="auto"/>
              </w:rPr>
            </w:pPr>
          </w:p>
        </w:tc>
        <w:tc>
          <w:tcPr>
            <w:tcW w:w="1260" w:type="dxa"/>
            <w:vAlign w:val="bottom"/>
            <w:shd w:val="clear" w:color="auto" w:fill="CBDBD1"/>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BDBD1"/>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BDBD1"/>
          </w:tcPr>
          <w:p>
            <w:pPr>
              <w:spacing w:after="0"/>
              <w:rPr>
                <w:sz w:val="18"/>
                <w:szCs w:val="18"/>
                <w:color w:val="auto"/>
              </w:rPr>
            </w:pPr>
          </w:p>
        </w:tc>
        <w:tc>
          <w:tcPr>
            <w:tcW w:w="140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240" w:type="dxa"/>
            <w:vAlign w:val="bottom"/>
            <w:shd w:val="clear" w:color="auto" w:fill="CBDBD1"/>
          </w:tcPr>
          <w:p>
            <w:pPr>
              <w:spacing w:after="0"/>
              <w:rPr>
                <w:sz w:val="18"/>
                <w:szCs w:val="18"/>
                <w:color w:val="auto"/>
              </w:rPr>
            </w:pPr>
          </w:p>
        </w:tc>
        <w:tc>
          <w:tcPr>
            <w:tcW w:w="1260" w:type="dxa"/>
            <w:vAlign w:val="bottom"/>
            <w:shd w:val="clear" w:color="auto" w:fill="CBDBD1"/>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00"/>
              <w:spacing w:after="0"/>
              <w:rPr>
                <w:sz w:val="20"/>
                <w:szCs w:val="20"/>
                <w:color w:val="auto"/>
              </w:rPr>
            </w:pPr>
            <w:r>
              <w:rPr>
                <w:rFonts w:ascii="Arial" w:cs="Arial" w:eastAsia="Arial" w:hAnsi="Arial"/>
                <w:sz w:val="18"/>
                <w:szCs w:val="18"/>
                <w:color w:val="auto"/>
              </w:rPr>
              <w:t>Accounts payable - trade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50,772</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33,224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BDBD1"/>
          </w:tcPr>
          <w:p>
            <w:pPr>
              <w:ind w:left="300"/>
              <w:spacing w:after="0"/>
              <w:rPr>
                <w:sz w:val="20"/>
                <w:szCs w:val="20"/>
                <w:color w:val="auto"/>
              </w:rPr>
            </w:pPr>
            <w:r>
              <w:rPr>
                <w:rFonts w:ascii="Arial" w:cs="Arial" w:eastAsia="Arial" w:hAnsi="Arial"/>
                <w:sz w:val="18"/>
                <w:szCs w:val="18"/>
                <w:color w:val="auto"/>
              </w:rPr>
              <w:t>Accounts payable – related party</w:t>
            </w:r>
          </w:p>
        </w:tc>
        <w:tc>
          <w:tcPr>
            <w:tcW w:w="200" w:type="dxa"/>
            <w:vAlign w:val="bottom"/>
            <w:shd w:val="clear" w:color="auto" w:fill="CBDBD1"/>
          </w:tcPr>
          <w:p>
            <w:pPr>
              <w:spacing w:after="0"/>
              <w:rPr>
                <w:sz w:val="18"/>
                <w:szCs w:val="18"/>
                <w:color w:val="auto"/>
              </w:rPr>
            </w:pPr>
          </w:p>
        </w:tc>
        <w:tc>
          <w:tcPr>
            <w:tcW w:w="148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570,000</w:t>
            </w:r>
          </w:p>
        </w:tc>
        <w:tc>
          <w:tcPr>
            <w:tcW w:w="80" w:type="dxa"/>
            <w:vAlign w:val="bottom"/>
            <w:shd w:val="clear" w:color="auto" w:fill="CBDBD1"/>
          </w:tcPr>
          <w:p>
            <w:pPr>
              <w:spacing w:after="0"/>
              <w:rPr>
                <w:sz w:val="18"/>
                <w:szCs w:val="18"/>
                <w:color w:val="auto"/>
              </w:rPr>
            </w:pPr>
          </w:p>
        </w:tc>
        <w:tc>
          <w:tcPr>
            <w:tcW w:w="240" w:type="dxa"/>
            <w:vAlign w:val="bottom"/>
            <w:shd w:val="clear" w:color="auto" w:fill="CBDBD1"/>
          </w:tcPr>
          <w:p>
            <w:pPr>
              <w:spacing w:after="0"/>
              <w:rPr>
                <w:sz w:val="18"/>
                <w:szCs w:val="18"/>
                <w:color w:val="auto"/>
              </w:rPr>
            </w:pPr>
          </w:p>
        </w:tc>
        <w:tc>
          <w:tcPr>
            <w:tcW w:w="12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0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700" w:type="dxa"/>
            <w:vAlign w:val="bottom"/>
            <w:shd w:val="clear" w:color="auto" w:fill="CBDBD1"/>
          </w:tcPr>
          <w:p>
            <w:pPr>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BDBD1"/>
          </w:tcPr>
          <w:p>
            <w:pPr>
              <w:spacing w:after="0"/>
              <w:rPr>
                <w:sz w:val="19"/>
                <w:szCs w:val="19"/>
                <w:color w:val="auto"/>
              </w:rPr>
            </w:pPr>
          </w:p>
        </w:tc>
        <w:tc>
          <w:tcPr>
            <w:tcW w:w="148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620,772</w:t>
            </w:r>
          </w:p>
        </w:tc>
        <w:tc>
          <w:tcPr>
            <w:tcW w:w="80" w:type="dxa"/>
            <w:vAlign w:val="bottom"/>
            <w:shd w:val="clear" w:color="auto" w:fill="CBDBD1"/>
          </w:tcPr>
          <w:p>
            <w:pPr>
              <w:spacing w:after="0"/>
              <w:rPr>
                <w:sz w:val="19"/>
                <w:szCs w:val="19"/>
                <w:color w:val="auto"/>
              </w:rPr>
            </w:pPr>
          </w:p>
        </w:tc>
        <w:tc>
          <w:tcPr>
            <w:tcW w:w="240" w:type="dxa"/>
            <w:vAlign w:val="bottom"/>
            <w:shd w:val="clear" w:color="auto" w:fill="CBDBD1"/>
          </w:tcPr>
          <w:p>
            <w:pPr>
              <w:spacing w:after="0"/>
              <w:rPr>
                <w:sz w:val="19"/>
                <w:szCs w:val="19"/>
                <w:color w:val="auto"/>
              </w:rPr>
            </w:pPr>
          </w:p>
        </w:tc>
        <w:tc>
          <w:tcPr>
            <w:tcW w:w="12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37,830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Borders>
              <w:top w:val="single" w:sz="8" w:color="CBDBD1"/>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80" w:type="dxa"/>
            <w:vAlign w:val="bottom"/>
            <w:tcBorders>
              <w:top w:val="single" w:sz="8" w:color="CBDBD1"/>
            </w:tcBorders>
          </w:tcPr>
          <w:p>
            <w:pPr>
              <w:spacing w:after="0"/>
              <w:rPr>
                <w:sz w:val="18"/>
                <w:szCs w:val="18"/>
                <w:color w:val="auto"/>
              </w:rPr>
            </w:pPr>
          </w:p>
        </w:tc>
        <w:tc>
          <w:tcPr>
            <w:tcW w:w="80" w:type="dxa"/>
            <w:vAlign w:val="bottom"/>
            <w:tcBorders>
              <w:top w:val="single" w:sz="8" w:color="CBDBD1"/>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BDBD1"/>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BDBD1"/>
          </w:tcPr>
          <w:p>
            <w:pPr>
              <w:spacing w:after="0"/>
              <w:rPr>
                <w:sz w:val="18"/>
                <w:szCs w:val="18"/>
                <w:color w:val="auto"/>
              </w:rPr>
            </w:pPr>
          </w:p>
        </w:tc>
        <w:tc>
          <w:tcPr>
            <w:tcW w:w="140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240" w:type="dxa"/>
            <w:vAlign w:val="bottom"/>
            <w:shd w:val="clear" w:color="auto" w:fill="CBDBD1"/>
          </w:tcPr>
          <w:p>
            <w:pPr>
              <w:spacing w:after="0"/>
              <w:rPr>
                <w:sz w:val="18"/>
                <w:szCs w:val="18"/>
                <w:color w:val="auto"/>
              </w:rPr>
            </w:pPr>
          </w:p>
        </w:tc>
        <w:tc>
          <w:tcPr>
            <w:tcW w:w="1260" w:type="dxa"/>
            <w:vAlign w:val="bottom"/>
            <w:shd w:val="clear" w:color="auto" w:fill="CBDBD1"/>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tcPr>
          <w:p>
            <w:pPr>
              <w:ind w:left="300"/>
              <w:spacing w:after="0" w:line="201" w:lineRule="exact"/>
              <w:rPr>
                <w:sz w:val="20"/>
                <w:szCs w:val="20"/>
                <w:color w:val="auto"/>
              </w:rPr>
            </w:pPr>
            <w:r>
              <w:rPr>
                <w:rFonts w:ascii="Arial" w:cs="Arial" w:eastAsia="Arial" w:hAnsi="Arial"/>
                <w:sz w:val="18"/>
                <w:szCs w:val="18"/>
                <w:color w:val="auto"/>
              </w:rPr>
              <w:t>Common stock, $0.001 par value, 500,000,000 shares</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00"/>
              <w:spacing w:after="0"/>
              <w:rPr>
                <w:sz w:val="20"/>
                <w:szCs w:val="20"/>
                <w:color w:val="auto"/>
              </w:rPr>
            </w:pPr>
            <w:r>
              <w:rPr>
                <w:rFonts w:ascii="Arial" w:cs="Arial" w:eastAsia="Arial" w:hAnsi="Arial"/>
                <w:sz w:val="18"/>
                <w:szCs w:val="18"/>
                <w:color w:val="auto"/>
              </w:rPr>
              <w:t>authorized,</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00"/>
              <w:spacing w:after="0"/>
              <w:rPr>
                <w:sz w:val="20"/>
                <w:szCs w:val="20"/>
                <w:color w:val="auto"/>
              </w:rPr>
            </w:pPr>
            <w:r>
              <w:rPr>
                <w:rFonts w:ascii="Arial" w:cs="Arial" w:eastAsia="Arial" w:hAnsi="Arial"/>
                <w:sz w:val="18"/>
                <w:szCs w:val="18"/>
                <w:color w:val="auto"/>
                <w:w w:val="96"/>
              </w:rPr>
              <w:t>13,233,754 shares issued and outstanding (12,826,117 –</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20" w:type="dxa"/>
            <w:vAlign w:val="bottom"/>
            <w:gridSpan w:val="2"/>
          </w:tcPr>
          <w:p>
            <w:pPr>
              <w:ind w:left="320"/>
              <w:spacing w:after="0"/>
              <w:rPr>
                <w:sz w:val="20"/>
                <w:szCs w:val="20"/>
                <w:color w:val="auto"/>
              </w:rPr>
            </w:pPr>
            <w:r>
              <w:rPr>
                <w:rFonts w:ascii="Arial" w:cs="Arial" w:eastAsia="Arial" w:hAnsi="Arial"/>
                <w:sz w:val="18"/>
                <w:szCs w:val="18"/>
                <w:color w:val="auto"/>
              </w:rPr>
              <w:t>2009)</w:t>
            </w:r>
          </w:p>
        </w:tc>
        <w:tc>
          <w:tcPr>
            <w:tcW w:w="200" w:type="dxa"/>
            <w:vAlign w:val="bottom"/>
          </w:tcPr>
          <w:p>
            <w:pPr>
              <w:spacing w:after="0"/>
              <w:rPr>
                <w:sz w:val="20"/>
                <w:szCs w:val="20"/>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13,234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12,826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shd w:val="clear" w:color="auto" w:fill="CBDBD1"/>
          </w:tcPr>
          <w:p>
            <w:pPr>
              <w:ind w:left="300"/>
              <w:spacing w:after="0" w:line="201" w:lineRule="exact"/>
              <w:rPr>
                <w:sz w:val="20"/>
                <w:szCs w:val="20"/>
                <w:color w:val="auto"/>
              </w:rPr>
            </w:pPr>
            <w:r>
              <w:rPr>
                <w:rFonts w:ascii="Arial" w:cs="Arial" w:eastAsia="Arial" w:hAnsi="Arial"/>
                <w:sz w:val="18"/>
                <w:szCs w:val="18"/>
                <w:color w:val="auto"/>
                <w:w w:val="91"/>
              </w:rPr>
              <w:t>Series A Convertible Preferred stock, $.001 par value, 1,000</w:t>
            </w:r>
          </w:p>
        </w:tc>
        <w:tc>
          <w:tcPr>
            <w:tcW w:w="200" w:type="dxa"/>
            <w:vAlign w:val="bottom"/>
            <w:shd w:val="clear" w:color="auto" w:fill="CBDBD1"/>
          </w:tcPr>
          <w:p>
            <w:pPr>
              <w:spacing w:after="0"/>
              <w:rPr>
                <w:sz w:val="17"/>
                <w:szCs w:val="17"/>
                <w:color w:val="auto"/>
              </w:rPr>
            </w:pPr>
          </w:p>
        </w:tc>
        <w:tc>
          <w:tcPr>
            <w:tcW w:w="140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240" w:type="dxa"/>
            <w:vAlign w:val="bottom"/>
            <w:shd w:val="clear" w:color="auto" w:fill="CBDBD1"/>
          </w:tcPr>
          <w:p>
            <w:pPr>
              <w:spacing w:after="0"/>
              <w:rPr>
                <w:sz w:val="17"/>
                <w:szCs w:val="17"/>
                <w:color w:val="auto"/>
              </w:rPr>
            </w:pPr>
          </w:p>
        </w:tc>
        <w:tc>
          <w:tcPr>
            <w:tcW w:w="1260" w:type="dxa"/>
            <w:vAlign w:val="bottom"/>
            <w:shd w:val="clear" w:color="auto" w:fill="CBDBD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BDBD1"/>
          </w:tcPr>
          <w:p>
            <w:pPr>
              <w:ind w:left="300"/>
              <w:spacing w:after="0"/>
              <w:rPr>
                <w:sz w:val="20"/>
                <w:szCs w:val="20"/>
                <w:color w:val="auto"/>
              </w:rPr>
            </w:pPr>
            <w:r>
              <w:rPr>
                <w:rFonts w:ascii="Arial" w:cs="Arial" w:eastAsia="Arial" w:hAnsi="Arial"/>
                <w:sz w:val="18"/>
                <w:szCs w:val="18"/>
                <w:color w:val="auto"/>
              </w:rPr>
              <w:t>shares authorized,</w:t>
            </w:r>
          </w:p>
        </w:tc>
        <w:tc>
          <w:tcPr>
            <w:tcW w:w="200" w:type="dxa"/>
            <w:vAlign w:val="bottom"/>
            <w:shd w:val="clear" w:color="auto" w:fill="CBDBD1"/>
          </w:tcPr>
          <w:p>
            <w:pPr>
              <w:spacing w:after="0"/>
              <w:rPr>
                <w:sz w:val="18"/>
                <w:szCs w:val="18"/>
                <w:color w:val="auto"/>
              </w:rPr>
            </w:pPr>
          </w:p>
        </w:tc>
        <w:tc>
          <w:tcPr>
            <w:tcW w:w="140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240" w:type="dxa"/>
            <w:vAlign w:val="bottom"/>
            <w:shd w:val="clear" w:color="auto" w:fill="CBDBD1"/>
          </w:tcPr>
          <w:p>
            <w:pPr>
              <w:spacing w:after="0"/>
              <w:rPr>
                <w:sz w:val="18"/>
                <w:szCs w:val="18"/>
                <w:color w:val="auto"/>
              </w:rPr>
            </w:pPr>
          </w:p>
        </w:tc>
        <w:tc>
          <w:tcPr>
            <w:tcW w:w="1260" w:type="dxa"/>
            <w:vAlign w:val="bottom"/>
            <w:shd w:val="clear" w:color="auto" w:fill="CBDBD1"/>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shd w:val="clear" w:color="auto" w:fill="CBDBD1"/>
          </w:tcPr>
          <w:p>
            <w:pPr>
              <w:ind w:left="300"/>
              <w:spacing w:after="0"/>
              <w:rPr>
                <w:sz w:val="20"/>
                <w:szCs w:val="20"/>
                <w:color w:val="auto"/>
              </w:rPr>
            </w:pPr>
            <w:r>
              <w:rPr>
                <w:rFonts w:ascii="Arial" w:cs="Arial" w:eastAsia="Arial" w:hAnsi="Arial"/>
                <w:sz w:val="18"/>
                <w:szCs w:val="18"/>
                <w:color w:val="auto"/>
              </w:rPr>
              <w:t>35 shares issued and outstanding (35 – 2009)</w:t>
            </w:r>
          </w:p>
        </w:tc>
        <w:tc>
          <w:tcPr>
            <w:tcW w:w="200" w:type="dxa"/>
            <w:vAlign w:val="bottom"/>
            <w:shd w:val="clear" w:color="auto" w:fill="CBDBD1"/>
          </w:tcPr>
          <w:p>
            <w:pPr>
              <w:spacing w:after="0"/>
              <w:rPr>
                <w:sz w:val="20"/>
                <w:szCs w:val="20"/>
                <w:color w:val="auto"/>
              </w:rPr>
            </w:pPr>
          </w:p>
        </w:tc>
        <w:tc>
          <w:tcPr>
            <w:tcW w:w="148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0</w:t>
            </w:r>
          </w:p>
        </w:tc>
        <w:tc>
          <w:tcPr>
            <w:tcW w:w="80" w:type="dxa"/>
            <w:vAlign w:val="bottom"/>
            <w:shd w:val="clear" w:color="auto" w:fill="CBDBD1"/>
          </w:tcPr>
          <w:p>
            <w:pPr>
              <w:spacing w:after="0"/>
              <w:rPr>
                <w:sz w:val="20"/>
                <w:szCs w:val="20"/>
                <w:color w:val="auto"/>
              </w:rPr>
            </w:pPr>
          </w:p>
        </w:tc>
        <w:tc>
          <w:tcPr>
            <w:tcW w:w="240" w:type="dxa"/>
            <w:vAlign w:val="bottom"/>
            <w:shd w:val="clear" w:color="auto" w:fill="CBDBD1"/>
          </w:tcPr>
          <w:p>
            <w:pPr>
              <w:spacing w:after="0"/>
              <w:rPr>
                <w:sz w:val="20"/>
                <w:szCs w:val="20"/>
                <w:color w:val="auto"/>
              </w:rPr>
            </w:pPr>
          </w:p>
        </w:tc>
        <w:tc>
          <w:tcPr>
            <w:tcW w:w="12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tcPr>
          <w:p>
            <w:pPr>
              <w:ind w:left="300"/>
              <w:spacing w:after="0" w:line="201" w:lineRule="exact"/>
              <w:rPr>
                <w:sz w:val="20"/>
                <w:szCs w:val="20"/>
                <w:color w:val="auto"/>
              </w:rPr>
            </w:pPr>
            <w:r>
              <w:rPr>
                <w:rFonts w:ascii="Arial" w:cs="Arial" w:eastAsia="Arial" w:hAnsi="Arial"/>
                <w:sz w:val="18"/>
                <w:szCs w:val="18"/>
                <w:color w:val="auto"/>
                <w:w w:val="91"/>
              </w:rPr>
              <w:t>Series B Convertible Preferred stock, $.001 par value, 1,000</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00"/>
              <w:spacing w:after="0"/>
              <w:rPr>
                <w:sz w:val="20"/>
                <w:szCs w:val="20"/>
                <w:color w:val="auto"/>
              </w:rPr>
            </w:pPr>
            <w:r>
              <w:rPr>
                <w:rFonts w:ascii="Arial" w:cs="Arial" w:eastAsia="Arial" w:hAnsi="Arial"/>
                <w:sz w:val="18"/>
                <w:szCs w:val="18"/>
                <w:color w:val="auto"/>
              </w:rPr>
              <w:t>shares authorized,</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tcPr>
          <w:p>
            <w:pPr>
              <w:ind w:left="300"/>
              <w:spacing w:after="0"/>
              <w:rPr>
                <w:sz w:val="20"/>
                <w:szCs w:val="20"/>
                <w:color w:val="auto"/>
              </w:rPr>
            </w:pPr>
            <w:r>
              <w:rPr>
                <w:rFonts w:ascii="Arial" w:cs="Arial" w:eastAsia="Arial" w:hAnsi="Arial"/>
                <w:sz w:val="18"/>
                <w:szCs w:val="18"/>
                <w:color w:val="auto"/>
              </w:rPr>
              <w:t>15 shares issued and outstanding (0 – 2009)</w:t>
            </w:r>
          </w:p>
        </w:tc>
        <w:tc>
          <w:tcPr>
            <w:tcW w:w="200" w:type="dxa"/>
            <w:vAlign w:val="bottom"/>
          </w:tcPr>
          <w:p>
            <w:pPr>
              <w:spacing w:after="0"/>
              <w:rPr>
                <w:sz w:val="20"/>
                <w:szCs w:val="20"/>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BDBD1"/>
          </w:tcPr>
          <w:p>
            <w:pPr>
              <w:ind w:left="300"/>
              <w:spacing w:after="0"/>
              <w:rPr>
                <w:sz w:val="20"/>
                <w:szCs w:val="20"/>
                <w:color w:val="auto"/>
              </w:rPr>
            </w:pPr>
            <w:r>
              <w:rPr>
                <w:rFonts w:ascii="Arial" w:cs="Arial" w:eastAsia="Arial" w:hAnsi="Arial"/>
                <w:sz w:val="18"/>
                <w:szCs w:val="18"/>
                <w:color w:val="auto"/>
              </w:rPr>
              <w:t>Stock warrants</w:t>
            </w:r>
          </w:p>
        </w:tc>
        <w:tc>
          <w:tcPr>
            <w:tcW w:w="200" w:type="dxa"/>
            <w:vAlign w:val="bottom"/>
            <w:shd w:val="clear" w:color="auto" w:fill="CBDBD1"/>
          </w:tcPr>
          <w:p>
            <w:pPr>
              <w:spacing w:after="0"/>
              <w:rPr>
                <w:sz w:val="18"/>
                <w:szCs w:val="18"/>
                <w:color w:val="auto"/>
              </w:rPr>
            </w:pPr>
          </w:p>
        </w:tc>
        <w:tc>
          <w:tcPr>
            <w:tcW w:w="148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23,072,027</w:t>
            </w:r>
          </w:p>
        </w:tc>
        <w:tc>
          <w:tcPr>
            <w:tcW w:w="80" w:type="dxa"/>
            <w:vAlign w:val="bottom"/>
            <w:shd w:val="clear" w:color="auto" w:fill="CBDBD1"/>
          </w:tcPr>
          <w:p>
            <w:pPr>
              <w:spacing w:after="0"/>
              <w:rPr>
                <w:sz w:val="18"/>
                <w:szCs w:val="18"/>
                <w:color w:val="auto"/>
              </w:rPr>
            </w:pPr>
          </w:p>
        </w:tc>
        <w:tc>
          <w:tcPr>
            <w:tcW w:w="240" w:type="dxa"/>
            <w:vAlign w:val="bottom"/>
            <w:shd w:val="clear" w:color="auto" w:fill="CBDBD1"/>
          </w:tcPr>
          <w:p>
            <w:pPr>
              <w:spacing w:after="0"/>
              <w:rPr>
                <w:sz w:val="18"/>
                <w:szCs w:val="18"/>
                <w:color w:val="auto"/>
              </w:rPr>
            </w:pPr>
          </w:p>
        </w:tc>
        <w:tc>
          <w:tcPr>
            <w:tcW w:w="12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18,139,252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00"/>
              <w:spacing w:after="0"/>
              <w:rPr>
                <w:sz w:val="20"/>
                <w:szCs w:val="20"/>
                <w:color w:val="auto"/>
              </w:rPr>
            </w:pPr>
            <w:r>
              <w:rPr>
                <w:rFonts w:ascii="Arial" w:cs="Arial" w:eastAsia="Arial" w:hAnsi="Arial"/>
                <w:sz w:val="18"/>
                <w:szCs w:val="18"/>
                <w:color w:val="auto"/>
              </w:rPr>
              <w:t>Additional paid-in-capital</w:t>
            </w:r>
          </w:p>
        </w:tc>
        <w:tc>
          <w:tcPr>
            <w:tcW w:w="20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1,747,962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shd w:val="clear" w:color="auto" w:fill="CBDBD1"/>
          </w:tcPr>
          <w:p>
            <w:pPr>
              <w:ind w:left="300"/>
              <w:spacing w:after="0"/>
              <w:rPr>
                <w:sz w:val="20"/>
                <w:szCs w:val="20"/>
                <w:color w:val="auto"/>
              </w:rPr>
            </w:pPr>
            <w:r>
              <w:rPr>
                <w:rFonts w:ascii="Arial" w:cs="Arial" w:eastAsia="Arial" w:hAnsi="Arial"/>
                <w:sz w:val="18"/>
                <w:szCs w:val="18"/>
                <w:color w:val="auto"/>
              </w:rPr>
              <w:t>Deficit accumulated during the development stage</w:t>
            </w:r>
          </w:p>
        </w:tc>
        <w:tc>
          <w:tcPr>
            <w:tcW w:w="200" w:type="dxa"/>
            <w:vAlign w:val="bottom"/>
            <w:shd w:val="clear" w:color="auto" w:fill="CBDBD1"/>
          </w:tcPr>
          <w:p>
            <w:pPr>
              <w:spacing w:after="0"/>
              <w:rPr>
                <w:sz w:val="19"/>
                <w:szCs w:val="19"/>
                <w:color w:val="auto"/>
              </w:rPr>
            </w:pPr>
          </w:p>
        </w:tc>
        <w:tc>
          <w:tcPr>
            <w:tcW w:w="148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(21,254,167)</w:t>
            </w:r>
          </w:p>
        </w:tc>
        <w:tc>
          <w:tcPr>
            <w:tcW w:w="80" w:type="dxa"/>
            <w:vAlign w:val="bottom"/>
            <w:shd w:val="clear" w:color="auto" w:fill="CBDBD1"/>
          </w:tcPr>
          <w:p>
            <w:pPr>
              <w:spacing w:after="0"/>
              <w:rPr>
                <w:sz w:val="19"/>
                <w:szCs w:val="19"/>
                <w:color w:val="auto"/>
              </w:rPr>
            </w:pPr>
          </w:p>
        </w:tc>
        <w:tc>
          <w:tcPr>
            <w:tcW w:w="240" w:type="dxa"/>
            <w:vAlign w:val="bottom"/>
            <w:shd w:val="clear" w:color="auto" w:fill="CBDBD1"/>
          </w:tcPr>
          <w:p>
            <w:pPr>
              <w:spacing w:after="0"/>
              <w:rPr>
                <w:sz w:val="19"/>
                <w:szCs w:val="19"/>
                <w:color w:val="auto"/>
              </w:rPr>
            </w:pPr>
          </w:p>
        </w:tc>
        <w:tc>
          <w:tcPr>
            <w:tcW w:w="12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(19,047,728)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Borders>
              <w:top w:val="single" w:sz="8" w:color="CBDBD1"/>
            </w:tcBorders>
          </w:tcPr>
          <w:p>
            <w:pPr>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1,831,094</w:t>
            </w:r>
          </w:p>
        </w:tc>
        <w:tc>
          <w:tcPr>
            <w:tcW w:w="80" w:type="dxa"/>
            <w:vAlign w:val="bottom"/>
            <w:tcBorders>
              <w:top w:val="single" w:sz="8" w:color="CBDBD1"/>
            </w:tcBorders>
          </w:tcPr>
          <w:p>
            <w:pPr>
              <w:spacing w:after="0"/>
              <w:rPr>
                <w:sz w:val="19"/>
                <w:szCs w:val="19"/>
                <w:color w:val="auto"/>
              </w:rPr>
            </w:pPr>
          </w:p>
        </w:tc>
        <w:tc>
          <w:tcPr>
            <w:tcW w:w="80" w:type="dxa"/>
            <w:vAlign w:val="bottom"/>
            <w:tcBorders>
              <w:top w:val="single" w:sz="8" w:color="CBDBD1"/>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852,312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shd w:val="clear" w:color="auto" w:fill="CBDBD1"/>
          </w:tcPr>
          <w:p>
            <w:pPr>
              <w:spacing w:after="0"/>
              <w:rPr>
                <w:sz w:val="18"/>
                <w:szCs w:val="18"/>
                <w:color w:val="auto"/>
              </w:rPr>
            </w:pPr>
          </w:p>
        </w:tc>
        <w:tc>
          <w:tcPr>
            <w:tcW w:w="200" w:type="dxa"/>
            <w:vAlign w:val="bottom"/>
            <w:shd w:val="clear" w:color="auto" w:fill="CBDBD1"/>
          </w:tcPr>
          <w:p>
            <w:pPr>
              <w:spacing w:after="0"/>
              <w:rPr>
                <w:sz w:val="18"/>
                <w:szCs w:val="18"/>
                <w:color w:val="auto"/>
              </w:rPr>
            </w:pPr>
          </w:p>
        </w:tc>
        <w:tc>
          <w:tcPr>
            <w:tcW w:w="140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240" w:type="dxa"/>
            <w:vAlign w:val="bottom"/>
            <w:shd w:val="clear" w:color="auto" w:fill="CBDBD1"/>
          </w:tcPr>
          <w:p>
            <w:pPr>
              <w:spacing w:after="0"/>
              <w:rPr>
                <w:sz w:val="18"/>
                <w:szCs w:val="18"/>
                <w:color w:val="auto"/>
              </w:rPr>
            </w:pPr>
          </w:p>
        </w:tc>
        <w:tc>
          <w:tcPr>
            <w:tcW w:w="1260" w:type="dxa"/>
            <w:vAlign w:val="bottom"/>
            <w:shd w:val="clear" w:color="auto" w:fill="CBDBD1"/>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2,451,866</w:t>
            </w:r>
          </w:p>
        </w:tc>
        <w:tc>
          <w:tcPr>
            <w:tcW w:w="80" w:type="dxa"/>
            <w:vAlign w:val="bottom"/>
          </w:tcPr>
          <w:p>
            <w:pPr>
              <w:spacing w:after="0"/>
              <w:rPr>
                <w:sz w:val="18"/>
                <w:szCs w:val="18"/>
                <w:color w:val="auto"/>
              </w:rPr>
            </w:pP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890,142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OPTIMIZERx CORPORATION</w:t>
      </w:r>
    </w:p>
    <w:p>
      <w:pPr>
        <w:spacing w:after="0" w:line="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FOR THE THREE MONTHS ENDED JUNE 30, 2010 AND 2009</w:t>
      </w:r>
    </w:p>
    <w:p>
      <w:pPr>
        <w:spacing w:after="0" w:line="238"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780" w:type="dxa"/>
            <w:vAlign w:val="bottom"/>
            <w:gridSpan w:val="3"/>
          </w:tcPr>
          <w:p>
            <w:pPr>
              <w:ind w:left="40"/>
              <w:spacing w:after="0"/>
              <w:rPr>
                <w:sz w:val="20"/>
                <w:szCs w:val="20"/>
                <w:color w:val="auto"/>
              </w:rPr>
            </w:pPr>
            <w:r>
              <w:rPr>
                <w:rFonts w:ascii="Arial" w:cs="Arial" w:eastAsia="Arial" w:hAnsi="Arial"/>
                <w:sz w:val="18"/>
                <w:szCs w:val="18"/>
                <w:color w:val="auto"/>
                <w:w w:val="99"/>
              </w:rPr>
              <w:t>For the Three Months</w:t>
            </w:r>
          </w:p>
        </w:tc>
        <w:tc>
          <w:tcPr>
            <w:tcW w:w="166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For the Three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Ended</w:t>
            </w:r>
          </w:p>
        </w:tc>
        <w:tc>
          <w:tcPr>
            <w:tcW w:w="2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June 30, 2010</w:t>
            </w:r>
          </w:p>
        </w:tc>
        <w:tc>
          <w:tcPr>
            <w:tcW w:w="20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June 30, 2009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(Unaudited)</w:t>
            </w:r>
          </w:p>
        </w:tc>
        <w:tc>
          <w:tcPr>
            <w:tcW w:w="200" w:type="dxa"/>
            <w:vAlign w:val="bottom"/>
          </w:tcPr>
          <w:p>
            <w:pPr>
              <w:spacing w:after="0"/>
              <w:rPr>
                <w:sz w:val="20"/>
                <w:szCs w:val="20"/>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(Unaudited)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540" w:type="dxa"/>
            <w:vAlign w:val="bottom"/>
            <w:shd w:val="clear" w:color="auto" w:fill="CBDBD1"/>
          </w:tcPr>
          <w:p>
            <w:pPr>
              <w:spacing w:after="0"/>
              <w:rPr>
                <w:sz w:val="20"/>
                <w:szCs w:val="20"/>
                <w:color w:val="auto"/>
              </w:rPr>
            </w:pPr>
            <w:r>
              <w:rPr>
                <w:rFonts w:ascii="Arial" w:cs="Arial" w:eastAsia="Arial" w:hAnsi="Arial"/>
                <w:sz w:val="18"/>
                <w:szCs w:val="18"/>
                <w:b w:val="1"/>
                <w:bCs w:val="1"/>
                <w:color w:val="auto"/>
              </w:rPr>
              <w:t>REVENUES</w:t>
            </w:r>
          </w:p>
        </w:tc>
        <w:tc>
          <w:tcPr>
            <w:tcW w:w="220" w:type="dxa"/>
            <w:vAlign w:val="bottom"/>
            <w:shd w:val="clear" w:color="auto" w:fill="CBDBD1"/>
          </w:tcPr>
          <w:p>
            <w:pPr>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BDBD1"/>
          </w:tcPr>
          <w:p>
            <w:pPr>
              <w:jc w:val="right"/>
              <w:ind w:right="140"/>
              <w:spacing w:after="0"/>
              <w:rPr>
                <w:sz w:val="20"/>
                <w:szCs w:val="20"/>
                <w:color w:val="auto"/>
              </w:rPr>
            </w:pPr>
            <w:r>
              <w:rPr>
                <w:rFonts w:ascii="Arial" w:cs="Arial" w:eastAsia="Arial" w:hAnsi="Arial"/>
                <w:sz w:val="18"/>
                <w:szCs w:val="18"/>
                <w:color w:val="auto"/>
              </w:rPr>
              <w:t>16,720</w:t>
            </w:r>
          </w:p>
        </w:tc>
        <w:tc>
          <w:tcPr>
            <w:tcW w:w="200" w:type="dxa"/>
            <w:vAlign w:val="bottom"/>
            <w:shd w:val="clear" w:color="auto" w:fill="CBDBD1"/>
          </w:tcPr>
          <w:p>
            <w:pPr>
              <w:jc w:val="right"/>
              <w:ind w:right="41"/>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3,449</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tcBorders>
              <w:top w:val="single" w:sz="8" w:color="CBDBD1"/>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40" w:type="dxa"/>
            <w:vAlign w:val="bottom"/>
            <w:tcBorders>
              <w:top w:val="single" w:sz="8" w:color="CBDBD1"/>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540" w:type="dxa"/>
            <w:vAlign w:val="bottom"/>
            <w:shd w:val="clear" w:color="auto" w:fill="CBDBD1"/>
          </w:tcPr>
          <w:p>
            <w:pPr>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shd w:val="clear" w:color="auto" w:fill="CBDBD1"/>
          </w:tcPr>
          <w:p>
            <w:pPr>
              <w:spacing w:after="0"/>
              <w:rPr>
                <w:sz w:val="19"/>
                <w:szCs w:val="19"/>
                <w:color w:val="auto"/>
              </w:rPr>
            </w:pPr>
          </w:p>
        </w:tc>
        <w:tc>
          <w:tcPr>
            <w:tcW w:w="1560" w:type="dxa"/>
            <w:vAlign w:val="bottom"/>
            <w:gridSpan w:val="2"/>
            <w:shd w:val="clear" w:color="auto" w:fill="CBDBD1"/>
          </w:tcPr>
          <w:p>
            <w:pPr>
              <w:jc w:val="right"/>
              <w:ind w:right="140"/>
              <w:spacing w:after="0"/>
              <w:rPr>
                <w:sz w:val="20"/>
                <w:szCs w:val="20"/>
                <w:color w:val="auto"/>
              </w:rPr>
            </w:pPr>
            <w:r>
              <w:rPr>
                <w:rFonts w:ascii="Arial" w:cs="Arial" w:eastAsia="Arial" w:hAnsi="Arial"/>
                <w:sz w:val="18"/>
                <w:szCs w:val="18"/>
                <w:color w:val="auto"/>
              </w:rPr>
              <w:t>892,083</w:t>
            </w:r>
          </w:p>
        </w:tc>
        <w:tc>
          <w:tcPr>
            <w:tcW w:w="200" w:type="dxa"/>
            <w:vAlign w:val="bottom"/>
            <w:shd w:val="clear" w:color="auto" w:fill="CBDBD1"/>
          </w:tcPr>
          <w:p>
            <w:pPr>
              <w:spacing w:after="0"/>
              <w:rPr>
                <w:sz w:val="19"/>
                <w:szCs w:val="19"/>
                <w:color w:val="auto"/>
              </w:rPr>
            </w:pPr>
          </w:p>
        </w:tc>
        <w:tc>
          <w:tcPr>
            <w:tcW w:w="14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355,462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tcBorders>
              <w:top w:val="single" w:sz="8" w:color="CBDBD1"/>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40" w:type="dxa"/>
            <w:vAlign w:val="bottom"/>
            <w:tcBorders>
              <w:top w:val="single" w:sz="8" w:color="CBDBD1"/>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BDBD1"/>
          </w:tcPr>
          <w:p>
            <w:pPr>
              <w:spacing w:after="0"/>
              <w:rPr>
                <w:sz w:val="20"/>
                <w:szCs w:val="20"/>
                <w:color w:val="auto"/>
              </w:rPr>
            </w:pPr>
            <w:r>
              <w:rPr>
                <w:rFonts w:ascii="Arial" w:cs="Arial" w:eastAsia="Arial" w:hAnsi="Arial"/>
                <w:sz w:val="18"/>
                <w:szCs w:val="18"/>
                <w:b w:val="1"/>
                <w:bCs w:val="1"/>
                <w:color w:val="auto"/>
              </w:rPr>
              <w:t>LOSS FROM OPERATIONS</w:t>
            </w:r>
          </w:p>
        </w:tc>
        <w:tc>
          <w:tcPr>
            <w:tcW w:w="220" w:type="dxa"/>
            <w:vAlign w:val="bottom"/>
            <w:shd w:val="clear" w:color="auto" w:fill="CBDBD1"/>
          </w:tcPr>
          <w:p>
            <w:pPr>
              <w:spacing w:after="0"/>
              <w:rPr>
                <w:sz w:val="18"/>
                <w:szCs w:val="18"/>
                <w:color w:val="auto"/>
              </w:rPr>
            </w:pPr>
          </w:p>
        </w:tc>
        <w:tc>
          <w:tcPr>
            <w:tcW w:w="1560" w:type="dxa"/>
            <w:vAlign w:val="bottom"/>
            <w:gridSpan w:val="2"/>
            <w:shd w:val="clear" w:color="auto" w:fill="CBDBD1"/>
          </w:tcPr>
          <w:p>
            <w:pPr>
              <w:jc w:val="right"/>
              <w:ind w:right="140"/>
              <w:spacing w:after="0"/>
              <w:rPr>
                <w:sz w:val="20"/>
                <w:szCs w:val="20"/>
                <w:color w:val="auto"/>
              </w:rPr>
            </w:pPr>
            <w:r>
              <w:rPr>
                <w:rFonts w:ascii="Arial" w:cs="Arial" w:eastAsia="Arial" w:hAnsi="Arial"/>
                <w:sz w:val="18"/>
                <w:szCs w:val="18"/>
                <w:color w:val="auto"/>
              </w:rPr>
              <w:t>(875,363)</w:t>
            </w:r>
          </w:p>
        </w:tc>
        <w:tc>
          <w:tcPr>
            <w:tcW w:w="200" w:type="dxa"/>
            <w:vAlign w:val="bottom"/>
            <w:shd w:val="clear" w:color="auto" w:fill="CBDBD1"/>
          </w:tcPr>
          <w:p>
            <w:pPr>
              <w:spacing w:after="0"/>
              <w:rPr>
                <w:sz w:val="18"/>
                <w:szCs w:val="18"/>
                <w:color w:val="auto"/>
              </w:rPr>
            </w:pPr>
          </w:p>
        </w:tc>
        <w:tc>
          <w:tcPr>
            <w:tcW w:w="14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(352,013)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BDBD1"/>
          </w:tcPr>
          <w:p>
            <w:pPr>
              <w:spacing w:after="0"/>
              <w:rPr>
                <w:sz w:val="20"/>
                <w:szCs w:val="20"/>
                <w:color w:val="auto"/>
              </w:rPr>
            </w:pPr>
            <w:r>
              <w:rPr>
                <w:rFonts w:ascii="Arial" w:cs="Arial" w:eastAsia="Arial" w:hAnsi="Arial"/>
                <w:sz w:val="18"/>
                <w:szCs w:val="18"/>
                <w:b w:val="1"/>
                <w:bCs w:val="1"/>
                <w:color w:val="auto"/>
              </w:rPr>
              <w:t>OTHER INCOME (EXPENSE)</w:t>
            </w:r>
          </w:p>
        </w:tc>
        <w:tc>
          <w:tcPr>
            <w:tcW w:w="220" w:type="dxa"/>
            <w:vAlign w:val="bottom"/>
            <w:shd w:val="clear" w:color="auto" w:fill="CBDBD1"/>
          </w:tcPr>
          <w:p>
            <w:pPr>
              <w:spacing w:after="0"/>
              <w:rPr>
                <w:sz w:val="18"/>
                <w:szCs w:val="18"/>
                <w:color w:val="auto"/>
              </w:rPr>
            </w:pPr>
          </w:p>
        </w:tc>
        <w:tc>
          <w:tcPr>
            <w:tcW w:w="1420" w:type="dxa"/>
            <w:vAlign w:val="bottom"/>
            <w:shd w:val="clear" w:color="auto" w:fill="CBDBD1"/>
          </w:tcPr>
          <w:p>
            <w:pPr>
              <w:spacing w:after="0"/>
              <w:rPr>
                <w:sz w:val="18"/>
                <w:szCs w:val="18"/>
                <w:color w:val="auto"/>
              </w:rPr>
            </w:pPr>
          </w:p>
        </w:tc>
        <w:tc>
          <w:tcPr>
            <w:tcW w:w="140" w:type="dxa"/>
            <w:vAlign w:val="bottom"/>
            <w:shd w:val="clear" w:color="auto" w:fill="CBDBD1"/>
          </w:tcPr>
          <w:p>
            <w:pPr>
              <w:spacing w:after="0"/>
              <w:rPr>
                <w:sz w:val="18"/>
                <w:szCs w:val="18"/>
                <w:color w:val="auto"/>
              </w:rPr>
            </w:pPr>
          </w:p>
        </w:tc>
        <w:tc>
          <w:tcPr>
            <w:tcW w:w="200" w:type="dxa"/>
            <w:vAlign w:val="bottom"/>
            <w:shd w:val="clear" w:color="auto" w:fill="CBDBD1"/>
          </w:tcPr>
          <w:p>
            <w:pPr>
              <w:spacing w:after="0"/>
              <w:rPr>
                <w:sz w:val="18"/>
                <w:szCs w:val="18"/>
                <w:color w:val="auto"/>
              </w:rPr>
            </w:pPr>
          </w:p>
        </w:tc>
        <w:tc>
          <w:tcPr>
            <w:tcW w:w="1440" w:type="dxa"/>
            <w:vAlign w:val="bottom"/>
            <w:shd w:val="clear" w:color="auto" w:fill="CBDBD1"/>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30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625</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9,576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BDBD1"/>
          </w:tcPr>
          <w:p>
            <w:pPr>
              <w:ind w:left="300"/>
              <w:spacing w:after="0"/>
              <w:rPr>
                <w:sz w:val="20"/>
                <w:szCs w:val="20"/>
                <w:color w:val="auto"/>
              </w:rPr>
            </w:pPr>
            <w:r>
              <w:rPr>
                <w:rFonts w:ascii="Arial" w:cs="Arial" w:eastAsia="Arial" w:hAnsi="Arial"/>
                <w:sz w:val="18"/>
                <w:szCs w:val="18"/>
                <w:color w:val="auto"/>
              </w:rPr>
              <w:t>Other income</w:t>
            </w:r>
          </w:p>
        </w:tc>
        <w:tc>
          <w:tcPr>
            <w:tcW w:w="220" w:type="dxa"/>
            <w:vAlign w:val="bottom"/>
            <w:shd w:val="clear" w:color="auto" w:fill="CBDBD1"/>
          </w:tcPr>
          <w:p>
            <w:pPr>
              <w:spacing w:after="0"/>
              <w:rPr>
                <w:sz w:val="18"/>
                <w:szCs w:val="18"/>
                <w:color w:val="auto"/>
              </w:rPr>
            </w:pPr>
          </w:p>
        </w:tc>
        <w:tc>
          <w:tcPr>
            <w:tcW w:w="1560" w:type="dxa"/>
            <w:vAlign w:val="bottom"/>
            <w:gridSpan w:val="2"/>
            <w:shd w:val="clear" w:color="auto" w:fill="CBDBD1"/>
          </w:tcPr>
          <w:p>
            <w:pPr>
              <w:jc w:val="right"/>
              <w:ind w:right="140"/>
              <w:spacing w:after="0"/>
              <w:rPr>
                <w:sz w:val="20"/>
                <w:szCs w:val="20"/>
                <w:color w:val="auto"/>
              </w:rPr>
            </w:pPr>
            <w:r>
              <w:rPr>
                <w:rFonts w:ascii="Arial" w:cs="Arial" w:eastAsia="Arial" w:hAnsi="Arial"/>
                <w:sz w:val="18"/>
                <w:szCs w:val="18"/>
                <w:color w:val="auto"/>
              </w:rPr>
              <w:t>-0-</w:t>
            </w:r>
          </w:p>
        </w:tc>
        <w:tc>
          <w:tcPr>
            <w:tcW w:w="200" w:type="dxa"/>
            <w:vAlign w:val="bottom"/>
            <w:shd w:val="clear" w:color="auto" w:fill="CBDBD1"/>
          </w:tcPr>
          <w:p>
            <w:pPr>
              <w:spacing w:after="0"/>
              <w:rPr>
                <w:sz w:val="18"/>
                <w:szCs w:val="18"/>
                <w:color w:val="auto"/>
              </w:rPr>
            </w:pPr>
          </w:p>
        </w:tc>
        <w:tc>
          <w:tcPr>
            <w:tcW w:w="14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30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(165)</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540" w:type="dxa"/>
            <w:vAlign w:val="bottom"/>
            <w:shd w:val="clear" w:color="auto" w:fill="CBDBD1"/>
          </w:tcPr>
          <w:p>
            <w:pPr>
              <w:spacing w:after="0"/>
              <w:rPr>
                <w:sz w:val="20"/>
                <w:szCs w:val="20"/>
                <w:color w:val="auto"/>
              </w:rPr>
            </w:pPr>
            <w:r>
              <w:rPr>
                <w:rFonts w:ascii="Arial" w:cs="Arial" w:eastAsia="Arial" w:hAnsi="Arial"/>
                <w:sz w:val="18"/>
                <w:szCs w:val="18"/>
                <w:b w:val="1"/>
                <w:bCs w:val="1"/>
                <w:color w:val="auto"/>
              </w:rPr>
              <w:t>TOTAL OTHER INCOME (EXPENSE)</w:t>
            </w:r>
          </w:p>
        </w:tc>
        <w:tc>
          <w:tcPr>
            <w:tcW w:w="220" w:type="dxa"/>
            <w:vAlign w:val="bottom"/>
            <w:shd w:val="clear" w:color="auto" w:fill="CBDBD1"/>
          </w:tcPr>
          <w:p>
            <w:pPr>
              <w:spacing w:after="0"/>
              <w:rPr>
                <w:sz w:val="19"/>
                <w:szCs w:val="19"/>
                <w:color w:val="auto"/>
              </w:rPr>
            </w:pPr>
          </w:p>
        </w:tc>
        <w:tc>
          <w:tcPr>
            <w:tcW w:w="1560" w:type="dxa"/>
            <w:vAlign w:val="bottom"/>
            <w:gridSpan w:val="2"/>
            <w:shd w:val="clear" w:color="auto" w:fill="CBDBD1"/>
          </w:tcPr>
          <w:p>
            <w:pPr>
              <w:jc w:val="right"/>
              <w:ind w:right="140"/>
              <w:spacing w:after="0"/>
              <w:rPr>
                <w:sz w:val="20"/>
                <w:szCs w:val="20"/>
                <w:color w:val="auto"/>
              </w:rPr>
            </w:pPr>
            <w:r>
              <w:rPr>
                <w:rFonts w:ascii="Arial" w:cs="Arial" w:eastAsia="Arial" w:hAnsi="Arial"/>
                <w:sz w:val="18"/>
                <w:szCs w:val="18"/>
                <w:color w:val="auto"/>
              </w:rPr>
              <w:t>460</w:t>
            </w:r>
          </w:p>
        </w:tc>
        <w:tc>
          <w:tcPr>
            <w:tcW w:w="200" w:type="dxa"/>
            <w:vAlign w:val="bottom"/>
            <w:shd w:val="clear" w:color="auto" w:fill="CBDBD1"/>
          </w:tcPr>
          <w:p>
            <w:pPr>
              <w:spacing w:after="0"/>
              <w:rPr>
                <w:sz w:val="19"/>
                <w:szCs w:val="19"/>
                <w:color w:val="auto"/>
              </w:rPr>
            </w:pPr>
          </w:p>
        </w:tc>
        <w:tc>
          <w:tcPr>
            <w:tcW w:w="14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9,868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tcBorders>
              <w:top w:val="single" w:sz="8" w:color="CBDBD1"/>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40" w:type="dxa"/>
            <w:vAlign w:val="bottom"/>
            <w:tcBorders>
              <w:top w:val="single" w:sz="8" w:color="CBDBD1"/>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BDBD1"/>
          </w:tcPr>
          <w:p>
            <w:pPr>
              <w:spacing w:after="0"/>
              <w:rPr>
                <w:sz w:val="20"/>
                <w:szCs w:val="20"/>
                <w:color w:val="auto"/>
              </w:rPr>
            </w:pPr>
            <w:r>
              <w:rPr>
                <w:rFonts w:ascii="Arial" w:cs="Arial" w:eastAsia="Arial" w:hAnsi="Arial"/>
                <w:sz w:val="18"/>
                <w:szCs w:val="18"/>
                <w:b w:val="1"/>
                <w:bCs w:val="1"/>
                <w:color w:val="auto"/>
              </w:rPr>
              <w:t>LOSS BEFORE PROVISION FOR INCOME TAXES</w:t>
            </w:r>
          </w:p>
        </w:tc>
        <w:tc>
          <w:tcPr>
            <w:tcW w:w="220" w:type="dxa"/>
            <w:vAlign w:val="bottom"/>
            <w:shd w:val="clear" w:color="auto" w:fill="CBDBD1"/>
          </w:tcPr>
          <w:p>
            <w:pPr>
              <w:spacing w:after="0"/>
              <w:rPr>
                <w:sz w:val="18"/>
                <w:szCs w:val="18"/>
                <w:color w:val="auto"/>
              </w:rPr>
            </w:pPr>
          </w:p>
        </w:tc>
        <w:tc>
          <w:tcPr>
            <w:tcW w:w="1560" w:type="dxa"/>
            <w:vAlign w:val="bottom"/>
            <w:gridSpan w:val="2"/>
            <w:shd w:val="clear" w:color="auto" w:fill="CBDBD1"/>
          </w:tcPr>
          <w:p>
            <w:pPr>
              <w:jc w:val="right"/>
              <w:ind w:right="140"/>
              <w:spacing w:after="0"/>
              <w:rPr>
                <w:sz w:val="20"/>
                <w:szCs w:val="20"/>
                <w:color w:val="auto"/>
              </w:rPr>
            </w:pPr>
            <w:r>
              <w:rPr>
                <w:rFonts w:ascii="Arial" w:cs="Arial" w:eastAsia="Arial" w:hAnsi="Arial"/>
                <w:sz w:val="18"/>
                <w:szCs w:val="18"/>
                <w:color w:val="auto"/>
              </w:rPr>
              <w:t>(874,903)</w:t>
            </w:r>
          </w:p>
        </w:tc>
        <w:tc>
          <w:tcPr>
            <w:tcW w:w="200" w:type="dxa"/>
            <w:vAlign w:val="bottom"/>
            <w:shd w:val="clear" w:color="auto" w:fill="CBDBD1"/>
          </w:tcPr>
          <w:p>
            <w:pPr>
              <w:spacing w:after="0"/>
              <w:rPr>
                <w:sz w:val="18"/>
                <w:szCs w:val="18"/>
                <w:color w:val="auto"/>
              </w:rPr>
            </w:pPr>
          </w:p>
        </w:tc>
        <w:tc>
          <w:tcPr>
            <w:tcW w:w="14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(342,145)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540" w:type="dxa"/>
            <w:vAlign w:val="bottom"/>
            <w:shd w:val="clear" w:color="auto" w:fill="CBDBD1"/>
          </w:tcPr>
          <w:p>
            <w:pPr>
              <w:spacing w:after="0"/>
              <w:rPr>
                <w:sz w:val="20"/>
                <w:szCs w:val="20"/>
                <w:color w:val="auto"/>
              </w:rPr>
            </w:pPr>
            <w:r>
              <w:rPr>
                <w:rFonts w:ascii="Arial" w:cs="Arial" w:eastAsia="Arial" w:hAnsi="Arial"/>
                <w:sz w:val="18"/>
                <w:szCs w:val="18"/>
                <w:b w:val="1"/>
                <w:bCs w:val="1"/>
                <w:color w:val="auto"/>
              </w:rPr>
              <w:t>PROVISION FOR INCOME TAXES</w:t>
            </w:r>
          </w:p>
        </w:tc>
        <w:tc>
          <w:tcPr>
            <w:tcW w:w="220" w:type="dxa"/>
            <w:vAlign w:val="bottom"/>
            <w:shd w:val="clear" w:color="auto" w:fill="CBDBD1"/>
          </w:tcPr>
          <w:p>
            <w:pPr>
              <w:spacing w:after="0"/>
              <w:rPr>
                <w:sz w:val="19"/>
                <w:szCs w:val="19"/>
                <w:color w:val="auto"/>
              </w:rPr>
            </w:pPr>
          </w:p>
        </w:tc>
        <w:tc>
          <w:tcPr>
            <w:tcW w:w="1560" w:type="dxa"/>
            <w:vAlign w:val="bottom"/>
            <w:gridSpan w:val="2"/>
            <w:shd w:val="clear" w:color="auto" w:fill="CBDBD1"/>
          </w:tcPr>
          <w:p>
            <w:pPr>
              <w:jc w:val="right"/>
              <w:ind w:right="140"/>
              <w:spacing w:after="0"/>
              <w:rPr>
                <w:sz w:val="20"/>
                <w:szCs w:val="20"/>
                <w:color w:val="auto"/>
              </w:rPr>
            </w:pPr>
            <w:r>
              <w:rPr>
                <w:rFonts w:ascii="Arial" w:cs="Arial" w:eastAsia="Arial" w:hAnsi="Arial"/>
                <w:sz w:val="18"/>
                <w:szCs w:val="18"/>
                <w:color w:val="auto"/>
              </w:rPr>
              <w:t>0</w:t>
            </w:r>
          </w:p>
        </w:tc>
        <w:tc>
          <w:tcPr>
            <w:tcW w:w="200" w:type="dxa"/>
            <w:vAlign w:val="bottom"/>
            <w:shd w:val="clear" w:color="auto" w:fill="CBDBD1"/>
          </w:tcPr>
          <w:p>
            <w:pPr>
              <w:spacing w:after="0"/>
              <w:rPr>
                <w:sz w:val="19"/>
                <w:szCs w:val="19"/>
                <w:color w:val="auto"/>
              </w:rPr>
            </w:pPr>
          </w:p>
        </w:tc>
        <w:tc>
          <w:tcPr>
            <w:tcW w:w="14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tcBorders>
              <w:top w:val="single" w:sz="8" w:color="CBDBD1"/>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40" w:type="dxa"/>
            <w:vAlign w:val="bottom"/>
            <w:tcBorders>
              <w:top w:val="single" w:sz="8" w:color="CBDBD1"/>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540" w:type="dxa"/>
            <w:vAlign w:val="bottom"/>
            <w:shd w:val="clear" w:color="auto" w:fill="CBDBD1"/>
          </w:tcPr>
          <w:p>
            <w:pPr>
              <w:spacing w:after="0"/>
              <w:rPr>
                <w:sz w:val="20"/>
                <w:szCs w:val="20"/>
                <w:color w:val="auto"/>
              </w:rPr>
            </w:pPr>
            <w:r>
              <w:rPr>
                <w:rFonts w:ascii="Arial" w:cs="Arial" w:eastAsia="Arial" w:hAnsi="Arial"/>
                <w:sz w:val="18"/>
                <w:szCs w:val="18"/>
                <w:b w:val="1"/>
                <w:bCs w:val="1"/>
                <w:color w:val="auto"/>
              </w:rPr>
              <w:t>NET LOSS</w:t>
            </w:r>
          </w:p>
        </w:tc>
        <w:tc>
          <w:tcPr>
            <w:tcW w:w="220" w:type="dxa"/>
            <w:vAlign w:val="bottom"/>
            <w:shd w:val="clear" w:color="auto" w:fill="CBDBD1"/>
          </w:tcPr>
          <w:p>
            <w:pPr>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BDBD1"/>
          </w:tcPr>
          <w:p>
            <w:pPr>
              <w:jc w:val="right"/>
              <w:ind w:right="140"/>
              <w:spacing w:after="0"/>
              <w:rPr>
                <w:sz w:val="20"/>
                <w:szCs w:val="20"/>
                <w:color w:val="auto"/>
              </w:rPr>
            </w:pPr>
            <w:r>
              <w:rPr>
                <w:rFonts w:ascii="Arial" w:cs="Arial" w:eastAsia="Arial" w:hAnsi="Arial"/>
                <w:sz w:val="18"/>
                <w:szCs w:val="18"/>
                <w:color w:val="auto"/>
              </w:rPr>
              <w:t>(874,903)</w:t>
            </w:r>
          </w:p>
        </w:tc>
        <w:tc>
          <w:tcPr>
            <w:tcW w:w="200" w:type="dxa"/>
            <w:vAlign w:val="bottom"/>
            <w:shd w:val="clear" w:color="auto" w:fill="CBDBD1"/>
          </w:tcPr>
          <w:p>
            <w:pPr>
              <w:jc w:val="right"/>
              <w:ind w:right="41"/>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(342,145)</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40" w:type="dxa"/>
            <w:vAlign w:val="bottom"/>
            <w:tcBorders>
              <w:top w:val="single" w:sz="8" w:color="CBDBD1"/>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40" w:type="dxa"/>
            <w:vAlign w:val="bottom"/>
            <w:tcBorders>
              <w:top w:val="single" w:sz="8" w:color="CBDBD1"/>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540" w:type="dxa"/>
            <w:vAlign w:val="bottom"/>
            <w:shd w:val="clear" w:color="auto" w:fill="CBDBD1"/>
          </w:tcPr>
          <w:p>
            <w:pPr>
              <w:spacing w:after="0" w:line="198" w:lineRule="exact"/>
              <w:rPr>
                <w:sz w:val="20"/>
                <w:szCs w:val="20"/>
                <w:color w:val="auto"/>
              </w:rPr>
            </w:pPr>
            <w:r>
              <w:rPr>
                <w:rFonts w:ascii="Arial" w:cs="Arial" w:eastAsia="Arial" w:hAnsi="Arial"/>
                <w:sz w:val="18"/>
                <w:szCs w:val="18"/>
                <w:b w:val="1"/>
                <w:bCs w:val="1"/>
                <w:color w:val="auto"/>
              </w:rPr>
              <w:t>WEIGHTED AVERAGE NUMBER OF SHARES</w:t>
            </w:r>
          </w:p>
        </w:tc>
        <w:tc>
          <w:tcPr>
            <w:tcW w:w="220" w:type="dxa"/>
            <w:vAlign w:val="bottom"/>
            <w:shd w:val="clear" w:color="auto" w:fill="CBDBD1"/>
          </w:tcPr>
          <w:p>
            <w:pPr>
              <w:spacing w:after="0"/>
              <w:rPr>
                <w:sz w:val="17"/>
                <w:szCs w:val="17"/>
                <w:color w:val="auto"/>
              </w:rPr>
            </w:pPr>
          </w:p>
        </w:tc>
        <w:tc>
          <w:tcPr>
            <w:tcW w:w="1420" w:type="dxa"/>
            <w:vAlign w:val="bottom"/>
            <w:shd w:val="clear" w:color="auto" w:fill="CBDBD1"/>
          </w:tcPr>
          <w:p>
            <w:pPr>
              <w:spacing w:after="0"/>
              <w:rPr>
                <w:sz w:val="17"/>
                <w:szCs w:val="17"/>
                <w:color w:val="auto"/>
              </w:rPr>
            </w:pPr>
          </w:p>
        </w:tc>
        <w:tc>
          <w:tcPr>
            <w:tcW w:w="140" w:type="dxa"/>
            <w:vAlign w:val="bottom"/>
            <w:shd w:val="clear" w:color="auto" w:fill="CBDBD1"/>
          </w:tcPr>
          <w:p>
            <w:pPr>
              <w:spacing w:after="0"/>
              <w:rPr>
                <w:sz w:val="17"/>
                <w:szCs w:val="17"/>
                <w:color w:val="auto"/>
              </w:rPr>
            </w:pPr>
          </w:p>
        </w:tc>
        <w:tc>
          <w:tcPr>
            <w:tcW w:w="200" w:type="dxa"/>
            <w:vAlign w:val="bottom"/>
            <w:shd w:val="clear" w:color="auto" w:fill="CBDBD1"/>
          </w:tcPr>
          <w:p>
            <w:pPr>
              <w:spacing w:after="0"/>
              <w:rPr>
                <w:sz w:val="17"/>
                <w:szCs w:val="17"/>
                <w:color w:val="auto"/>
              </w:rPr>
            </w:pPr>
          </w:p>
        </w:tc>
        <w:tc>
          <w:tcPr>
            <w:tcW w:w="1440" w:type="dxa"/>
            <w:vAlign w:val="bottom"/>
            <w:shd w:val="clear" w:color="auto" w:fill="CBDBD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540" w:type="dxa"/>
            <w:vAlign w:val="bottom"/>
            <w:shd w:val="clear" w:color="auto" w:fill="CBDBD1"/>
          </w:tcPr>
          <w:p>
            <w:pPr>
              <w:spacing w:after="0"/>
              <w:rPr>
                <w:sz w:val="20"/>
                <w:szCs w:val="20"/>
                <w:color w:val="auto"/>
              </w:rPr>
            </w:pPr>
            <w:r>
              <w:rPr>
                <w:rFonts w:ascii="Arial" w:cs="Arial" w:eastAsia="Arial" w:hAnsi="Arial"/>
                <w:sz w:val="18"/>
                <w:szCs w:val="18"/>
                <w:b w:val="1"/>
                <w:bCs w:val="1"/>
                <w:color w:val="auto"/>
              </w:rPr>
              <w:t>OUTSTANDING: BASIC AND DILUTED</w:t>
            </w:r>
          </w:p>
        </w:tc>
        <w:tc>
          <w:tcPr>
            <w:tcW w:w="220" w:type="dxa"/>
            <w:vAlign w:val="bottom"/>
            <w:shd w:val="clear" w:color="auto" w:fill="CBDBD1"/>
          </w:tcPr>
          <w:p>
            <w:pPr>
              <w:spacing w:after="0"/>
              <w:rPr>
                <w:sz w:val="23"/>
                <w:szCs w:val="23"/>
                <w:color w:val="auto"/>
              </w:rPr>
            </w:pPr>
          </w:p>
        </w:tc>
        <w:tc>
          <w:tcPr>
            <w:tcW w:w="1560" w:type="dxa"/>
            <w:vAlign w:val="bottom"/>
            <w:gridSpan w:val="2"/>
            <w:shd w:val="clear" w:color="auto" w:fill="CBDBD1"/>
          </w:tcPr>
          <w:p>
            <w:pPr>
              <w:jc w:val="right"/>
              <w:ind w:right="140"/>
              <w:spacing w:after="0"/>
              <w:rPr>
                <w:sz w:val="20"/>
                <w:szCs w:val="20"/>
                <w:color w:val="auto"/>
              </w:rPr>
            </w:pPr>
            <w:r>
              <w:rPr>
                <w:rFonts w:ascii="Arial" w:cs="Arial" w:eastAsia="Arial" w:hAnsi="Arial"/>
                <w:sz w:val="18"/>
                <w:szCs w:val="18"/>
                <w:color w:val="auto"/>
              </w:rPr>
              <w:t>13,378,759</w:t>
            </w:r>
          </w:p>
        </w:tc>
        <w:tc>
          <w:tcPr>
            <w:tcW w:w="200" w:type="dxa"/>
            <w:vAlign w:val="bottom"/>
            <w:shd w:val="clear" w:color="auto" w:fill="CBDBD1"/>
          </w:tcPr>
          <w:p>
            <w:pPr>
              <w:spacing w:after="0"/>
              <w:rPr>
                <w:sz w:val="23"/>
                <w:szCs w:val="23"/>
                <w:color w:val="auto"/>
              </w:rPr>
            </w:pPr>
          </w:p>
        </w:tc>
        <w:tc>
          <w:tcPr>
            <w:tcW w:w="14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12,609,094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40" w:type="dxa"/>
            <w:vAlign w:val="bottom"/>
            <w:tcBorders>
              <w:top w:val="single" w:sz="8" w:color="CBDBD1"/>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40" w:type="dxa"/>
            <w:vAlign w:val="bottom"/>
            <w:tcBorders>
              <w:top w:val="single" w:sz="8" w:color="CBDBD1"/>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540" w:type="dxa"/>
            <w:vAlign w:val="bottom"/>
            <w:shd w:val="clear" w:color="auto" w:fill="CBDBD1"/>
          </w:tcPr>
          <w:p>
            <w:pPr>
              <w:spacing w:after="0"/>
              <w:rPr>
                <w:sz w:val="20"/>
                <w:szCs w:val="20"/>
                <w:color w:val="auto"/>
              </w:rPr>
            </w:pPr>
            <w:r>
              <w:rPr>
                <w:rFonts w:ascii="Arial" w:cs="Arial" w:eastAsia="Arial" w:hAnsi="Arial"/>
                <w:sz w:val="18"/>
                <w:szCs w:val="18"/>
                <w:b w:val="1"/>
                <w:bCs w:val="1"/>
                <w:color w:val="auto"/>
              </w:rPr>
              <w:t>NET LOSS PER SHARE: BASIC AND DILUTED</w:t>
            </w:r>
          </w:p>
        </w:tc>
        <w:tc>
          <w:tcPr>
            <w:tcW w:w="220" w:type="dxa"/>
            <w:vAlign w:val="bottom"/>
            <w:shd w:val="clear" w:color="auto" w:fill="CBDBD1"/>
          </w:tcPr>
          <w:p>
            <w:pPr>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BDBD1"/>
          </w:tcPr>
          <w:p>
            <w:pPr>
              <w:jc w:val="right"/>
              <w:ind w:right="140"/>
              <w:spacing w:after="0"/>
              <w:rPr>
                <w:sz w:val="20"/>
                <w:szCs w:val="20"/>
                <w:color w:val="auto"/>
              </w:rPr>
            </w:pPr>
            <w:r>
              <w:rPr>
                <w:rFonts w:ascii="Arial" w:cs="Arial" w:eastAsia="Arial" w:hAnsi="Arial"/>
                <w:sz w:val="18"/>
                <w:szCs w:val="18"/>
                <w:color w:val="auto"/>
              </w:rPr>
              <w:t>(0.07)</w:t>
            </w:r>
          </w:p>
        </w:tc>
        <w:tc>
          <w:tcPr>
            <w:tcW w:w="200" w:type="dxa"/>
            <w:vAlign w:val="bottom"/>
            <w:shd w:val="clear" w:color="auto" w:fill="CBDBD1"/>
          </w:tcPr>
          <w:p>
            <w:pPr>
              <w:jc w:val="right"/>
              <w:ind w:right="41"/>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(0.03)</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Borders>
              <w:top w:val="single" w:sz="8" w:color="CBDBD1"/>
            </w:tcBorders>
            <w:shd w:val="clear" w:color="auto" w:fill="CBDBD1"/>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BDBD1"/>
            </w:tcBorders>
            <w:shd w:val="clear" w:color="auto" w:fill="CBDBD1"/>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OPTIMIZERx CORPORATION</w:t>
      </w:r>
    </w:p>
    <w:p>
      <w:pPr>
        <w:spacing w:after="0" w:line="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FOR THE SIX MONTHS ENDED JUNE 30, 2010 AND 2009</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FOR THE PERIOD FROM JANUARY 31, 2006 (INCEPTION) TO JUNE 30, 2010</w:t>
      </w:r>
    </w:p>
    <w:p>
      <w:pPr>
        <w:spacing w:after="0" w:line="238"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center"/>
              <w:spacing w:after="0"/>
              <w:rPr>
                <w:sz w:val="20"/>
                <w:szCs w:val="20"/>
                <w:color w:val="auto"/>
              </w:rPr>
            </w:pPr>
            <w:r>
              <w:rPr>
                <w:rFonts w:ascii="Arial" w:cs="Arial" w:eastAsia="Arial" w:hAnsi="Arial"/>
                <w:sz w:val="18"/>
                <w:szCs w:val="18"/>
                <w:color w:val="auto"/>
                <w:w w:val="89"/>
              </w:rPr>
              <w:t>For the Period</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from</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January 31,</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w w:val="96"/>
              </w:rPr>
              <w:t>For the Six</w:t>
            </w:r>
          </w:p>
        </w:tc>
        <w:tc>
          <w:tcPr>
            <w:tcW w:w="10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For the Six</w:t>
            </w:r>
          </w:p>
        </w:tc>
        <w:tc>
          <w:tcPr>
            <w:tcW w:w="100" w:type="dxa"/>
            <w:vAlign w:val="bottom"/>
          </w:tcPr>
          <w:p>
            <w:pPr>
              <w:spacing w:after="0"/>
              <w:rPr>
                <w:sz w:val="18"/>
                <w:szCs w:val="18"/>
                <w:color w:val="auto"/>
              </w:rPr>
            </w:pPr>
          </w:p>
        </w:tc>
        <w:tc>
          <w:tcPr>
            <w:tcW w:w="1060" w:type="dxa"/>
            <w:vAlign w:val="bottom"/>
          </w:tcPr>
          <w:p>
            <w:pPr>
              <w:jc w:val="center"/>
              <w:ind w:right="10"/>
              <w:spacing w:after="0"/>
              <w:rPr>
                <w:sz w:val="20"/>
                <w:szCs w:val="20"/>
                <w:color w:val="auto"/>
              </w:rPr>
            </w:pPr>
            <w:r>
              <w:rPr>
                <w:rFonts w:ascii="Arial" w:cs="Arial" w:eastAsia="Arial" w:hAnsi="Arial"/>
                <w:sz w:val="18"/>
                <w:szCs w:val="18"/>
                <w:color w:val="auto"/>
                <w:w w:val="89"/>
              </w:rPr>
              <w:t>2006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1280" w:type="dxa"/>
            <w:vAlign w:val="bottom"/>
            <w:gridSpan w:val="3"/>
          </w:tcPr>
          <w:p>
            <w:pPr>
              <w:ind w:left="20"/>
              <w:spacing w:after="0"/>
              <w:rPr>
                <w:sz w:val="20"/>
                <w:szCs w:val="20"/>
                <w:color w:val="auto"/>
              </w:rPr>
            </w:pPr>
            <w:r>
              <w:rPr>
                <w:rFonts w:ascii="Arial" w:cs="Arial" w:eastAsia="Arial" w:hAnsi="Arial"/>
                <w:sz w:val="18"/>
                <w:szCs w:val="18"/>
                <w:color w:val="auto"/>
              </w:rPr>
              <w:t>Months Ended</w:t>
            </w:r>
          </w:p>
        </w:tc>
        <w:tc>
          <w:tcPr>
            <w:tcW w:w="1380" w:type="dxa"/>
            <w:vAlign w:val="bottom"/>
            <w:gridSpan w:val="3"/>
          </w:tcPr>
          <w:p>
            <w:pPr>
              <w:jc w:val="center"/>
              <w:ind w:right="160"/>
              <w:spacing w:after="0"/>
              <w:rPr>
                <w:sz w:val="20"/>
                <w:szCs w:val="20"/>
                <w:color w:val="auto"/>
              </w:rPr>
            </w:pPr>
            <w:r>
              <w:rPr>
                <w:rFonts w:ascii="Arial" w:cs="Arial" w:eastAsia="Arial" w:hAnsi="Arial"/>
                <w:sz w:val="18"/>
                <w:szCs w:val="18"/>
                <w:color w:val="auto"/>
                <w:w w:val="91"/>
              </w:rPr>
              <w:t>Months Ended</w:t>
            </w:r>
          </w:p>
        </w:tc>
        <w:tc>
          <w:tcPr>
            <w:tcW w:w="100" w:type="dxa"/>
            <w:vAlign w:val="bottom"/>
          </w:tcPr>
          <w:p>
            <w:pPr>
              <w:spacing w:after="0"/>
              <w:rPr>
                <w:sz w:val="18"/>
                <w:szCs w:val="18"/>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(Inception) to</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auto"/>
              </w:rPr>
              <w:t>June 30, 2010</w:t>
            </w:r>
          </w:p>
        </w:tc>
        <w:tc>
          <w:tcPr>
            <w:tcW w:w="10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June 30, 2009</w:t>
            </w:r>
          </w:p>
        </w:tc>
        <w:tc>
          <w:tcPr>
            <w:tcW w:w="1180" w:type="dxa"/>
            <w:vAlign w:val="bottom"/>
            <w:gridSpan w:val="3"/>
          </w:tcPr>
          <w:p>
            <w:pPr>
              <w:jc w:val="center"/>
              <w:spacing w:after="0"/>
              <w:rPr>
                <w:sz w:val="20"/>
                <w:szCs w:val="20"/>
                <w:color w:val="auto"/>
              </w:rPr>
            </w:pPr>
            <w:r>
              <w:rPr>
                <w:rFonts w:ascii="Arial" w:cs="Arial" w:eastAsia="Arial" w:hAnsi="Arial"/>
                <w:sz w:val="18"/>
                <w:szCs w:val="18"/>
                <w:color w:val="auto"/>
                <w:w w:val="89"/>
              </w:rPr>
              <w:t>June 30, 2010</w:t>
            </w:r>
          </w:p>
        </w:tc>
        <w:tc>
          <w:tcPr>
            <w:tcW w:w="0" w:type="dxa"/>
            <w:vAlign w:val="bottom"/>
          </w:tcPr>
          <w:p>
            <w:pPr>
              <w:spacing w:after="0"/>
              <w:rPr>
                <w:sz w:val="1"/>
                <w:szCs w:val="1"/>
                <w:color w:val="auto"/>
              </w:rPr>
            </w:pPr>
          </w:p>
        </w:tc>
      </w:tr>
      <w:tr>
        <w:trPr>
          <w:trHeight w:val="237"/>
        </w:trPr>
        <w:tc>
          <w:tcPr>
            <w:tcW w:w="4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91"/>
              </w:rPr>
              <w:t>(Unaudited)</w:t>
            </w:r>
          </w:p>
        </w:tc>
        <w:tc>
          <w:tcPr>
            <w:tcW w:w="100" w:type="dxa"/>
            <w:vAlign w:val="bottom"/>
          </w:tcPr>
          <w:p>
            <w:pPr>
              <w:spacing w:after="0"/>
              <w:rPr>
                <w:sz w:val="20"/>
                <w:szCs w:val="20"/>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(Unaudited)</w:t>
            </w:r>
          </w:p>
        </w:tc>
        <w:tc>
          <w:tcPr>
            <w:tcW w:w="100" w:type="dxa"/>
            <w:vAlign w:val="bottom"/>
          </w:tcPr>
          <w:p>
            <w:pPr>
              <w:spacing w:after="0"/>
              <w:rPr>
                <w:sz w:val="20"/>
                <w:szCs w:val="20"/>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(Unaudited)</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20" w:type="dxa"/>
            <w:vAlign w:val="bottom"/>
            <w:shd w:val="clear" w:color="auto" w:fill="CBDBD1"/>
          </w:tcPr>
          <w:p>
            <w:pPr>
              <w:spacing w:after="0"/>
              <w:rPr>
                <w:sz w:val="20"/>
                <w:szCs w:val="20"/>
                <w:color w:val="auto"/>
              </w:rPr>
            </w:pPr>
            <w:r>
              <w:rPr>
                <w:rFonts w:ascii="Arial" w:cs="Arial" w:eastAsia="Arial" w:hAnsi="Arial"/>
                <w:sz w:val="18"/>
                <w:szCs w:val="18"/>
                <w:b w:val="1"/>
                <w:bCs w:val="1"/>
                <w:color w:val="auto"/>
              </w:rPr>
              <w:t>REVENUE</w:t>
            </w:r>
          </w:p>
        </w:tc>
        <w:tc>
          <w:tcPr>
            <w:tcW w:w="100" w:type="dxa"/>
            <w:vAlign w:val="bottom"/>
            <w:shd w:val="clear" w:color="auto" w:fill="CBDBD1"/>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BDBD1"/>
          </w:tcPr>
          <w:p>
            <w:pPr>
              <w:jc w:val="right"/>
              <w:ind w:right="160"/>
              <w:spacing w:after="0"/>
              <w:rPr>
                <w:sz w:val="20"/>
                <w:szCs w:val="20"/>
                <w:color w:val="auto"/>
              </w:rPr>
            </w:pPr>
            <w:r>
              <w:rPr>
                <w:rFonts w:ascii="Arial" w:cs="Arial" w:eastAsia="Arial" w:hAnsi="Arial"/>
                <w:sz w:val="18"/>
                <w:szCs w:val="18"/>
                <w:color w:val="auto"/>
              </w:rPr>
              <w:t>18,003</w:t>
            </w:r>
          </w:p>
        </w:tc>
        <w:tc>
          <w:tcPr>
            <w:tcW w:w="100" w:type="dxa"/>
            <w:vAlign w:val="bottom"/>
            <w:shd w:val="clear" w:color="auto" w:fill="CBDBD1"/>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BDBD1"/>
          </w:tcPr>
          <w:p>
            <w:pPr>
              <w:jc w:val="right"/>
              <w:ind w:right="160"/>
              <w:spacing w:after="0"/>
              <w:rPr>
                <w:sz w:val="20"/>
                <w:szCs w:val="20"/>
                <w:color w:val="auto"/>
              </w:rPr>
            </w:pPr>
            <w:r>
              <w:rPr>
                <w:rFonts w:ascii="Arial" w:cs="Arial" w:eastAsia="Arial" w:hAnsi="Arial"/>
                <w:sz w:val="18"/>
                <w:szCs w:val="18"/>
                <w:color w:val="auto"/>
              </w:rPr>
              <w:t>4,720</w:t>
            </w:r>
          </w:p>
        </w:tc>
        <w:tc>
          <w:tcPr>
            <w:tcW w:w="100" w:type="dxa"/>
            <w:vAlign w:val="bottom"/>
            <w:shd w:val="clear" w:color="auto" w:fill="CBDBD1"/>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228,730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20" w:type="dxa"/>
            <w:vAlign w:val="bottom"/>
            <w:tcBorders>
              <w:top w:val="single" w:sz="8" w:color="CBDBD1"/>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Borders>
              <w:top w:val="single" w:sz="8" w:color="CBDBD1"/>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Borders>
              <w:top w:val="single" w:sz="8" w:color="CBDBD1"/>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20" w:type="dxa"/>
            <w:vAlign w:val="bottom"/>
            <w:shd w:val="clear" w:color="auto" w:fill="CBDBD1"/>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shd w:val="clear" w:color="auto" w:fill="CBDBD1"/>
          </w:tcPr>
          <w:p>
            <w:pPr>
              <w:spacing w:after="0"/>
              <w:rPr>
                <w:sz w:val="19"/>
                <w:szCs w:val="19"/>
                <w:color w:val="auto"/>
              </w:rPr>
            </w:pPr>
          </w:p>
        </w:tc>
        <w:tc>
          <w:tcPr>
            <w:tcW w:w="10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1,155,177</w:t>
            </w:r>
          </w:p>
        </w:tc>
        <w:tc>
          <w:tcPr>
            <w:tcW w:w="160" w:type="dxa"/>
            <w:vAlign w:val="bottom"/>
            <w:shd w:val="clear" w:color="auto" w:fill="CBDBD1"/>
          </w:tcPr>
          <w:p>
            <w:pPr>
              <w:spacing w:after="0"/>
              <w:rPr>
                <w:sz w:val="19"/>
                <w:szCs w:val="19"/>
                <w:color w:val="auto"/>
              </w:rPr>
            </w:pPr>
          </w:p>
        </w:tc>
        <w:tc>
          <w:tcPr>
            <w:tcW w:w="100" w:type="dxa"/>
            <w:vAlign w:val="bottom"/>
            <w:shd w:val="clear" w:color="auto" w:fill="CBDBD1"/>
          </w:tcPr>
          <w:p>
            <w:pPr>
              <w:spacing w:after="0"/>
              <w:rPr>
                <w:sz w:val="19"/>
                <w:szCs w:val="19"/>
                <w:color w:val="auto"/>
              </w:rPr>
            </w:pPr>
          </w:p>
        </w:tc>
        <w:tc>
          <w:tcPr>
            <w:tcW w:w="1280" w:type="dxa"/>
            <w:vAlign w:val="bottom"/>
            <w:gridSpan w:val="2"/>
            <w:shd w:val="clear" w:color="auto" w:fill="CBDBD1"/>
          </w:tcPr>
          <w:p>
            <w:pPr>
              <w:jc w:val="right"/>
              <w:ind w:right="160"/>
              <w:spacing w:after="0"/>
              <w:rPr>
                <w:sz w:val="20"/>
                <w:szCs w:val="20"/>
                <w:color w:val="auto"/>
              </w:rPr>
            </w:pPr>
            <w:r>
              <w:rPr>
                <w:rFonts w:ascii="Arial" w:cs="Arial" w:eastAsia="Arial" w:hAnsi="Arial"/>
                <w:sz w:val="18"/>
                <w:szCs w:val="18"/>
                <w:color w:val="auto"/>
              </w:rPr>
              <w:t>1,731,766</w:t>
            </w:r>
          </w:p>
        </w:tc>
        <w:tc>
          <w:tcPr>
            <w:tcW w:w="100" w:type="dxa"/>
            <w:vAlign w:val="bottom"/>
            <w:shd w:val="clear" w:color="auto" w:fill="CBDBD1"/>
          </w:tcPr>
          <w:p>
            <w:pPr>
              <w:spacing w:after="0"/>
              <w:rPr>
                <w:sz w:val="19"/>
                <w:szCs w:val="19"/>
                <w:color w:val="auto"/>
              </w:rPr>
            </w:pPr>
          </w:p>
        </w:tc>
        <w:tc>
          <w:tcPr>
            <w:tcW w:w="10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6,061,267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20" w:type="dxa"/>
            <w:vAlign w:val="bottom"/>
            <w:tcBorders>
              <w:top w:val="single" w:sz="8" w:color="CBDBD1"/>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Borders>
              <w:top w:val="single" w:sz="8" w:color="CBDBD1"/>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Borders>
              <w:top w:val="single" w:sz="8" w:color="CBDBD1"/>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20" w:type="dxa"/>
            <w:vAlign w:val="bottom"/>
            <w:shd w:val="clear" w:color="auto" w:fill="CBDBD1"/>
          </w:tcPr>
          <w:p>
            <w:pPr>
              <w:spacing w:after="0"/>
              <w:rPr>
                <w:sz w:val="20"/>
                <w:szCs w:val="20"/>
                <w:color w:val="auto"/>
              </w:rPr>
            </w:pPr>
            <w:r>
              <w:rPr>
                <w:rFonts w:ascii="Arial" w:cs="Arial" w:eastAsia="Arial" w:hAnsi="Arial"/>
                <w:sz w:val="18"/>
                <w:szCs w:val="18"/>
                <w:b w:val="1"/>
                <w:bCs w:val="1"/>
                <w:color w:val="auto"/>
              </w:rPr>
              <w:t>LOSS FROM OPERATIONS</w:t>
            </w:r>
          </w:p>
        </w:tc>
        <w:tc>
          <w:tcPr>
            <w:tcW w:w="100" w:type="dxa"/>
            <w:vAlign w:val="bottom"/>
            <w:shd w:val="clear" w:color="auto" w:fill="CBDBD1"/>
          </w:tcPr>
          <w:p>
            <w:pPr>
              <w:spacing w:after="0"/>
              <w:rPr>
                <w:sz w:val="19"/>
                <w:szCs w:val="19"/>
                <w:color w:val="auto"/>
              </w:rPr>
            </w:pPr>
          </w:p>
        </w:tc>
        <w:tc>
          <w:tcPr>
            <w:tcW w:w="1180" w:type="dxa"/>
            <w:vAlign w:val="bottom"/>
            <w:gridSpan w:val="2"/>
            <w:shd w:val="clear" w:color="auto" w:fill="CBDBD1"/>
          </w:tcPr>
          <w:p>
            <w:pPr>
              <w:jc w:val="right"/>
              <w:ind w:right="100"/>
              <w:spacing w:after="0"/>
              <w:rPr>
                <w:sz w:val="20"/>
                <w:szCs w:val="20"/>
                <w:color w:val="auto"/>
              </w:rPr>
            </w:pPr>
            <w:r>
              <w:rPr>
                <w:rFonts w:ascii="Arial" w:cs="Arial" w:eastAsia="Arial" w:hAnsi="Arial"/>
                <w:sz w:val="18"/>
                <w:szCs w:val="18"/>
                <w:color w:val="auto"/>
              </w:rPr>
              <w:t>(1,137,174)</w:t>
            </w:r>
          </w:p>
        </w:tc>
        <w:tc>
          <w:tcPr>
            <w:tcW w:w="100" w:type="dxa"/>
            <w:vAlign w:val="bottom"/>
            <w:shd w:val="clear" w:color="auto" w:fill="CBDBD1"/>
          </w:tcPr>
          <w:p>
            <w:pPr>
              <w:spacing w:after="0"/>
              <w:rPr>
                <w:sz w:val="19"/>
                <w:szCs w:val="19"/>
                <w:color w:val="auto"/>
              </w:rPr>
            </w:pPr>
          </w:p>
        </w:tc>
        <w:tc>
          <w:tcPr>
            <w:tcW w:w="1280" w:type="dxa"/>
            <w:vAlign w:val="bottom"/>
            <w:gridSpan w:val="2"/>
            <w:shd w:val="clear" w:color="auto" w:fill="CBDBD1"/>
          </w:tcPr>
          <w:p>
            <w:pPr>
              <w:jc w:val="right"/>
              <w:ind w:right="100"/>
              <w:spacing w:after="0"/>
              <w:rPr>
                <w:sz w:val="20"/>
                <w:szCs w:val="20"/>
                <w:color w:val="auto"/>
              </w:rPr>
            </w:pPr>
            <w:r>
              <w:rPr>
                <w:rFonts w:ascii="Arial" w:cs="Arial" w:eastAsia="Arial" w:hAnsi="Arial"/>
                <w:sz w:val="18"/>
                <w:szCs w:val="18"/>
                <w:color w:val="auto"/>
              </w:rPr>
              <w:t>(1,727,046)</w:t>
            </w:r>
          </w:p>
        </w:tc>
        <w:tc>
          <w:tcPr>
            <w:tcW w:w="100" w:type="dxa"/>
            <w:vAlign w:val="bottom"/>
            <w:shd w:val="clear" w:color="auto" w:fill="CBDBD1"/>
          </w:tcPr>
          <w:p>
            <w:pPr>
              <w:spacing w:after="0"/>
              <w:rPr>
                <w:sz w:val="19"/>
                <w:szCs w:val="19"/>
                <w:color w:val="auto"/>
              </w:rPr>
            </w:pPr>
          </w:p>
        </w:tc>
        <w:tc>
          <w:tcPr>
            <w:tcW w:w="10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(5,832,537)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20" w:type="dxa"/>
            <w:vAlign w:val="bottom"/>
            <w:tcBorders>
              <w:top w:val="single" w:sz="8" w:color="CBDBD1"/>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Borders>
              <w:top w:val="single" w:sz="8" w:color="CBDBD1"/>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Borders>
              <w:top w:val="single" w:sz="8" w:color="CBDBD1"/>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BDBD1"/>
          </w:tcPr>
          <w:p>
            <w:pPr>
              <w:spacing w:after="0"/>
              <w:rPr>
                <w:sz w:val="20"/>
                <w:szCs w:val="20"/>
                <w:color w:val="auto"/>
              </w:rPr>
            </w:pPr>
            <w:r>
              <w:rPr>
                <w:rFonts w:ascii="Arial" w:cs="Arial" w:eastAsia="Arial" w:hAnsi="Arial"/>
                <w:sz w:val="18"/>
                <w:szCs w:val="18"/>
                <w:b w:val="1"/>
                <w:bCs w:val="1"/>
                <w:color w:val="auto"/>
              </w:rPr>
              <w:t>OTHER INCOME (EXPENSE)</w:t>
            </w:r>
          </w:p>
        </w:tc>
        <w:tc>
          <w:tcPr>
            <w:tcW w:w="100" w:type="dxa"/>
            <w:vAlign w:val="bottom"/>
            <w:shd w:val="clear" w:color="auto" w:fill="CBDBD1"/>
          </w:tcPr>
          <w:p>
            <w:pPr>
              <w:spacing w:after="0"/>
              <w:rPr>
                <w:sz w:val="18"/>
                <w:szCs w:val="18"/>
                <w:color w:val="auto"/>
              </w:rPr>
            </w:pPr>
          </w:p>
        </w:tc>
        <w:tc>
          <w:tcPr>
            <w:tcW w:w="1020" w:type="dxa"/>
            <w:vAlign w:val="bottom"/>
            <w:shd w:val="clear" w:color="auto" w:fill="CBDBD1"/>
          </w:tcPr>
          <w:p>
            <w:pPr>
              <w:spacing w:after="0"/>
              <w:rPr>
                <w:sz w:val="18"/>
                <w:szCs w:val="18"/>
                <w:color w:val="auto"/>
              </w:rPr>
            </w:pPr>
          </w:p>
        </w:tc>
        <w:tc>
          <w:tcPr>
            <w:tcW w:w="16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120" w:type="dxa"/>
            <w:vAlign w:val="bottom"/>
            <w:shd w:val="clear" w:color="auto" w:fill="CBDBD1"/>
          </w:tcPr>
          <w:p>
            <w:pPr>
              <w:spacing w:after="0"/>
              <w:rPr>
                <w:sz w:val="18"/>
                <w:szCs w:val="18"/>
                <w:color w:val="auto"/>
              </w:rPr>
            </w:pPr>
          </w:p>
        </w:tc>
        <w:tc>
          <w:tcPr>
            <w:tcW w:w="16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060" w:type="dxa"/>
            <w:vAlign w:val="bottom"/>
            <w:shd w:val="clear" w:color="auto" w:fill="CBDBD1"/>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32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1,530</w:t>
            </w: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22,664</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36,809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BDBD1"/>
          </w:tcPr>
          <w:p>
            <w:pPr>
              <w:ind w:left="320"/>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BDBD1"/>
          </w:tcPr>
          <w:p>
            <w:pPr>
              <w:spacing w:after="0"/>
              <w:rPr>
                <w:sz w:val="18"/>
                <w:szCs w:val="18"/>
                <w:color w:val="auto"/>
              </w:rPr>
            </w:pPr>
          </w:p>
        </w:tc>
        <w:tc>
          <w:tcPr>
            <w:tcW w:w="1180" w:type="dxa"/>
            <w:vAlign w:val="bottom"/>
            <w:gridSpan w:val="2"/>
            <w:shd w:val="clear" w:color="auto" w:fill="CBDBD1"/>
          </w:tcPr>
          <w:p>
            <w:pPr>
              <w:jc w:val="right"/>
              <w:ind w:right="16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BDBD1"/>
          </w:tcPr>
          <w:p>
            <w:pPr>
              <w:spacing w:after="0"/>
              <w:rPr>
                <w:sz w:val="18"/>
                <w:szCs w:val="18"/>
                <w:color w:val="auto"/>
              </w:rPr>
            </w:pPr>
          </w:p>
        </w:tc>
        <w:tc>
          <w:tcPr>
            <w:tcW w:w="1280" w:type="dxa"/>
            <w:vAlign w:val="bottom"/>
            <w:gridSpan w:val="2"/>
            <w:shd w:val="clear" w:color="auto" w:fill="CBDBD1"/>
          </w:tcPr>
          <w:p>
            <w:pPr>
              <w:jc w:val="right"/>
              <w:ind w:right="160"/>
              <w:spacing w:after="0"/>
              <w:rPr>
                <w:sz w:val="20"/>
                <w:szCs w:val="20"/>
                <w:color w:val="auto"/>
              </w:rPr>
            </w:pPr>
            <w:r>
              <w:rPr>
                <w:rFonts w:ascii="Arial" w:cs="Arial" w:eastAsia="Arial" w:hAnsi="Arial"/>
                <w:sz w:val="18"/>
                <w:szCs w:val="18"/>
                <w:color w:val="auto"/>
              </w:rPr>
              <w:t>1,783</w:t>
            </w:r>
          </w:p>
        </w:tc>
        <w:tc>
          <w:tcPr>
            <w:tcW w:w="100" w:type="dxa"/>
            <w:vAlign w:val="bottom"/>
            <w:shd w:val="clear" w:color="auto" w:fill="CBDBD1"/>
          </w:tcPr>
          <w:p>
            <w:pPr>
              <w:spacing w:after="0"/>
              <w:rPr>
                <w:sz w:val="18"/>
                <w:szCs w:val="18"/>
                <w:color w:val="auto"/>
              </w:rPr>
            </w:pPr>
          </w:p>
        </w:tc>
        <w:tc>
          <w:tcPr>
            <w:tcW w:w="10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1,471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32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BDBD1"/>
          </w:tcPr>
          <w:p>
            <w:pPr>
              <w:ind w:left="32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BDBD1"/>
          </w:tcPr>
          <w:p>
            <w:pPr>
              <w:spacing w:after="0"/>
              <w:rPr>
                <w:sz w:val="18"/>
                <w:szCs w:val="18"/>
                <w:color w:val="auto"/>
              </w:rPr>
            </w:pPr>
          </w:p>
        </w:tc>
        <w:tc>
          <w:tcPr>
            <w:tcW w:w="10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280" w:type="dxa"/>
            <w:vAlign w:val="bottom"/>
            <w:gridSpan w:val="2"/>
            <w:shd w:val="clear" w:color="auto" w:fill="CBDBD1"/>
          </w:tcPr>
          <w:p>
            <w:pPr>
              <w:jc w:val="right"/>
              <w:ind w:right="16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BDBD1"/>
          </w:tcPr>
          <w:p>
            <w:pPr>
              <w:spacing w:after="0"/>
              <w:rPr>
                <w:sz w:val="18"/>
                <w:szCs w:val="18"/>
                <w:color w:val="auto"/>
              </w:rPr>
            </w:pPr>
          </w:p>
        </w:tc>
        <w:tc>
          <w:tcPr>
            <w:tcW w:w="10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(4,684,537)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20" w:type="dxa"/>
            <w:vAlign w:val="bottom"/>
            <w:shd w:val="clear" w:color="auto" w:fill="CBDBD1"/>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shd w:val="clear" w:color="auto" w:fill="CBDBD1"/>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shd w:val="clear" w:color="auto" w:fill="CBDBD1"/>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720" w:type="dxa"/>
            <w:vAlign w:val="bottom"/>
          </w:tcPr>
          <w:p>
            <w:pPr>
              <w:spacing w:after="0"/>
              <w:rPr>
                <w:sz w:val="20"/>
                <w:szCs w:val="20"/>
                <w:color w:val="auto"/>
              </w:rPr>
            </w:pPr>
            <w:r>
              <w:rPr>
                <w:rFonts w:ascii="Arial" w:cs="Arial" w:eastAsia="Arial" w:hAnsi="Arial"/>
                <w:sz w:val="18"/>
                <w:szCs w:val="18"/>
                <w:b w:val="1"/>
                <w:bCs w:val="1"/>
                <w:color w:val="auto"/>
              </w:rPr>
              <w:t>TOTAL OTHER INCOME (EXPENSE)</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24,178</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(4,653,652)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BDBD1"/>
          </w:tcPr>
          <w:p>
            <w:pPr>
              <w:spacing w:after="0"/>
              <w:rPr>
                <w:sz w:val="18"/>
                <w:szCs w:val="18"/>
                <w:color w:val="auto"/>
              </w:rPr>
            </w:pPr>
          </w:p>
        </w:tc>
        <w:tc>
          <w:tcPr>
            <w:tcW w:w="100" w:type="dxa"/>
            <w:vAlign w:val="bottom"/>
            <w:tcBorders>
              <w:top w:val="single" w:sz="8" w:color="auto"/>
            </w:tcBorders>
            <w:shd w:val="clear" w:color="auto" w:fill="CBDBD1"/>
          </w:tcPr>
          <w:p>
            <w:pPr>
              <w:spacing w:after="0"/>
              <w:rPr>
                <w:sz w:val="18"/>
                <w:szCs w:val="18"/>
                <w:color w:val="auto"/>
              </w:rPr>
            </w:pPr>
          </w:p>
        </w:tc>
        <w:tc>
          <w:tcPr>
            <w:tcW w:w="1020" w:type="dxa"/>
            <w:vAlign w:val="bottom"/>
            <w:tcBorders>
              <w:top w:val="single" w:sz="8" w:color="auto"/>
            </w:tcBorders>
            <w:shd w:val="clear" w:color="auto" w:fill="CBDBD1"/>
          </w:tcPr>
          <w:p>
            <w:pPr>
              <w:spacing w:after="0"/>
              <w:rPr>
                <w:sz w:val="18"/>
                <w:szCs w:val="18"/>
                <w:color w:val="auto"/>
              </w:rPr>
            </w:pPr>
          </w:p>
        </w:tc>
        <w:tc>
          <w:tcPr>
            <w:tcW w:w="160" w:type="dxa"/>
            <w:vAlign w:val="bottom"/>
            <w:shd w:val="clear" w:color="auto" w:fill="CBDBD1"/>
          </w:tcPr>
          <w:p>
            <w:pPr>
              <w:spacing w:after="0"/>
              <w:rPr>
                <w:sz w:val="18"/>
                <w:szCs w:val="18"/>
                <w:color w:val="auto"/>
              </w:rPr>
            </w:pPr>
          </w:p>
        </w:tc>
        <w:tc>
          <w:tcPr>
            <w:tcW w:w="100" w:type="dxa"/>
            <w:vAlign w:val="bottom"/>
            <w:tcBorders>
              <w:top w:val="single" w:sz="8" w:color="auto"/>
            </w:tcBorders>
            <w:shd w:val="clear" w:color="auto" w:fill="CBDBD1"/>
          </w:tcPr>
          <w:p>
            <w:pPr>
              <w:spacing w:after="0"/>
              <w:rPr>
                <w:sz w:val="18"/>
                <w:szCs w:val="18"/>
                <w:color w:val="auto"/>
              </w:rPr>
            </w:pPr>
          </w:p>
        </w:tc>
        <w:tc>
          <w:tcPr>
            <w:tcW w:w="1120" w:type="dxa"/>
            <w:vAlign w:val="bottom"/>
            <w:tcBorders>
              <w:top w:val="single" w:sz="8" w:color="auto"/>
            </w:tcBorders>
            <w:shd w:val="clear" w:color="auto" w:fill="CBDBD1"/>
          </w:tcPr>
          <w:p>
            <w:pPr>
              <w:spacing w:after="0"/>
              <w:rPr>
                <w:sz w:val="18"/>
                <w:szCs w:val="18"/>
                <w:color w:val="auto"/>
              </w:rPr>
            </w:pPr>
          </w:p>
        </w:tc>
        <w:tc>
          <w:tcPr>
            <w:tcW w:w="160" w:type="dxa"/>
            <w:vAlign w:val="bottom"/>
            <w:shd w:val="clear" w:color="auto" w:fill="CBDBD1"/>
          </w:tcPr>
          <w:p>
            <w:pPr>
              <w:spacing w:after="0"/>
              <w:rPr>
                <w:sz w:val="18"/>
                <w:szCs w:val="18"/>
                <w:color w:val="auto"/>
              </w:rPr>
            </w:pPr>
          </w:p>
        </w:tc>
        <w:tc>
          <w:tcPr>
            <w:tcW w:w="100" w:type="dxa"/>
            <w:vAlign w:val="bottom"/>
            <w:tcBorders>
              <w:top w:val="single" w:sz="8" w:color="auto"/>
            </w:tcBorders>
            <w:shd w:val="clear" w:color="auto" w:fill="CBDBD1"/>
          </w:tcPr>
          <w:p>
            <w:pPr>
              <w:spacing w:after="0"/>
              <w:rPr>
                <w:sz w:val="18"/>
                <w:szCs w:val="18"/>
                <w:color w:val="auto"/>
              </w:rPr>
            </w:pPr>
          </w:p>
        </w:tc>
        <w:tc>
          <w:tcPr>
            <w:tcW w:w="1060" w:type="dxa"/>
            <w:vAlign w:val="bottom"/>
            <w:tcBorders>
              <w:top w:val="single" w:sz="8" w:color="auto"/>
            </w:tcBorders>
            <w:shd w:val="clear" w:color="auto" w:fill="CBDBD1"/>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b w:val="1"/>
                <w:bCs w:val="1"/>
                <w:color w:val="auto"/>
              </w:rPr>
              <w:t>LOSS BEFORE PROVISION FOR INCOME TAXES</w:t>
            </w: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(1,135,870)</w:t>
            </w:r>
          </w:p>
        </w:tc>
        <w:tc>
          <w:tcPr>
            <w:tcW w:w="1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(1,702,868)</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(10,486,189)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020" w:type="dxa"/>
            <w:vAlign w:val="bottom"/>
            <w:shd w:val="clear" w:color="auto" w:fill="CBDBD1"/>
          </w:tcPr>
          <w:p>
            <w:pPr>
              <w:spacing w:after="0"/>
              <w:rPr>
                <w:sz w:val="18"/>
                <w:szCs w:val="18"/>
                <w:color w:val="auto"/>
              </w:rPr>
            </w:pPr>
          </w:p>
        </w:tc>
        <w:tc>
          <w:tcPr>
            <w:tcW w:w="16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120" w:type="dxa"/>
            <w:vAlign w:val="bottom"/>
            <w:shd w:val="clear" w:color="auto" w:fill="CBDBD1"/>
          </w:tcPr>
          <w:p>
            <w:pPr>
              <w:spacing w:after="0"/>
              <w:rPr>
                <w:sz w:val="18"/>
                <w:szCs w:val="18"/>
                <w:color w:val="auto"/>
              </w:rPr>
            </w:pPr>
          </w:p>
        </w:tc>
        <w:tc>
          <w:tcPr>
            <w:tcW w:w="16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060" w:type="dxa"/>
            <w:vAlign w:val="bottom"/>
            <w:shd w:val="clear" w:color="auto" w:fill="CBDBD1"/>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20" w:type="dxa"/>
            <w:vAlign w:val="bottom"/>
          </w:tcPr>
          <w:p>
            <w:pPr>
              <w:spacing w:after="0"/>
              <w:rPr>
                <w:sz w:val="20"/>
                <w:szCs w:val="20"/>
                <w:color w:val="auto"/>
              </w:rPr>
            </w:pPr>
            <w:r>
              <w:rPr>
                <w:rFonts w:ascii="Arial" w:cs="Arial" w:eastAsia="Arial" w:hAnsi="Arial"/>
                <w:sz w:val="18"/>
                <w:szCs w:val="18"/>
                <w:b w:val="1"/>
                <w:bCs w:val="1"/>
                <w:color w:val="auto"/>
              </w:rPr>
              <w:t>PROVISION FOR INCOME TAXES</w:t>
            </w:r>
          </w:p>
        </w:tc>
        <w:tc>
          <w:tcPr>
            <w:tcW w:w="1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BDBD1"/>
          </w:tcPr>
          <w:p>
            <w:pPr>
              <w:spacing w:after="0"/>
              <w:rPr>
                <w:sz w:val="18"/>
                <w:szCs w:val="18"/>
                <w:color w:val="auto"/>
              </w:rPr>
            </w:pPr>
          </w:p>
        </w:tc>
        <w:tc>
          <w:tcPr>
            <w:tcW w:w="100" w:type="dxa"/>
            <w:vAlign w:val="bottom"/>
            <w:tcBorders>
              <w:top w:val="single" w:sz="8" w:color="auto"/>
            </w:tcBorders>
            <w:shd w:val="clear" w:color="auto" w:fill="CBDBD1"/>
          </w:tcPr>
          <w:p>
            <w:pPr>
              <w:spacing w:after="0"/>
              <w:rPr>
                <w:sz w:val="18"/>
                <w:szCs w:val="18"/>
                <w:color w:val="auto"/>
              </w:rPr>
            </w:pPr>
          </w:p>
        </w:tc>
        <w:tc>
          <w:tcPr>
            <w:tcW w:w="1020" w:type="dxa"/>
            <w:vAlign w:val="bottom"/>
            <w:tcBorders>
              <w:top w:val="single" w:sz="8" w:color="auto"/>
            </w:tcBorders>
            <w:shd w:val="clear" w:color="auto" w:fill="CBDBD1"/>
          </w:tcPr>
          <w:p>
            <w:pPr>
              <w:spacing w:after="0"/>
              <w:rPr>
                <w:sz w:val="18"/>
                <w:szCs w:val="18"/>
                <w:color w:val="auto"/>
              </w:rPr>
            </w:pPr>
          </w:p>
        </w:tc>
        <w:tc>
          <w:tcPr>
            <w:tcW w:w="160" w:type="dxa"/>
            <w:vAlign w:val="bottom"/>
            <w:shd w:val="clear" w:color="auto" w:fill="CBDBD1"/>
          </w:tcPr>
          <w:p>
            <w:pPr>
              <w:spacing w:after="0"/>
              <w:rPr>
                <w:sz w:val="18"/>
                <w:szCs w:val="18"/>
                <w:color w:val="auto"/>
              </w:rPr>
            </w:pPr>
          </w:p>
        </w:tc>
        <w:tc>
          <w:tcPr>
            <w:tcW w:w="100" w:type="dxa"/>
            <w:vAlign w:val="bottom"/>
            <w:tcBorders>
              <w:top w:val="single" w:sz="8" w:color="auto"/>
            </w:tcBorders>
            <w:shd w:val="clear" w:color="auto" w:fill="CBDBD1"/>
          </w:tcPr>
          <w:p>
            <w:pPr>
              <w:spacing w:after="0"/>
              <w:rPr>
                <w:sz w:val="18"/>
                <w:szCs w:val="18"/>
                <w:color w:val="auto"/>
              </w:rPr>
            </w:pPr>
          </w:p>
        </w:tc>
        <w:tc>
          <w:tcPr>
            <w:tcW w:w="1120" w:type="dxa"/>
            <w:vAlign w:val="bottom"/>
            <w:tcBorders>
              <w:top w:val="single" w:sz="8" w:color="auto"/>
            </w:tcBorders>
            <w:shd w:val="clear" w:color="auto" w:fill="CBDBD1"/>
          </w:tcPr>
          <w:p>
            <w:pPr>
              <w:spacing w:after="0"/>
              <w:rPr>
                <w:sz w:val="18"/>
                <w:szCs w:val="18"/>
                <w:color w:val="auto"/>
              </w:rPr>
            </w:pPr>
          </w:p>
        </w:tc>
        <w:tc>
          <w:tcPr>
            <w:tcW w:w="160" w:type="dxa"/>
            <w:vAlign w:val="bottom"/>
            <w:shd w:val="clear" w:color="auto" w:fill="CBDBD1"/>
          </w:tcPr>
          <w:p>
            <w:pPr>
              <w:spacing w:after="0"/>
              <w:rPr>
                <w:sz w:val="18"/>
                <w:szCs w:val="18"/>
                <w:color w:val="auto"/>
              </w:rPr>
            </w:pPr>
          </w:p>
        </w:tc>
        <w:tc>
          <w:tcPr>
            <w:tcW w:w="100" w:type="dxa"/>
            <w:vAlign w:val="bottom"/>
            <w:tcBorders>
              <w:top w:val="single" w:sz="8" w:color="auto"/>
            </w:tcBorders>
            <w:shd w:val="clear" w:color="auto" w:fill="CBDBD1"/>
          </w:tcPr>
          <w:p>
            <w:pPr>
              <w:spacing w:after="0"/>
              <w:rPr>
                <w:sz w:val="18"/>
                <w:szCs w:val="18"/>
                <w:color w:val="auto"/>
              </w:rPr>
            </w:pPr>
          </w:p>
        </w:tc>
        <w:tc>
          <w:tcPr>
            <w:tcW w:w="1060" w:type="dxa"/>
            <w:vAlign w:val="bottom"/>
            <w:tcBorders>
              <w:top w:val="single" w:sz="8" w:color="auto"/>
            </w:tcBorders>
            <w:shd w:val="clear" w:color="auto" w:fill="CBDBD1"/>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(1,135,870)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(1,702,868)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(10,486,189)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72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020" w:type="dxa"/>
            <w:vAlign w:val="bottom"/>
            <w:shd w:val="clear" w:color="auto" w:fill="CBDBD1"/>
          </w:tcPr>
          <w:p>
            <w:pPr>
              <w:spacing w:after="0"/>
              <w:rPr>
                <w:sz w:val="18"/>
                <w:szCs w:val="18"/>
                <w:color w:val="auto"/>
              </w:rPr>
            </w:pPr>
          </w:p>
        </w:tc>
        <w:tc>
          <w:tcPr>
            <w:tcW w:w="16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120" w:type="dxa"/>
            <w:vAlign w:val="bottom"/>
            <w:shd w:val="clear" w:color="auto" w:fill="CBDBD1"/>
          </w:tcPr>
          <w:p>
            <w:pPr>
              <w:spacing w:after="0"/>
              <w:rPr>
                <w:sz w:val="18"/>
                <w:szCs w:val="18"/>
                <w:color w:val="auto"/>
              </w:rPr>
            </w:pPr>
          </w:p>
        </w:tc>
        <w:tc>
          <w:tcPr>
            <w:tcW w:w="16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060" w:type="dxa"/>
            <w:vAlign w:val="bottom"/>
            <w:shd w:val="clear" w:color="auto" w:fill="CBDBD1"/>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20" w:type="dxa"/>
            <w:vAlign w:val="bottom"/>
          </w:tcPr>
          <w:p>
            <w:pPr>
              <w:spacing w:after="0" w:line="198" w:lineRule="exact"/>
              <w:rPr>
                <w:sz w:val="20"/>
                <w:szCs w:val="20"/>
                <w:color w:val="auto"/>
              </w:rPr>
            </w:pPr>
            <w:r>
              <w:rPr>
                <w:rFonts w:ascii="Arial" w:cs="Arial" w:eastAsia="Arial" w:hAnsi="Arial"/>
                <w:sz w:val="18"/>
                <w:szCs w:val="18"/>
                <w:b w:val="1"/>
                <w:bCs w:val="1"/>
                <w:color w:val="auto"/>
              </w:rPr>
              <w:t>WEIGHTED AVERAGE NUMBER OF SHARES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20" w:type="dxa"/>
            <w:vAlign w:val="bottom"/>
          </w:tcPr>
          <w:p>
            <w:pPr>
              <w:spacing w:after="0"/>
              <w:rPr>
                <w:sz w:val="20"/>
                <w:szCs w:val="20"/>
                <w:color w:val="auto"/>
              </w:rPr>
            </w:pPr>
            <w:r>
              <w:rPr>
                <w:rFonts w:ascii="Arial" w:cs="Arial" w:eastAsia="Arial" w:hAnsi="Arial"/>
                <w:sz w:val="18"/>
                <w:szCs w:val="18"/>
                <w:b w:val="1"/>
                <w:bCs w:val="1"/>
                <w:color w:val="auto"/>
              </w:rPr>
              <w:t>OUTSTADING: BASIC AND DILUTED</w:t>
            </w:r>
          </w:p>
        </w:tc>
        <w:tc>
          <w:tcPr>
            <w:tcW w:w="10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13,115,405</w:t>
            </w:r>
          </w:p>
        </w:tc>
        <w:tc>
          <w:tcPr>
            <w:tcW w:w="10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12,499,137</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72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020" w:type="dxa"/>
            <w:vAlign w:val="bottom"/>
            <w:shd w:val="clear" w:color="auto" w:fill="CBDBD1"/>
          </w:tcPr>
          <w:p>
            <w:pPr>
              <w:spacing w:after="0"/>
              <w:rPr>
                <w:sz w:val="18"/>
                <w:szCs w:val="18"/>
                <w:color w:val="auto"/>
              </w:rPr>
            </w:pPr>
          </w:p>
        </w:tc>
        <w:tc>
          <w:tcPr>
            <w:tcW w:w="16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120" w:type="dxa"/>
            <w:vAlign w:val="bottom"/>
            <w:shd w:val="clear" w:color="auto" w:fill="CBDBD1"/>
          </w:tcPr>
          <w:p>
            <w:pPr>
              <w:spacing w:after="0"/>
              <w:rPr>
                <w:sz w:val="18"/>
                <w:szCs w:val="18"/>
                <w:color w:val="auto"/>
              </w:rPr>
            </w:pPr>
          </w:p>
        </w:tc>
        <w:tc>
          <w:tcPr>
            <w:tcW w:w="16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060" w:type="dxa"/>
            <w:vAlign w:val="bottom"/>
            <w:shd w:val="clear" w:color="auto" w:fill="CBDBD1"/>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b w:val="1"/>
                <w:bCs w:val="1"/>
                <w:color w:val="auto"/>
              </w:rPr>
              <w:t>NET LOSS PER SHARE: BASIC AND DILUTED</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(0.09)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ind w:right="-839"/>
        <w:spacing w:after="0"/>
        <w:rPr>
          <w:sz w:val="20"/>
          <w:szCs w:val="20"/>
          <w:color w:val="auto"/>
        </w:rPr>
      </w:pPr>
      <w:r>
        <w:rPr>
          <w:rFonts w:ascii="Arial" w:cs="Arial" w:eastAsia="Arial" w:hAnsi="Arial"/>
          <w:sz w:val="18"/>
          <w:szCs w:val="18"/>
          <w:b w:val="1"/>
          <w:bCs w:val="1"/>
          <w:color w:val="auto"/>
        </w:rPr>
        <w:t>OPTIMIZERx CORPORATION</w:t>
      </w:r>
    </w:p>
    <w:p>
      <w:pPr>
        <w:spacing w:after="0" w:line="7" w:lineRule="exact"/>
        <w:rPr>
          <w:sz w:val="20"/>
          <w:szCs w:val="20"/>
          <w:color w:val="auto"/>
        </w:rPr>
      </w:pPr>
    </w:p>
    <w:p>
      <w:pPr>
        <w:jc w:val="center"/>
        <w:ind w:right="-83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839"/>
        <w:spacing w:after="0"/>
        <w:rPr>
          <w:sz w:val="20"/>
          <w:szCs w:val="20"/>
          <w:color w:val="auto"/>
        </w:rPr>
      </w:pPr>
      <w:r>
        <w:rPr>
          <w:rFonts w:ascii="Arial" w:cs="Arial" w:eastAsia="Arial" w:hAnsi="Arial"/>
          <w:sz w:val="18"/>
          <w:szCs w:val="18"/>
          <w:b w:val="1"/>
          <w:bCs w:val="1"/>
          <w:color w:val="auto"/>
        </w:rPr>
        <w:t>CONSOLIDATED STATEMENT OF STOCKHOLDERS’ EQUITY (UNAUDITED)</w:t>
      </w:r>
    </w:p>
    <w:p>
      <w:pPr>
        <w:spacing w:after="0" w:line="9" w:lineRule="exact"/>
        <w:rPr>
          <w:sz w:val="20"/>
          <w:szCs w:val="20"/>
          <w:color w:val="auto"/>
        </w:rPr>
      </w:pPr>
    </w:p>
    <w:p>
      <w:pPr>
        <w:jc w:val="center"/>
        <w:ind w:right="-839"/>
        <w:spacing w:after="0"/>
        <w:rPr>
          <w:sz w:val="20"/>
          <w:szCs w:val="20"/>
          <w:color w:val="auto"/>
        </w:rPr>
      </w:pPr>
      <w:r>
        <w:rPr>
          <w:rFonts w:ascii="Arial" w:cs="Arial" w:eastAsia="Arial" w:hAnsi="Arial"/>
          <w:sz w:val="18"/>
          <w:szCs w:val="18"/>
          <w:b w:val="1"/>
          <w:bCs w:val="1"/>
          <w:color w:val="auto"/>
        </w:rPr>
        <w:t>AS OF JUNE 30, 2010</w:t>
      </w:r>
    </w:p>
    <w:p>
      <w:pPr>
        <w:spacing w:after="0" w:line="238"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Deficit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Accumulated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Additional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During the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840" w:type="dxa"/>
            <w:vAlign w:val="bottom"/>
            <w:gridSpan w:val="5"/>
          </w:tcPr>
          <w:p>
            <w:pPr>
              <w:ind w:left="380"/>
              <w:spacing w:after="0"/>
              <w:rPr>
                <w:sz w:val="20"/>
                <w:szCs w:val="20"/>
                <w:color w:val="auto"/>
              </w:rPr>
            </w:pPr>
            <w:r>
              <w:rPr>
                <w:rFonts w:ascii="Arial" w:cs="Arial" w:eastAsia="Arial" w:hAnsi="Arial"/>
                <w:sz w:val="18"/>
                <w:szCs w:val="18"/>
                <w:color w:val="auto"/>
              </w:rPr>
              <w:t>Common Stock</w:t>
            </w:r>
          </w:p>
        </w:tc>
        <w:tc>
          <w:tcPr>
            <w:tcW w:w="1580" w:type="dxa"/>
            <w:vAlign w:val="bottom"/>
            <w:gridSpan w:val="4"/>
          </w:tcPr>
          <w:p>
            <w:pPr>
              <w:jc w:val="right"/>
              <w:ind w:right="110"/>
              <w:spacing w:after="0"/>
              <w:rPr>
                <w:sz w:val="20"/>
                <w:szCs w:val="20"/>
                <w:color w:val="auto"/>
              </w:rPr>
            </w:pPr>
            <w:r>
              <w:rPr>
                <w:rFonts w:ascii="Arial" w:cs="Arial" w:eastAsia="Arial" w:hAnsi="Arial"/>
                <w:sz w:val="18"/>
                <w:szCs w:val="18"/>
                <w:color w:val="auto"/>
              </w:rPr>
              <w:t>Preferred Stock</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Stock</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Paid-in</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Development</w:t>
            </w:r>
          </w:p>
        </w:tc>
        <w:tc>
          <w:tcPr>
            <w:tcW w:w="120" w:type="dxa"/>
            <w:vAlign w:val="bottom"/>
          </w:tcPr>
          <w:p>
            <w:pPr>
              <w:spacing w:after="0"/>
              <w:rPr>
                <w:sz w:val="20"/>
                <w:szCs w:val="20"/>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1"/>
              </w:rPr>
              <w:t>Stockholders'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9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Shares</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Amount</w:t>
            </w:r>
          </w:p>
        </w:tc>
        <w:tc>
          <w:tcPr>
            <w:tcW w:w="10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Shares</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6"/>
              </w:rPr>
              <w:t>Amount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Warrants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Capital</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color w:val="auto"/>
                <w:w w:val="84"/>
              </w:rPr>
              <w:t>Stage</w:t>
            </w:r>
          </w:p>
        </w:tc>
        <w:tc>
          <w:tcPr>
            <w:tcW w:w="120" w:type="dxa"/>
            <w:vAlign w:val="bottom"/>
          </w:tcPr>
          <w:p>
            <w:pPr>
              <w:spacing w:after="0"/>
              <w:rPr>
                <w:sz w:val="19"/>
                <w:szCs w:val="19"/>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640" w:type="dxa"/>
            <w:vAlign w:val="bottom"/>
            <w:shd w:val="clear" w:color="auto" w:fill="CBDBD1"/>
          </w:tcPr>
          <w:p>
            <w:pPr>
              <w:spacing w:after="0" w:line="201" w:lineRule="exact"/>
              <w:rPr>
                <w:sz w:val="20"/>
                <w:szCs w:val="20"/>
                <w:color w:val="auto"/>
              </w:rPr>
            </w:pPr>
            <w:r>
              <w:rPr>
                <w:rFonts w:ascii="Arial" w:cs="Arial" w:eastAsia="Arial" w:hAnsi="Arial"/>
                <w:sz w:val="18"/>
                <w:szCs w:val="18"/>
                <w:color w:val="auto"/>
              </w:rPr>
              <w:t>Balance, December</w:t>
            </w:r>
          </w:p>
        </w:tc>
        <w:tc>
          <w:tcPr>
            <w:tcW w:w="90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62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64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720" w:type="dxa"/>
            <w:vAlign w:val="bottom"/>
            <w:tcBorders>
              <w:right w:val="single" w:sz="8" w:color="CBDBD1"/>
            </w:tcBorders>
            <w:shd w:val="clear" w:color="auto" w:fill="CBDBD1"/>
          </w:tcPr>
          <w:p>
            <w:pPr>
              <w:spacing w:after="0"/>
              <w:rPr>
                <w:sz w:val="17"/>
                <w:szCs w:val="17"/>
                <w:color w:val="auto"/>
              </w:rPr>
            </w:pPr>
          </w:p>
        </w:tc>
        <w:tc>
          <w:tcPr>
            <w:tcW w:w="90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80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1000" w:type="dxa"/>
            <w:vAlign w:val="bottom"/>
            <w:shd w:val="clear" w:color="auto" w:fill="CBDBD1"/>
          </w:tcPr>
          <w:p>
            <w:pPr>
              <w:spacing w:after="0"/>
              <w:rPr>
                <w:sz w:val="17"/>
                <w:szCs w:val="17"/>
                <w:color w:val="auto"/>
              </w:rPr>
            </w:pPr>
          </w:p>
        </w:tc>
        <w:tc>
          <w:tcPr>
            <w:tcW w:w="180" w:type="dxa"/>
            <w:vAlign w:val="bottom"/>
            <w:tcBorders>
              <w:right w:val="single" w:sz="8" w:color="CBDBD1"/>
            </w:tcBorders>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1000" w:type="dxa"/>
            <w:vAlign w:val="bottom"/>
            <w:shd w:val="clear" w:color="auto" w:fill="CBDBD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40" w:type="dxa"/>
            <w:vAlign w:val="bottom"/>
            <w:shd w:val="clear" w:color="auto" w:fill="CBDBD1"/>
          </w:tcPr>
          <w:p>
            <w:pPr>
              <w:spacing w:after="0"/>
              <w:rPr>
                <w:sz w:val="20"/>
                <w:szCs w:val="20"/>
                <w:color w:val="auto"/>
              </w:rPr>
            </w:pPr>
            <w:r>
              <w:rPr>
                <w:rFonts w:ascii="Arial" w:cs="Arial" w:eastAsia="Arial" w:hAnsi="Arial"/>
                <w:sz w:val="18"/>
                <w:szCs w:val="18"/>
                <w:color w:val="auto"/>
              </w:rPr>
              <w:t>31, 2009</w:t>
            </w:r>
          </w:p>
        </w:tc>
        <w:tc>
          <w:tcPr>
            <w:tcW w:w="900" w:type="dxa"/>
            <w:vAlign w:val="bottom"/>
            <w:shd w:val="clear" w:color="auto" w:fill="CBDBD1"/>
          </w:tcPr>
          <w:p>
            <w:pPr>
              <w:jc w:val="right"/>
              <w:spacing w:after="0"/>
              <w:rPr>
                <w:sz w:val="20"/>
                <w:szCs w:val="20"/>
                <w:color w:val="auto"/>
              </w:rPr>
            </w:pPr>
            <w:r>
              <w:rPr>
                <w:rFonts w:ascii="Arial" w:cs="Arial" w:eastAsia="Arial" w:hAnsi="Arial"/>
                <w:sz w:val="18"/>
                <w:szCs w:val="18"/>
                <w:color w:val="auto"/>
                <w:w w:val="97"/>
              </w:rPr>
              <w:t>12,826,117</w:t>
            </w:r>
          </w:p>
        </w:tc>
        <w:tc>
          <w:tcPr>
            <w:tcW w:w="220" w:type="dxa"/>
            <w:vAlign w:val="bottom"/>
            <w:gridSpan w:val="2"/>
            <w:shd w:val="clear" w:color="auto" w:fill="CBDBD1"/>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12,826</w:t>
            </w:r>
          </w:p>
        </w:tc>
        <w:tc>
          <w:tcPr>
            <w:tcW w:w="100" w:type="dxa"/>
            <w:vAlign w:val="bottom"/>
            <w:shd w:val="clear" w:color="auto" w:fill="CBDBD1"/>
          </w:tcPr>
          <w:p>
            <w:pPr>
              <w:spacing w:after="0"/>
              <w:rPr>
                <w:sz w:val="20"/>
                <w:szCs w:val="20"/>
                <w:color w:val="auto"/>
              </w:rPr>
            </w:pPr>
          </w:p>
        </w:tc>
        <w:tc>
          <w:tcPr>
            <w:tcW w:w="6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35</w:t>
            </w:r>
          </w:p>
        </w:tc>
        <w:tc>
          <w:tcPr>
            <w:tcW w:w="220" w:type="dxa"/>
            <w:vAlign w:val="bottom"/>
            <w:gridSpan w:val="2"/>
            <w:shd w:val="clear" w:color="auto" w:fill="CBDBD1"/>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BDBD1"/>
            </w:tcBorders>
            <w:shd w:val="clear" w:color="auto" w:fill="CBDBD1"/>
          </w:tcPr>
          <w:p>
            <w:pPr>
              <w:jc w:val="right"/>
              <w:ind w:right="10"/>
              <w:spacing w:after="0"/>
              <w:rPr>
                <w:sz w:val="20"/>
                <w:szCs w:val="20"/>
                <w:color w:val="auto"/>
              </w:rPr>
            </w:pPr>
            <w:r>
              <w:rPr>
                <w:rFonts w:ascii="Arial" w:cs="Arial" w:eastAsia="Arial" w:hAnsi="Arial"/>
                <w:sz w:val="18"/>
                <w:szCs w:val="18"/>
                <w:color w:val="auto"/>
              </w:rPr>
              <w:t>0</w:t>
            </w:r>
          </w:p>
        </w:tc>
        <w:tc>
          <w:tcPr>
            <w:tcW w:w="900" w:type="dxa"/>
            <w:vAlign w:val="bottom"/>
            <w:shd w:val="clear" w:color="auto" w:fill="CBDBD1"/>
          </w:tcPr>
          <w:p>
            <w:pPr>
              <w:jc w:val="right"/>
              <w:spacing w:after="0"/>
              <w:rPr>
                <w:sz w:val="20"/>
                <w:szCs w:val="20"/>
                <w:color w:val="auto"/>
              </w:rPr>
            </w:pPr>
            <w:r>
              <w:rPr>
                <w:rFonts w:ascii="Arial" w:cs="Arial" w:eastAsia="Arial" w:hAnsi="Arial"/>
                <w:sz w:val="18"/>
                <w:szCs w:val="18"/>
                <w:color w:val="auto"/>
                <w:w w:val="87"/>
              </w:rPr>
              <w:t>$18,139,252</w:t>
            </w:r>
          </w:p>
        </w:tc>
        <w:tc>
          <w:tcPr>
            <w:tcW w:w="120" w:type="dxa"/>
            <w:vAlign w:val="bottom"/>
            <w:shd w:val="clear" w:color="auto" w:fill="CBDBD1"/>
          </w:tcPr>
          <w:p>
            <w:pPr>
              <w:spacing w:after="0"/>
              <w:rPr>
                <w:sz w:val="20"/>
                <w:szCs w:val="20"/>
                <w:color w:val="auto"/>
              </w:rPr>
            </w:pPr>
          </w:p>
        </w:tc>
        <w:tc>
          <w:tcPr>
            <w:tcW w:w="180" w:type="dxa"/>
            <w:vAlign w:val="bottom"/>
            <w:gridSpan w:val="2"/>
            <w:shd w:val="clear" w:color="auto" w:fill="CBDBD1"/>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BDBD1"/>
          </w:tcPr>
          <w:p>
            <w:pPr>
              <w:jc w:val="right"/>
              <w:spacing w:after="0"/>
              <w:rPr>
                <w:sz w:val="20"/>
                <w:szCs w:val="20"/>
                <w:color w:val="auto"/>
              </w:rPr>
            </w:pPr>
            <w:r>
              <w:rPr>
                <w:rFonts w:ascii="Arial" w:cs="Arial" w:eastAsia="Arial" w:hAnsi="Arial"/>
                <w:sz w:val="18"/>
                <w:szCs w:val="18"/>
                <w:color w:val="auto"/>
                <w:w w:val="97"/>
              </w:rPr>
              <w:t>1,747,962</w:t>
            </w:r>
          </w:p>
        </w:tc>
        <w:tc>
          <w:tcPr>
            <w:tcW w:w="120" w:type="dxa"/>
            <w:vAlign w:val="bottom"/>
            <w:shd w:val="clear" w:color="auto" w:fill="CBDBD1"/>
          </w:tcPr>
          <w:p>
            <w:pPr>
              <w:spacing w:after="0"/>
              <w:rPr>
                <w:sz w:val="20"/>
                <w:szCs w:val="20"/>
                <w:color w:val="auto"/>
              </w:rPr>
            </w:pPr>
          </w:p>
        </w:tc>
        <w:tc>
          <w:tcPr>
            <w:tcW w:w="200" w:type="dxa"/>
            <w:vAlign w:val="bottom"/>
            <w:gridSpan w:val="2"/>
            <w:shd w:val="clear" w:color="auto" w:fill="CBDBD1"/>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BDBD1"/>
            </w:tcBorders>
            <w:gridSpan w:val="2"/>
            <w:shd w:val="clear" w:color="auto" w:fill="CBDBD1"/>
          </w:tcPr>
          <w:p>
            <w:pPr>
              <w:jc w:val="right"/>
              <w:ind w:right="120"/>
              <w:spacing w:after="0"/>
              <w:rPr>
                <w:sz w:val="20"/>
                <w:szCs w:val="20"/>
                <w:color w:val="auto"/>
              </w:rPr>
            </w:pPr>
            <w:r>
              <w:rPr>
                <w:rFonts w:ascii="Arial" w:cs="Arial" w:eastAsia="Arial" w:hAnsi="Arial"/>
                <w:sz w:val="18"/>
                <w:szCs w:val="18"/>
                <w:color w:val="auto"/>
              </w:rPr>
              <w:t>(19,047,728)</w:t>
            </w:r>
          </w:p>
        </w:tc>
        <w:tc>
          <w:tcPr>
            <w:tcW w:w="120" w:type="dxa"/>
            <w:vAlign w:val="bottom"/>
            <w:shd w:val="clear" w:color="auto" w:fill="CBDBD1"/>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852,312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640" w:type="dxa"/>
            <w:vAlign w:val="bottom"/>
            <w:shd w:val="clear" w:color="auto" w:fill="CBDBD1"/>
          </w:tcPr>
          <w:p>
            <w:pPr>
              <w:spacing w:after="0" w:line="201" w:lineRule="exact"/>
              <w:rPr>
                <w:sz w:val="20"/>
                <w:szCs w:val="20"/>
                <w:color w:val="auto"/>
              </w:rPr>
            </w:pPr>
            <w:r>
              <w:rPr>
                <w:rFonts w:ascii="Arial" w:cs="Arial" w:eastAsia="Arial" w:hAnsi="Arial"/>
                <w:sz w:val="18"/>
                <w:szCs w:val="18"/>
                <w:color w:val="auto"/>
                <w:w w:val="97"/>
              </w:rPr>
              <w:t>Issuance of common</w:t>
            </w:r>
          </w:p>
        </w:tc>
        <w:tc>
          <w:tcPr>
            <w:tcW w:w="90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62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64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720" w:type="dxa"/>
            <w:vAlign w:val="bottom"/>
            <w:tcBorders>
              <w:right w:val="single" w:sz="8" w:color="CBDBD1"/>
            </w:tcBorders>
            <w:shd w:val="clear" w:color="auto" w:fill="CBDBD1"/>
          </w:tcPr>
          <w:p>
            <w:pPr>
              <w:spacing w:after="0"/>
              <w:rPr>
                <w:sz w:val="17"/>
                <w:szCs w:val="17"/>
                <w:color w:val="auto"/>
              </w:rPr>
            </w:pPr>
          </w:p>
        </w:tc>
        <w:tc>
          <w:tcPr>
            <w:tcW w:w="90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80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1000" w:type="dxa"/>
            <w:vAlign w:val="bottom"/>
            <w:shd w:val="clear" w:color="auto" w:fill="CBDBD1"/>
          </w:tcPr>
          <w:p>
            <w:pPr>
              <w:spacing w:after="0"/>
              <w:rPr>
                <w:sz w:val="17"/>
                <w:szCs w:val="17"/>
                <w:color w:val="auto"/>
              </w:rPr>
            </w:pPr>
          </w:p>
        </w:tc>
        <w:tc>
          <w:tcPr>
            <w:tcW w:w="180" w:type="dxa"/>
            <w:vAlign w:val="bottom"/>
            <w:tcBorders>
              <w:right w:val="single" w:sz="8" w:color="CBDBD1"/>
            </w:tcBorders>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1000" w:type="dxa"/>
            <w:vAlign w:val="bottom"/>
            <w:shd w:val="clear" w:color="auto" w:fill="CBDBD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40" w:type="dxa"/>
            <w:vAlign w:val="bottom"/>
            <w:shd w:val="clear" w:color="auto" w:fill="CBDBD1"/>
          </w:tcPr>
          <w:p>
            <w:pPr>
              <w:spacing w:after="0"/>
              <w:rPr>
                <w:sz w:val="20"/>
                <w:szCs w:val="20"/>
                <w:color w:val="auto"/>
              </w:rPr>
            </w:pPr>
            <w:r>
              <w:rPr>
                <w:rFonts w:ascii="Arial" w:cs="Arial" w:eastAsia="Arial" w:hAnsi="Arial"/>
                <w:sz w:val="18"/>
                <w:szCs w:val="18"/>
                <w:color w:val="auto"/>
              </w:rPr>
              <w:t>stock for services</w:t>
            </w:r>
          </w:p>
        </w:tc>
        <w:tc>
          <w:tcPr>
            <w:tcW w:w="9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103,000</w:t>
            </w:r>
          </w:p>
        </w:tc>
        <w:tc>
          <w:tcPr>
            <w:tcW w:w="100" w:type="dxa"/>
            <w:vAlign w:val="bottom"/>
            <w:shd w:val="clear" w:color="auto" w:fill="CBDBD1"/>
          </w:tcPr>
          <w:p>
            <w:pPr>
              <w:spacing w:after="0"/>
              <w:rPr>
                <w:sz w:val="20"/>
                <w:szCs w:val="20"/>
                <w:color w:val="auto"/>
              </w:rPr>
            </w:pPr>
          </w:p>
        </w:tc>
        <w:tc>
          <w:tcPr>
            <w:tcW w:w="120" w:type="dxa"/>
            <w:vAlign w:val="bottom"/>
            <w:shd w:val="clear" w:color="auto" w:fill="CBDBD1"/>
          </w:tcPr>
          <w:p>
            <w:pPr>
              <w:spacing w:after="0"/>
              <w:rPr>
                <w:sz w:val="20"/>
                <w:szCs w:val="20"/>
                <w:color w:val="auto"/>
              </w:rPr>
            </w:pPr>
          </w:p>
        </w:tc>
        <w:tc>
          <w:tcPr>
            <w:tcW w:w="6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BDBD1"/>
          </w:tcPr>
          <w:p>
            <w:pPr>
              <w:spacing w:after="0"/>
              <w:rPr>
                <w:sz w:val="20"/>
                <w:szCs w:val="20"/>
                <w:color w:val="auto"/>
              </w:rPr>
            </w:pPr>
          </w:p>
        </w:tc>
        <w:tc>
          <w:tcPr>
            <w:tcW w:w="6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BDBD1"/>
          </w:tcPr>
          <w:p>
            <w:pPr>
              <w:spacing w:after="0"/>
              <w:rPr>
                <w:sz w:val="20"/>
                <w:szCs w:val="20"/>
                <w:color w:val="auto"/>
              </w:rPr>
            </w:pPr>
          </w:p>
        </w:tc>
        <w:tc>
          <w:tcPr>
            <w:tcW w:w="120" w:type="dxa"/>
            <w:vAlign w:val="bottom"/>
            <w:shd w:val="clear" w:color="auto" w:fill="CBDBD1"/>
          </w:tcPr>
          <w:p>
            <w:pPr>
              <w:spacing w:after="0"/>
              <w:rPr>
                <w:sz w:val="20"/>
                <w:szCs w:val="20"/>
                <w:color w:val="auto"/>
              </w:rPr>
            </w:pPr>
          </w:p>
        </w:tc>
        <w:tc>
          <w:tcPr>
            <w:tcW w:w="720" w:type="dxa"/>
            <w:vAlign w:val="bottom"/>
            <w:tcBorders>
              <w:right w:val="single" w:sz="8" w:color="CBDBD1"/>
            </w:tcBorders>
            <w:shd w:val="clear" w:color="auto" w:fill="CBDBD1"/>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BDBD1"/>
          </w:tcPr>
          <w:p>
            <w:pPr>
              <w:spacing w:after="0"/>
              <w:rPr>
                <w:sz w:val="20"/>
                <w:szCs w:val="20"/>
                <w:color w:val="auto"/>
              </w:rPr>
            </w:pPr>
          </w:p>
        </w:tc>
        <w:tc>
          <w:tcPr>
            <w:tcW w:w="80" w:type="dxa"/>
            <w:vAlign w:val="bottom"/>
            <w:shd w:val="clear" w:color="auto" w:fill="CBDBD1"/>
          </w:tcPr>
          <w:p>
            <w:pPr>
              <w:spacing w:after="0"/>
              <w:rPr>
                <w:sz w:val="20"/>
                <w:szCs w:val="20"/>
                <w:color w:val="auto"/>
              </w:rPr>
            </w:pPr>
          </w:p>
        </w:tc>
        <w:tc>
          <w:tcPr>
            <w:tcW w:w="100" w:type="dxa"/>
            <w:vAlign w:val="bottom"/>
            <w:shd w:val="clear" w:color="auto" w:fill="CBDBD1"/>
          </w:tcPr>
          <w:p>
            <w:pPr>
              <w:spacing w:after="0"/>
              <w:rPr>
                <w:sz w:val="20"/>
                <w:szCs w:val="20"/>
                <w:color w:val="auto"/>
              </w:rPr>
            </w:pPr>
          </w:p>
        </w:tc>
        <w:tc>
          <w:tcPr>
            <w:tcW w:w="8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201,037</w:t>
            </w:r>
          </w:p>
        </w:tc>
        <w:tc>
          <w:tcPr>
            <w:tcW w:w="120" w:type="dxa"/>
            <w:vAlign w:val="bottom"/>
            <w:shd w:val="clear" w:color="auto" w:fill="CBDBD1"/>
          </w:tcPr>
          <w:p>
            <w:pPr>
              <w:spacing w:after="0"/>
              <w:rPr>
                <w:sz w:val="20"/>
                <w:szCs w:val="20"/>
                <w:color w:val="auto"/>
              </w:rPr>
            </w:pPr>
          </w:p>
        </w:tc>
        <w:tc>
          <w:tcPr>
            <w:tcW w:w="80" w:type="dxa"/>
            <w:vAlign w:val="bottom"/>
            <w:shd w:val="clear" w:color="auto" w:fill="CBDBD1"/>
          </w:tcPr>
          <w:p>
            <w:pPr>
              <w:spacing w:after="0"/>
              <w:rPr>
                <w:sz w:val="20"/>
                <w:szCs w:val="20"/>
                <w:color w:val="auto"/>
              </w:rPr>
            </w:pPr>
          </w:p>
        </w:tc>
        <w:tc>
          <w:tcPr>
            <w:tcW w:w="120" w:type="dxa"/>
            <w:vAlign w:val="bottom"/>
            <w:shd w:val="clear" w:color="auto" w:fill="CBDBD1"/>
          </w:tcPr>
          <w:p>
            <w:pPr>
              <w:spacing w:after="0"/>
              <w:rPr>
                <w:sz w:val="20"/>
                <w:szCs w:val="20"/>
                <w:color w:val="auto"/>
              </w:rPr>
            </w:pPr>
          </w:p>
        </w:tc>
        <w:tc>
          <w:tcPr>
            <w:tcW w:w="10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BDBD1"/>
            </w:tcBorders>
            <w:shd w:val="clear" w:color="auto" w:fill="CBDBD1"/>
          </w:tcPr>
          <w:p>
            <w:pPr>
              <w:spacing w:after="0"/>
              <w:rPr>
                <w:sz w:val="20"/>
                <w:szCs w:val="20"/>
                <w:color w:val="auto"/>
              </w:rPr>
            </w:pPr>
          </w:p>
        </w:tc>
        <w:tc>
          <w:tcPr>
            <w:tcW w:w="120" w:type="dxa"/>
            <w:vAlign w:val="bottom"/>
            <w:shd w:val="clear" w:color="auto" w:fill="CBDBD1"/>
          </w:tcPr>
          <w:p>
            <w:pPr>
              <w:spacing w:after="0"/>
              <w:rPr>
                <w:sz w:val="20"/>
                <w:szCs w:val="20"/>
                <w:color w:val="auto"/>
              </w:rPr>
            </w:pPr>
          </w:p>
        </w:tc>
        <w:tc>
          <w:tcPr>
            <w:tcW w:w="10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201,140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640" w:type="dxa"/>
            <w:vAlign w:val="bottom"/>
            <w:shd w:val="clear" w:color="auto" w:fill="CBDBD1"/>
          </w:tcPr>
          <w:p>
            <w:pPr>
              <w:spacing w:after="0" w:line="201" w:lineRule="exact"/>
              <w:rPr>
                <w:sz w:val="20"/>
                <w:szCs w:val="20"/>
                <w:color w:val="auto"/>
              </w:rPr>
            </w:pPr>
            <w:r>
              <w:rPr>
                <w:rFonts w:ascii="Arial" w:cs="Arial" w:eastAsia="Arial" w:hAnsi="Arial"/>
                <w:sz w:val="18"/>
                <w:szCs w:val="18"/>
                <w:color w:val="auto"/>
              </w:rPr>
              <w:t>Conversion of</w:t>
            </w:r>
          </w:p>
        </w:tc>
        <w:tc>
          <w:tcPr>
            <w:tcW w:w="90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62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64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720" w:type="dxa"/>
            <w:vAlign w:val="bottom"/>
            <w:tcBorders>
              <w:right w:val="single" w:sz="8" w:color="CBDBD1"/>
            </w:tcBorders>
            <w:shd w:val="clear" w:color="auto" w:fill="CBDBD1"/>
          </w:tcPr>
          <w:p>
            <w:pPr>
              <w:spacing w:after="0"/>
              <w:rPr>
                <w:sz w:val="17"/>
                <w:szCs w:val="17"/>
                <w:color w:val="auto"/>
              </w:rPr>
            </w:pPr>
          </w:p>
        </w:tc>
        <w:tc>
          <w:tcPr>
            <w:tcW w:w="90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80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1000" w:type="dxa"/>
            <w:vAlign w:val="bottom"/>
            <w:shd w:val="clear" w:color="auto" w:fill="CBDBD1"/>
          </w:tcPr>
          <w:p>
            <w:pPr>
              <w:spacing w:after="0"/>
              <w:rPr>
                <w:sz w:val="17"/>
                <w:szCs w:val="17"/>
                <w:color w:val="auto"/>
              </w:rPr>
            </w:pPr>
          </w:p>
        </w:tc>
        <w:tc>
          <w:tcPr>
            <w:tcW w:w="180" w:type="dxa"/>
            <w:vAlign w:val="bottom"/>
            <w:tcBorders>
              <w:right w:val="single" w:sz="8" w:color="CBDBD1"/>
            </w:tcBorders>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1000" w:type="dxa"/>
            <w:vAlign w:val="bottom"/>
            <w:shd w:val="clear" w:color="auto" w:fill="CBDBD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BDBD1"/>
          </w:tcPr>
          <w:p>
            <w:pPr>
              <w:spacing w:after="0"/>
              <w:rPr>
                <w:sz w:val="20"/>
                <w:szCs w:val="20"/>
                <w:color w:val="auto"/>
              </w:rPr>
            </w:pPr>
            <w:r>
              <w:rPr>
                <w:rFonts w:ascii="Arial" w:cs="Arial" w:eastAsia="Arial" w:hAnsi="Arial"/>
                <w:sz w:val="18"/>
                <w:szCs w:val="18"/>
                <w:color w:val="auto"/>
                <w:w w:val="99"/>
              </w:rPr>
              <w:t>warrants to common</w:t>
            </w:r>
          </w:p>
        </w:tc>
        <w:tc>
          <w:tcPr>
            <w:tcW w:w="90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62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64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720" w:type="dxa"/>
            <w:vAlign w:val="bottom"/>
            <w:tcBorders>
              <w:right w:val="single" w:sz="8" w:color="CBDBD1"/>
            </w:tcBorders>
            <w:shd w:val="clear" w:color="auto" w:fill="CBDBD1"/>
          </w:tcPr>
          <w:p>
            <w:pPr>
              <w:spacing w:after="0"/>
              <w:rPr>
                <w:sz w:val="18"/>
                <w:szCs w:val="18"/>
                <w:color w:val="auto"/>
              </w:rPr>
            </w:pPr>
          </w:p>
        </w:tc>
        <w:tc>
          <w:tcPr>
            <w:tcW w:w="9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8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000" w:type="dxa"/>
            <w:vAlign w:val="bottom"/>
            <w:shd w:val="clear" w:color="auto" w:fill="CBDBD1"/>
          </w:tcPr>
          <w:p>
            <w:pPr>
              <w:spacing w:after="0"/>
              <w:rPr>
                <w:sz w:val="18"/>
                <w:szCs w:val="18"/>
                <w:color w:val="auto"/>
              </w:rPr>
            </w:pPr>
          </w:p>
        </w:tc>
        <w:tc>
          <w:tcPr>
            <w:tcW w:w="180" w:type="dxa"/>
            <w:vAlign w:val="bottom"/>
            <w:tcBorders>
              <w:right w:val="single" w:sz="8" w:color="CBDBD1"/>
            </w:tcBorders>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000" w:type="dxa"/>
            <w:vAlign w:val="bottom"/>
            <w:shd w:val="clear" w:color="auto" w:fill="CBDBD1"/>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40" w:type="dxa"/>
            <w:vAlign w:val="bottom"/>
            <w:shd w:val="clear" w:color="auto" w:fill="CBDBD1"/>
          </w:tcPr>
          <w:p>
            <w:pPr>
              <w:spacing w:after="0"/>
              <w:rPr>
                <w:sz w:val="20"/>
                <w:szCs w:val="20"/>
                <w:color w:val="auto"/>
              </w:rPr>
            </w:pPr>
            <w:r>
              <w:rPr>
                <w:rFonts w:ascii="Arial" w:cs="Arial" w:eastAsia="Arial" w:hAnsi="Arial"/>
                <w:sz w:val="18"/>
                <w:szCs w:val="18"/>
                <w:color w:val="auto"/>
              </w:rPr>
              <w:t>stock</w:t>
            </w:r>
          </w:p>
        </w:tc>
        <w:tc>
          <w:tcPr>
            <w:tcW w:w="9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BDBD1"/>
          </w:tcPr>
          <w:p>
            <w:pPr>
              <w:spacing w:after="0"/>
              <w:rPr>
                <w:sz w:val="20"/>
                <w:szCs w:val="20"/>
                <w:color w:val="auto"/>
              </w:rPr>
            </w:pPr>
          </w:p>
        </w:tc>
        <w:tc>
          <w:tcPr>
            <w:tcW w:w="120" w:type="dxa"/>
            <w:vAlign w:val="bottom"/>
            <w:shd w:val="clear" w:color="auto" w:fill="CBDBD1"/>
          </w:tcPr>
          <w:p>
            <w:pPr>
              <w:spacing w:after="0"/>
              <w:rPr>
                <w:sz w:val="20"/>
                <w:szCs w:val="20"/>
                <w:color w:val="auto"/>
              </w:rPr>
            </w:pPr>
          </w:p>
        </w:tc>
        <w:tc>
          <w:tcPr>
            <w:tcW w:w="6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BDBD1"/>
          </w:tcPr>
          <w:p>
            <w:pPr>
              <w:spacing w:after="0"/>
              <w:rPr>
                <w:sz w:val="20"/>
                <w:szCs w:val="20"/>
                <w:color w:val="auto"/>
              </w:rPr>
            </w:pPr>
          </w:p>
        </w:tc>
        <w:tc>
          <w:tcPr>
            <w:tcW w:w="6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BDBD1"/>
          </w:tcPr>
          <w:p>
            <w:pPr>
              <w:spacing w:after="0"/>
              <w:rPr>
                <w:sz w:val="20"/>
                <w:szCs w:val="20"/>
                <w:color w:val="auto"/>
              </w:rPr>
            </w:pPr>
          </w:p>
        </w:tc>
        <w:tc>
          <w:tcPr>
            <w:tcW w:w="120" w:type="dxa"/>
            <w:vAlign w:val="bottom"/>
            <w:shd w:val="clear" w:color="auto" w:fill="CBDBD1"/>
          </w:tcPr>
          <w:p>
            <w:pPr>
              <w:spacing w:after="0"/>
              <w:rPr>
                <w:sz w:val="20"/>
                <w:szCs w:val="20"/>
                <w:color w:val="auto"/>
              </w:rPr>
            </w:pPr>
          </w:p>
        </w:tc>
        <w:tc>
          <w:tcPr>
            <w:tcW w:w="720" w:type="dxa"/>
            <w:vAlign w:val="bottom"/>
            <w:tcBorders>
              <w:right w:val="single" w:sz="8" w:color="CBDBD1"/>
            </w:tcBorders>
            <w:shd w:val="clear" w:color="auto" w:fill="CBDBD1"/>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BDBD1"/>
          </w:tcPr>
          <w:p>
            <w:pPr>
              <w:jc w:val="right"/>
              <w:ind w:right="60"/>
              <w:spacing w:after="0"/>
              <w:rPr>
                <w:sz w:val="20"/>
                <w:szCs w:val="20"/>
                <w:color w:val="auto"/>
              </w:rPr>
            </w:pPr>
            <w:r>
              <w:rPr>
                <w:rFonts w:ascii="Arial" w:cs="Arial" w:eastAsia="Arial" w:hAnsi="Arial"/>
                <w:sz w:val="18"/>
                <w:szCs w:val="18"/>
                <w:color w:val="auto"/>
              </w:rPr>
              <w:t>(9,881)</w:t>
            </w:r>
          </w:p>
        </w:tc>
        <w:tc>
          <w:tcPr>
            <w:tcW w:w="80" w:type="dxa"/>
            <w:vAlign w:val="bottom"/>
            <w:shd w:val="clear" w:color="auto" w:fill="CBDBD1"/>
          </w:tcPr>
          <w:p>
            <w:pPr>
              <w:spacing w:after="0"/>
              <w:rPr>
                <w:sz w:val="20"/>
                <w:szCs w:val="20"/>
                <w:color w:val="auto"/>
              </w:rPr>
            </w:pPr>
          </w:p>
        </w:tc>
        <w:tc>
          <w:tcPr>
            <w:tcW w:w="100" w:type="dxa"/>
            <w:vAlign w:val="bottom"/>
            <w:shd w:val="clear" w:color="auto" w:fill="CBDBD1"/>
          </w:tcPr>
          <w:p>
            <w:pPr>
              <w:spacing w:after="0"/>
              <w:rPr>
                <w:sz w:val="20"/>
                <w:szCs w:val="20"/>
                <w:color w:val="auto"/>
              </w:rPr>
            </w:pPr>
          </w:p>
        </w:tc>
        <w:tc>
          <w:tcPr>
            <w:tcW w:w="8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18,606</w:t>
            </w:r>
          </w:p>
        </w:tc>
        <w:tc>
          <w:tcPr>
            <w:tcW w:w="120" w:type="dxa"/>
            <w:vAlign w:val="bottom"/>
            <w:shd w:val="clear" w:color="auto" w:fill="CBDBD1"/>
          </w:tcPr>
          <w:p>
            <w:pPr>
              <w:spacing w:after="0"/>
              <w:rPr>
                <w:sz w:val="20"/>
                <w:szCs w:val="20"/>
                <w:color w:val="auto"/>
              </w:rPr>
            </w:pPr>
          </w:p>
        </w:tc>
        <w:tc>
          <w:tcPr>
            <w:tcW w:w="80" w:type="dxa"/>
            <w:vAlign w:val="bottom"/>
            <w:shd w:val="clear" w:color="auto" w:fill="CBDBD1"/>
          </w:tcPr>
          <w:p>
            <w:pPr>
              <w:spacing w:after="0"/>
              <w:rPr>
                <w:sz w:val="20"/>
                <w:szCs w:val="20"/>
                <w:color w:val="auto"/>
              </w:rPr>
            </w:pPr>
          </w:p>
        </w:tc>
        <w:tc>
          <w:tcPr>
            <w:tcW w:w="120" w:type="dxa"/>
            <w:vAlign w:val="bottom"/>
            <w:shd w:val="clear" w:color="auto" w:fill="CBDBD1"/>
          </w:tcPr>
          <w:p>
            <w:pPr>
              <w:spacing w:after="0"/>
              <w:rPr>
                <w:sz w:val="20"/>
                <w:szCs w:val="20"/>
                <w:color w:val="auto"/>
              </w:rPr>
            </w:pPr>
          </w:p>
        </w:tc>
        <w:tc>
          <w:tcPr>
            <w:tcW w:w="10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BDBD1"/>
            </w:tcBorders>
            <w:shd w:val="clear" w:color="auto" w:fill="CBDBD1"/>
          </w:tcPr>
          <w:p>
            <w:pPr>
              <w:spacing w:after="0"/>
              <w:rPr>
                <w:sz w:val="20"/>
                <w:szCs w:val="20"/>
                <w:color w:val="auto"/>
              </w:rPr>
            </w:pPr>
          </w:p>
        </w:tc>
        <w:tc>
          <w:tcPr>
            <w:tcW w:w="120" w:type="dxa"/>
            <w:vAlign w:val="bottom"/>
            <w:shd w:val="clear" w:color="auto" w:fill="CBDBD1"/>
          </w:tcPr>
          <w:p>
            <w:pPr>
              <w:spacing w:after="0"/>
              <w:rPr>
                <w:sz w:val="20"/>
                <w:szCs w:val="20"/>
                <w:color w:val="auto"/>
              </w:rPr>
            </w:pPr>
          </w:p>
        </w:tc>
        <w:tc>
          <w:tcPr>
            <w:tcW w:w="10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8,750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640" w:type="dxa"/>
            <w:vAlign w:val="bottom"/>
            <w:shd w:val="clear" w:color="auto" w:fill="CBDBD1"/>
          </w:tcPr>
          <w:p>
            <w:pPr>
              <w:spacing w:after="0" w:line="201" w:lineRule="exact"/>
              <w:rPr>
                <w:sz w:val="20"/>
                <w:szCs w:val="20"/>
                <w:color w:val="auto"/>
              </w:rPr>
            </w:pPr>
            <w:r>
              <w:rPr>
                <w:rFonts w:ascii="Arial" w:cs="Arial" w:eastAsia="Arial" w:hAnsi="Arial"/>
                <w:sz w:val="18"/>
                <w:szCs w:val="18"/>
                <w:color w:val="auto"/>
                <w:w w:val="97"/>
              </w:rPr>
              <w:t>Issuance of common</w:t>
            </w:r>
          </w:p>
        </w:tc>
        <w:tc>
          <w:tcPr>
            <w:tcW w:w="90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62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64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720" w:type="dxa"/>
            <w:vAlign w:val="bottom"/>
            <w:tcBorders>
              <w:right w:val="single" w:sz="8" w:color="CBDBD1"/>
            </w:tcBorders>
            <w:shd w:val="clear" w:color="auto" w:fill="CBDBD1"/>
          </w:tcPr>
          <w:p>
            <w:pPr>
              <w:spacing w:after="0"/>
              <w:rPr>
                <w:sz w:val="17"/>
                <w:szCs w:val="17"/>
                <w:color w:val="auto"/>
              </w:rPr>
            </w:pPr>
          </w:p>
        </w:tc>
        <w:tc>
          <w:tcPr>
            <w:tcW w:w="90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80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1000" w:type="dxa"/>
            <w:vAlign w:val="bottom"/>
            <w:shd w:val="clear" w:color="auto" w:fill="CBDBD1"/>
          </w:tcPr>
          <w:p>
            <w:pPr>
              <w:spacing w:after="0"/>
              <w:rPr>
                <w:sz w:val="17"/>
                <w:szCs w:val="17"/>
                <w:color w:val="auto"/>
              </w:rPr>
            </w:pPr>
          </w:p>
        </w:tc>
        <w:tc>
          <w:tcPr>
            <w:tcW w:w="180" w:type="dxa"/>
            <w:vAlign w:val="bottom"/>
            <w:tcBorders>
              <w:right w:val="single" w:sz="8" w:color="CBDBD1"/>
            </w:tcBorders>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1000" w:type="dxa"/>
            <w:vAlign w:val="bottom"/>
            <w:shd w:val="clear" w:color="auto" w:fill="CBDBD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BDBD1"/>
          </w:tcPr>
          <w:p>
            <w:pPr>
              <w:spacing w:after="0"/>
              <w:rPr>
                <w:sz w:val="20"/>
                <w:szCs w:val="20"/>
                <w:color w:val="auto"/>
              </w:rPr>
            </w:pPr>
            <w:r>
              <w:rPr>
                <w:rFonts w:ascii="Arial" w:cs="Arial" w:eastAsia="Arial" w:hAnsi="Arial"/>
                <w:sz w:val="18"/>
                <w:szCs w:val="18"/>
                <w:color w:val="auto"/>
              </w:rPr>
              <w:t>stock for preferred</w:t>
            </w:r>
          </w:p>
        </w:tc>
        <w:tc>
          <w:tcPr>
            <w:tcW w:w="90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62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64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720" w:type="dxa"/>
            <w:vAlign w:val="bottom"/>
            <w:tcBorders>
              <w:right w:val="single" w:sz="8" w:color="CBDBD1"/>
            </w:tcBorders>
            <w:shd w:val="clear" w:color="auto" w:fill="CBDBD1"/>
          </w:tcPr>
          <w:p>
            <w:pPr>
              <w:spacing w:after="0"/>
              <w:rPr>
                <w:sz w:val="18"/>
                <w:szCs w:val="18"/>
                <w:color w:val="auto"/>
              </w:rPr>
            </w:pPr>
          </w:p>
        </w:tc>
        <w:tc>
          <w:tcPr>
            <w:tcW w:w="9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8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000" w:type="dxa"/>
            <w:vAlign w:val="bottom"/>
            <w:shd w:val="clear" w:color="auto" w:fill="CBDBD1"/>
          </w:tcPr>
          <w:p>
            <w:pPr>
              <w:spacing w:after="0"/>
              <w:rPr>
                <w:sz w:val="18"/>
                <w:szCs w:val="18"/>
                <w:color w:val="auto"/>
              </w:rPr>
            </w:pPr>
          </w:p>
        </w:tc>
        <w:tc>
          <w:tcPr>
            <w:tcW w:w="180" w:type="dxa"/>
            <w:vAlign w:val="bottom"/>
            <w:tcBorders>
              <w:right w:val="single" w:sz="8" w:color="CBDBD1"/>
            </w:tcBorders>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000" w:type="dxa"/>
            <w:vAlign w:val="bottom"/>
            <w:shd w:val="clear" w:color="auto" w:fill="CBDBD1"/>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40" w:type="dxa"/>
            <w:vAlign w:val="bottom"/>
            <w:shd w:val="clear" w:color="auto" w:fill="CBDBD1"/>
          </w:tcPr>
          <w:p>
            <w:pPr>
              <w:spacing w:after="0"/>
              <w:rPr>
                <w:sz w:val="20"/>
                <w:szCs w:val="20"/>
                <w:color w:val="auto"/>
              </w:rPr>
            </w:pPr>
            <w:r>
              <w:rPr>
                <w:rFonts w:ascii="Arial" w:cs="Arial" w:eastAsia="Arial" w:hAnsi="Arial"/>
                <w:sz w:val="18"/>
                <w:szCs w:val="18"/>
                <w:color w:val="auto"/>
              </w:rPr>
              <w:t>dividends</w:t>
            </w:r>
          </w:p>
        </w:tc>
        <w:tc>
          <w:tcPr>
            <w:tcW w:w="9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236,598</w:t>
            </w:r>
          </w:p>
        </w:tc>
        <w:tc>
          <w:tcPr>
            <w:tcW w:w="100" w:type="dxa"/>
            <w:vAlign w:val="bottom"/>
            <w:shd w:val="clear" w:color="auto" w:fill="CBDBD1"/>
          </w:tcPr>
          <w:p>
            <w:pPr>
              <w:spacing w:after="0"/>
              <w:rPr>
                <w:sz w:val="20"/>
                <w:szCs w:val="20"/>
                <w:color w:val="auto"/>
              </w:rPr>
            </w:pPr>
          </w:p>
        </w:tc>
        <w:tc>
          <w:tcPr>
            <w:tcW w:w="120" w:type="dxa"/>
            <w:vAlign w:val="bottom"/>
            <w:shd w:val="clear" w:color="auto" w:fill="CBDBD1"/>
          </w:tcPr>
          <w:p>
            <w:pPr>
              <w:spacing w:after="0"/>
              <w:rPr>
                <w:sz w:val="20"/>
                <w:szCs w:val="20"/>
                <w:color w:val="auto"/>
              </w:rPr>
            </w:pPr>
          </w:p>
        </w:tc>
        <w:tc>
          <w:tcPr>
            <w:tcW w:w="6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BDBD1"/>
          </w:tcPr>
          <w:p>
            <w:pPr>
              <w:spacing w:after="0"/>
              <w:rPr>
                <w:sz w:val="20"/>
                <w:szCs w:val="20"/>
                <w:color w:val="auto"/>
              </w:rPr>
            </w:pPr>
          </w:p>
        </w:tc>
        <w:tc>
          <w:tcPr>
            <w:tcW w:w="6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BDBD1"/>
          </w:tcPr>
          <w:p>
            <w:pPr>
              <w:spacing w:after="0"/>
              <w:rPr>
                <w:sz w:val="20"/>
                <w:szCs w:val="20"/>
                <w:color w:val="auto"/>
              </w:rPr>
            </w:pPr>
          </w:p>
        </w:tc>
        <w:tc>
          <w:tcPr>
            <w:tcW w:w="120" w:type="dxa"/>
            <w:vAlign w:val="bottom"/>
            <w:shd w:val="clear" w:color="auto" w:fill="CBDBD1"/>
          </w:tcPr>
          <w:p>
            <w:pPr>
              <w:spacing w:after="0"/>
              <w:rPr>
                <w:sz w:val="20"/>
                <w:szCs w:val="20"/>
                <w:color w:val="auto"/>
              </w:rPr>
            </w:pPr>
          </w:p>
        </w:tc>
        <w:tc>
          <w:tcPr>
            <w:tcW w:w="720" w:type="dxa"/>
            <w:vAlign w:val="bottom"/>
            <w:tcBorders>
              <w:right w:val="single" w:sz="8" w:color="CBDBD1"/>
            </w:tcBorders>
            <w:shd w:val="clear" w:color="auto" w:fill="CBDBD1"/>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BDBD1"/>
          </w:tcPr>
          <w:p>
            <w:pPr>
              <w:spacing w:after="0"/>
              <w:rPr>
                <w:sz w:val="20"/>
                <w:szCs w:val="20"/>
                <w:color w:val="auto"/>
              </w:rPr>
            </w:pPr>
          </w:p>
        </w:tc>
        <w:tc>
          <w:tcPr>
            <w:tcW w:w="80" w:type="dxa"/>
            <w:vAlign w:val="bottom"/>
            <w:shd w:val="clear" w:color="auto" w:fill="CBDBD1"/>
          </w:tcPr>
          <w:p>
            <w:pPr>
              <w:spacing w:after="0"/>
              <w:rPr>
                <w:sz w:val="20"/>
                <w:szCs w:val="20"/>
                <w:color w:val="auto"/>
              </w:rPr>
            </w:pPr>
          </w:p>
        </w:tc>
        <w:tc>
          <w:tcPr>
            <w:tcW w:w="100" w:type="dxa"/>
            <w:vAlign w:val="bottom"/>
            <w:shd w:val="clear" w:color="auto" w:fill="CBDBD1"/>
          </w:tcPr>
          <w:p>
            <w:pPr>
              <w:spacing w:after="0"/>
              <w:rPr>
                <w:sz w:val="20"/>
                <w:szCs w:val="20"/>
                <w:color w:val="auto"/>
              </w:rPr>
            </w:pPr>
          </w:p>
        </w:tc>
        <w:tc>
          <w:tcPr>
            <w:tcW w:w="8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524,763</w:t>
            </w:r>
          </w:p>
        </w:tc>
        <w:tc>
          <w:tcPr>
            <w:tcW w:w="120" w:type="dxa"/>
            <w:vAlign w:val="bottom"/>
            <w:shd w:val="clear" w:color="auto" w:fill="CBDBD1"/>
          </w:tcPr>
          <w:p>
            <w:pPr>
              <w:spacing w:after="0"/>
              <w:rPr>
                <w:sz w:val="20"/>
                <w:szCs w:val="20"/>
                <w:color w:val="auto"/>
              </w:rPr>
            </w:pPr>
          </w:p>
        </w:tc>
        <w:tc>
          <w:tcPr>
            <w:tcW w:w="80" w:type="dxa"/>
            <w:vAlign w:val="bottom"/>
            <w:shd w:val="clear" w:color="auto" w:fill="CBDBD1"/>
          </w:tcPr>
          <w:p>
            <w:pPr>
              <w:spacing w:after="0"/>
              <w:rPr>
                <w:sz w:val="20"/>
                <w:szCs w:val="20"/>
                <w:color w:val="auto"/>
              </w:rPr>
            </w:pPr>
          </w:p>
        </w:tc>
        <w:tc>
          <w:tcPr>
            <w:tcW w:w="120" w:type="dxa"/>
            <w:vAlign w:val="bottom"/>
            <w:shd w:val="clear" w:color="auto" w:fill="CBDBD1"/>
          </w:tcPr>
          <w:p>
            <w:pPr>
              <w:spacing w:after="0"/>
              <w:rPr>
                <w:sz w:val="20"/>
                <w:szCs w:val="20"/>
                <w:color w:val="auto"/>
              </w:rPr>
            </w:pPr>
          </w:p>
        </w:tc>
        <w:tc>
          <w:tcPr>
            <w:tcW w:w="1180" w:type="dxa"/>
            <w:vAlign w:val="bottom"/>
            <w:tcBorders>
              <w:right w:val="single" w:sz="8" w:color="CBDBD1"/>
            </w:tcBorders>
            <w:gridSpan w:val="2"/>
            <w:shd w:val="clear" w:color="auto" w:fill="CBDBD1"/>
          </w:tcPr>
          <w:p>
            <w:pPr>
              <w:jc w:val="right"/>
              <w:ind w:right="120"/>
              <w:spacing w:after="0"/>
              <w:rPr>
                <w:sz w:val="20"/>
                <w:szCs w:val="20"/>
                <w:color w:val="auto"/>
              </w:rPr>
            </w:pPr>
            <w:r>
              <w:rPr>
                <w:rFonts w:ascii="Arial" w:cs="Arial" w:eastAsia="Arial" w:hAnsi="Arial"/>
                <w:sz w:val="18"/>
                <w:szCs w:val="18"/>
                <w:color w:val="auto"/>
              </w:rPr>
              <w:t>(525,000)</w:t>
            </w:r>
          </w:p>
        </w:tc>
        <w:tc>
          <w:tcPr>
            <w:tcW w:w="120" w:type="dxa"/>
            <w:vAlign w:val="bottom"/>
            <w:shd w:val="clear" w:color="auto" w:fill="CBDBD1"/>
          </w:tcPr>
          <w:p>
            <w:pPr>
              <w:spacing w:after="0"/>
              <w:rPr>
                <w:sz w:val="20"/>
                <w:szCs w:val="20"/>
                <w:color w:val="auto"/>
              </w:rPr>
            </w:pPr>
          </w:p>
        </w:tc>
        <w:tc>
          <w:tcPr>
            <w:tcW w:w="10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640" w:type="dxa"/>
            <w:vAlign w:val="bottom"/>
            <w:shd w:val="clear" w:color="auto" w:fill="CBDBD1"/>
          </w:tcPr>
          <w:p>
            <w:pPr>
              <w:spacing w:after="0" w:line="201" w:lineRule="exact"/>
              <w:rPr>
                <w:sz w:val="20"/>
                <w:szCs w:val="20"/>
                <w:color w:val="auto"/>
              </w:rPr>
            </w:pPr>
            <w:r>
              <w:rPr>
                <w:rFonts w:ascii="Arial" w:cs="Arial" w:eastAsia="Arial" w:hAnsi="Arial"/>
                <w:sz w:val="18"/>
                <w:szCs w:val="18"/>
                <w:color w:val="auto"/>
                <w:w w:val="95"/>
              </w:rPr>
              <w:t>Issuance of preferred</w:t>
            </w:r>
          </w:p>
        </w:tc>
        <w:tc>
          <w:tcPr>
            <w:tcW w:w="90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62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64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720" w:type="dxa"/>
            <w:vAlign w:val="bottom"/>
            <w:tcBorders>
              <w:right w:val="single" w:sz="8" w:color="CBDBD1"/>
            </w:tcBorders>
            <w:shd w:val="clear" w:color="auto" w:fill="CBDBD1"/>
          </w:tcPr>
          <w:p>
            <w:pPr>
              <w:spacing w:after="0"/>
              <w:rPr>
                <w:sz w:val="17"/>
                <w:szCs w:val="17"/>
                <w:color w:val="auto"/>
              </w:rPr>
            </w:pPr>
          </w:p>
        </w:tc>
        <w:tc>
          <w:tcPr>
            <w:tcW w:w="90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80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1000" w:type="dxa"/>
            <w:vAlign w:val="bottom"/>
            <w:shd w:val="clear" w:color="auto" w:fill="CBDBD1"/>
          </w:tcPr>
          <w:p>
            <w:pPr>
              <w:spacing w:after="0"/>
              <w:rPr>
                <w:sz w:val="17"/>
                <w:szCs w:val="17"/>
                <w:color w:val="auto"/>
              </w:rPr>
            </w:pPr>
          </w:p>
        </w:tc>
        <w:tc>
          <w:tcPr>
            <w:tcW w:w="180" w:type="dxa"/>
            <w:vAlign w:val="bottom"/>
            <w:tcBorders>
              <w:right w:val="single" w:sz="8" w:color="CBDBD1"/>
            </w:tcBorders>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1000" w:type="dxa"/>
            <w:vAlign w:val="bottom"/>
            <w:shd w:val="clear" w:color="auto" w:fill="CBDBD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40" w:type="dxa"/>
            <w:vAlign w:val="bottom"/>
            <w:shd w:val="clear" w:color="auto" w:fill="CBDBD1"/>
          </w:tcPr>
          <w:p>
            <w:pPr>
              <w:spacing w:after="0"/>
              <w:rPr>
                <w:sz w:val="20"/>
                <w:szCs w:val="20"/>
                <w:color w:val="auto"/>
              </w:rPr>
            </w:pPr>
            <w:r>
              <w:rPr>
                <w:rFonts w:ascii="Arial" w:cs="Arial" w:eastAsia="Arial" w:hAnsi="Arial"/>
                <w:sz w:val="18"/>
                <w:szCs w:val="18"/>
                <w:color w:val="auto"/>
              </w:rPr>
              <w:t>stock</w:t>
            </w:r>
          </w:p>
        </w:tc>
        <w:tc>
          <w:tcPr>
            <w:tcW w:w="9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BDBD1"/>
          </w:tcPr>
          <w:p>
            <w:pPr>
              <w:spacing w:after="0"/>
              <w:rPr>
                <w:sz w:val="20"/>
                <w:szCs w:val="20"/>
                <w:color w:val="auto"/>
              </w:rPr>
            </w:pPr>
          </w:p>
        </w:tc>
        <w:tc>
          <w:tcPr>
            <w:tcW w:w="120" w:type="dxa"/>
            <w:vAlign w:val="bottom"/>
            <w:shd w:val="clear" w:color="auto" w:fill="CBDBD1"/>
          </w:tcPr>
          <w:p>
            <w:pPr>
              <w:spacing w:after="0"/>
              <w:rPr>
                <w:sz w:val="20"/>
                <w:szCs w:val="20"/>
                <w:color w:val="auto"/>
              </w:rPr>
            </w:pPr>
          </w:p>
        </w:tc>
        <w:tc>
          <w:tcPr>
            <w:tcW w:w="6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BDBD1"/>
          </w:tcPr>
          <w:p>
            <w:pPr>
              <w:spacing w:after="0"/>
              <w:rPr>
                <w:sz w:val="20"/>
                <w:szCs w:val="20"/>
                <w:color w:val="auto"/>
              </w:rPr>
            </w:pPr>
          </w:p>
        </w:tc>
        <w:tc>
          <w:tcPr>
            <w:tcW w:w="6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BDBD1"/>
          </w:tcPr>
          <w:p>
            <w:pPr>
              <w:spacing w:after="0"/>
              <w:rPr>
                <w:sz w:val="20"/>
                <w:szCs w:val="20"/>
                <w:color w:val="auto"/>
              </w:rPr>
            </w:pPr>
          </w:p>
        </w:tc>
        <w:tc>
          <w:tcPr>
            <w:tcW w:w="120" w:type="dxa"/>
            <w:vAlign w:val="bottom"/>
            <w:shd w:val="clear" w:color="auto" w:fill="CBDBD1"/>
          </w:tcPr>
          <w:p>
            <w:pPr>
              <w:spacing w:after="0"/>
              <w:rPr>
                <w:sz w:val="20"/>
                <w:szCs w:val="20"/>
                <w:color w:val="auto"/>
              </w:rPr>
            </w:pPr>
          </w:p>
        </w:tc>
        <w:tc>
          <w:tcPr>
            <w:tcW w:w="720" w:type="dxa"/>
            <w:vAlign w:val="bottom"/>
            <w:tcBorders>
              <w:right w:val="single" w:sz="8" w:color="CBDBD1"/>
            </w:tcBorders>
            <w:shd w:val="clear" w:color="auto" w:fill="CBDBD1"/>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BDBD1"/>
          </w:tcPr>
          <w:p>
            <w:pPr>
              <w:spacing w:after="0"/>
              <w:rPr>
                <w:sz w:val="20"/>
                <w:szCs w:val="20"/>
                <w:color w:val="auto"/>
              </w:rPr>
            </w:pPr>
          </w:p>
        </w:tc>
        <w:tc>
          <w:tcPr>
            <w:tcW w:w="80" w:type="dxa"/>
            <w:vAlign w:val="bottom"/>
            <w:shd w:val="clear" w:color="auto" w:fill="CBDBD1"/>
          </w:tcPr>
          <w:p>
            <w:pPr>
              <w:spacing w:after="0"/>
              <w:rPr>
                <w:sz w:val="20"/>
                <w:szCs w:val="20"/>
                <w:color w:val="auto"/>
              </w:rPr>
            </w:pPr>
          </w:p>
        </w:tc>
        <w:tc>
          <w:tcPr>
            <w:tcW w:w="100" w:type="dxa"/>
            <w:vAlign w:val="bottom"/>
            <w:shd w:val="clear" w:color="auto" w:fill="CBDBD1"/>
          </w:tcPr>
          <w:p>
            <w:pPr>
              <w:spacing w:after="0"/>
              <w:rPr>
                <w:sz w:val="20"/>
                <w:szCs w:val="20"/>
                <w:color w:val="auto"/>
              </w:rPr>
            </w:pPr>
          </w:p>
        </w:tc>
        <w:tc>
          <w:tcPr>
            <w:tcW w:w="800" w:type="dxa"/>
            <w:vAlign w:val="bottom"/>
            <w:shd w:val="clear" w:color="auto" w:fill="CBDBD1"/>
          </w:tcPr>
          <w:p>
            <w:pPr>
              <w:jc w:val="right"/>
              <w:spacing w:after="0"/>
              <w:rPr>
                <w:sz w:val="20"/>
                <w:szCs w:val="20"/>
                <w:color w:val="auto"/>
              </w:rPr>
            </w:pPr>
            <w:r>
              <w:rPr>
                <w:rFonts w:ascii="Arial" w:cs="Arial" w:eastAsia="Arial" w:hAnsi="Arial"/>
                <w:sz w:val="18"/>
                <w:szCs w:val="18"/>
                <w:color w:val="auto"/>
                <w:w w:val="97"/>
              </w:rPr>
              <w:t>1,500,000</w:t>
            </w:r>
          </w:p>
        </w:tc>
        <w:tc>
          <w:tcPr>
            <w:tcW w:w="120" w:type="dxa"/>
            <w:vAlign w:val="bottom"/>
            <w:shd w:val="clear" w:color="auto" w:fill="CBDBD1"/>
          </w:tcPr>
          <w:p>
            <w:pPr>
              <w:spacing w:after="0"/>
              <w:rPr>
                <w:sz w:val="20"/>
                <w:szCs w:val="20"/>
                <w:color w:val="auto"/>
              </w:rPr>
            </w:pPr>
          </w:p>
        </w:tc>
        <w:tc>
          <w:tcPr>
            <w:tcW w:w="80" w:type="dxa"/>
            <w:vAlign w:val="bottom"/>
            <w:shd w:val="clear" w:color="auto" w:fill="CBDBD1"/>
          </w:tcPr>
          <w:p>
            <w:pPr>
              <w:spacing w:after="0"/>
              <w:rPr>
                <w:sz w:val="20"/>
                <w:szCs w:val="20"/>
                <w:color w:val="auto"/>
              </w:rPr>
            </w:pPr>
          </w:p>
        </w:tc>
        <w:tc>
          <w:tcPr>
            <w:tcW w:w="120" w:type="dxa"/>
            <w:vAlign w:val="bottom"/>
            <w:shd w:val="clear" w:color="auto" w:fill="CBDBD1"/>
          </w:tcPr>
          <w:p>
            <w:pPr>
              <w:spacing w:after="0"/>
              <w:rPr>
                <w:sz w:val="20"/>
                <w:szCs w:val="20"/>
                <w:color w:val="auto"/>
              </w:rPr>
            </w:pPr>
          </w:p>
        </w:tc>
        <w:tc>
          <w:tcPr>
            <w:tcW w:w="10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BDBD1"/>
            </w:tcBorders>
            <w:shd w:val="clear" w:color="auto" w:fill="CBDBD1"/>
          </w:tcPr>
          <w:p>
            <w:pPr>
              <w:spacing w:after="0"/>
              <w:rPr>
                <w:sz w:val="20"/>
                <w:szCs w:val="20"/>
                <w:color w:val="auto"/>
              </w:rPr>
            </w:pPr>
          </w:p>
        </w:tc>
        <w:tc>
          <w:tcPr>
            <w:tcW w:w="120" w:type="dxa"/>
            <w:vAlign w:val="bottom"/>
            <w:shd w:val="clear" w:color="auto" w:fill="CBDBD1"/>
          </w:tcPr>
          <w:p>
            <w:pPr>
              <w:spacing w:after="0"/>
              <w:rPr>
                <w:sz w:val="20"/>
                <w:szCs w:val="20"/>
                <w:color w:val="auto"/>
              </w:rPr>
            </w:pPr>
          </w:p>
        </w:tc>
        <w:tc>
          <w:tcPr>
            <w:tcW w:w="10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1,500,000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640" w:type="dxa"/>
            <w:vAlign w:val="bottom"/>
            <w:shd w:val="clear" w:color="auto" w:fill="CBDBD1"/>
          </w:tcPr>
          <w:p>
            <w:pPr>
              <w:spacing w:after="0" w:line="201" w:lineRule="exact"/>
              <w:rPr>
                <w:sz w:val="20"/>
                <w:szCs w:val="20"/>
                <w:color w:val="auto"/>
              </w:rPr>
            </w:pPr>
            <w:r>
              <w:rPr>
                <w:rFonts w:ascii="Arial" w:cs="Arial" w:eastAsia="Arial" w:hAnsi="Arial"/>
                <w:sz w:val="18"/>
                <w:szCs w:val="18"/>
                <w:color w:val="auto"/>
              </w:rPr>
              <w:t>Issuance of stock</w:t>
            </w:r>
          </w:p>
        </w:tc>
        <w:tc>
          <w:tcPr>
            <w:tcW w:w="90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62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64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720" w:type="dxa"/>
            <w:vAlign w:val="bottom"/>
            <w:tcBorders>
              <w:right w:val="single" w:sz="8" w:color="CBDBD1"/>
            </w:tcBorders>
            <w:shd w:val="clear" w:color="auto" w:fill="CBDBD1"/>
          </w:tcPr>
          <w:p>
            <w:pPr>
              <w:spacing w:after="0"/>
              <w:rPr>
                <w:sz w:val="17"/>
                <w:szCs w:val="17"/>
                <w:color w:val="auto"/>
              </w:rPr>
            </w:pPr>
          </w:p>
        </w:tc>
        <w:tc>
          <w:tcPr>
            <w:tcW w:w="90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80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1000" w:type="dxa"/>
            <w:vAlign w:val="bottom"/>
            <w:shd w:val="clear" w:color="auto" w:fill="CBDBD1"/>
          </w:tcPr>
          <w:p>
            <w:pPr>
              <w:spacing w:after="0"/>
              <w:rPr>
                <w:sz w:val="17"/>
                <w:szCs w:val="17"/>
                <w:color w:val="auto"/>
              </w:rPr>
            </w:pPr>
          </w:p>
        </w:tc>
        <w:tc>
          <w:tcPr>
            <w:tcW w:w="180" w:type="dxa"/>
            <w:vAlign w:val="bottom"/>
            <w:tcBorders>
              <w:right w:val="single" w:sz="8" w:color="CBDBD1"/>
            </w:tcBorders>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1000" w:type="dxa"/>
            <w:vAlign w:val="bottom"/>
            <w:shd w:val="clear" w:color="auto" w:fill="CBDBD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BDBD1"/>
          </w:tcPr>
          <w:p>
            <w:pPr>
              <w:spacing w:after="0"/>
              <w:rPr>
                <w:sz w:val="20"/>
                <w:szCs w:val="20"/>
                <w:color w:val="auto"/>
              </w:rPr>
            </w:pPr>
            <w:r>
              <w:rPr>
                <w:rFonts w:ascii="Arial" w:cs="Arial" w:eastAsia="Arial" w:hAnsi="Arial"/>
                <w:sz w:val="18"/>
                <w:szCs w:val="18"/>
                <w:color w:val="auto"/>
              </w:rPr>
              <w:t>options for patent</w:t>
            </w:r>
          </w:p>
        </w:tc>
        <w:tc>
          <w:tcPr>
            <w:tcW w:w="90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62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64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720" w:type="dxa"/>
            <w:vAlign w:val="bottom"/>
            <w:tcBorders>
              <w:right w:val="single" w:sz="8" w:color="CBDBD1"/>
            </w:tcBorders>
            <w:shd w:val="clear" w:color="auto" w:fill="CBDBD1"/>
          </w:tcPr>
          <w:p>
            <w:pPr>
              <w:spacing w:after="0"/>
              <w:rPr>
                <w:sz w:val="18"/>
                <w:szCs w:val="18"/>
                <w:color w:val="auto"/>
              </w:rPr>
            </w:pPr>
          </w:p>
        </w:tc>
        <w:tc>
          <w:tcPr>
            <w:tcW w:w="9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8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000" w:type="dxa"/>
            <w:vAlign w:val="bottom"/>
            <w:shd w:val="clear" w:color="auto" w:fill="CBDBD1"/>
          </w:tcPr>
          <w:p>
            <w:pPr>
              <w:spacing w:after="0"/>
              <w:rPr>
                <w:sz w:val="18"/>
                <w:szCs w:val="18"/>
                <w:color w:val="auto"/>
              </w:rPr>
            </w:pPr>
          </w:p>
        </w:tc>
        <w:tc>
          <w:tcPr>
            <w:tcW w:w="180" w:type="dxa"/>
            <w:vAlign w:val="bottom"/>
            <w:tcBorders>
              <w:right w:val="single" w:sz="8" w:color="CBDBD1"/>
            </w:tcBorders>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000" w:type="dxa"/>
            <w:vAlign w:val="bottom"/>
            <w:shd w:val="clear" w:color="auto" w:fill="CBDBD1"/>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40" w:type="dxa"/>
            <w:vAlign w:val="bottom"/>
            <w:shd w:val="clear" w:color="auto" w:fill="CBDBD1"/>
          </w:tcPr>
          <w:p>
            <w:pPr>
              <w:spacing w:after="0"/>
              <w:rPr>
                <w:sz w:val="20"/>
                <w:szCs w:val="20"/>
                <w:color w:val="auto"/>
              </w:rPr>
            </w:pPr>
            <w:r>
              <w:rPr>
                <w:rFonts w:ascii="Arial" w:cs="Arial" w:eastAsia="Arial" w:hAnsi="Arial"/>
                <w:sz w:val="18"/>
                <w:szCs w:val="18"/>
                <w:color w:val="auto"/>
              </w:rPr>
              <w:t>rights</w:t>
            </w:r>
          </w:p>
        </w:tc>
        <w:tc>
          <w:tcPr>
            <w:tcW w:w="9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BDBD1"/>
          </w:tcPr>
          <w:p>
            <w:pPr>
              <w:spacing w:after="0"/>
              <w:rPr>
                <w:sz w:val="20"/>
                <w:szCs w:val="20"/>
                <w:color w:val="auto"/>
              </w:rPr>
            </w:pPr>
          </w:p>
        </w:tc>
        <w:tc>
          <w:tcPr>
            <w:tcW w:w="120" w:type="dxa"/>
            <w:vAlign w:val="bottom"/>
            <w:shd w:val="clear" w:color="auto" w:fill="CBDBD1"/>
          </w:tcPr>
          <w:p>
            <w:pPr>
              <w:spacing w:after="0"/>
              <w:rPr>
                <w:sz w:val="20"/>
                <w:szCs w:val="20"/>
                <w:color w:val="auto"/>
              </w:rPr>
            </w:pPr>
          </w:p>
        </w:tc>
        <w:tc>
          <w:tcPr>
            <w:tcW w:w="6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BDBD1"/>
          </w:tcPr>
          <w:p>
            <w:pPr>
              <w:spacing w:after="0"/>
              <w:rPr>
                <w:sz w:val="20"/>
                <w:szCs w:val="20"/>
                <w:color w:val="auto"/>
              </w:rPr>
            </w:pPr>
          </w:p>
        </w:tc>
        <w:tc>
          <w:tcPr>
            <w:tcW w:w="6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BDBD1"/>
          </w:tcPr>
          <w:p>
            <w:pPr>
              <w:spacing w:after="0"/>
              <w:rPr>
                <w:sz w:val="20"/>
                <w:szCs w:val="20"/>
                <w:color w:val="auto"/>
              </w:rPr>
            </w:pPr>
          </w:p>
        </w:tc>
        <w:tc>
          <w:tcPr>
            <w:tcW w:w="120" w:type="dxa"/>
            <w:vAlign w:val="bottom"/>
            <w:shd w:val="clear" w:color="auto" w:fill="CBDBD1"/>
          </w:tcPr>
          <w:p>
            <w:pPr>
              <w:spacing w:after="0"/>
              <w:rPr>
                <w:sz w:val="20"/>
                <w:szCs w:val="20"/>
                <w:color w:val="auto"/>
              </w:rPr>
            </w:pPr>
          </w:p>
        </w:tc>
        <w:tc>
          <w:tcPr>
            <w:tcW w:w="720" w:type="dxa"/>
            <w:vAlign w:val="bottom"/>
            <w:tcBorders>
              <w:right w:val="single" w:sz="8" w:color="CBDBD1"/>
            </w:tcBorders>
            <w:shd w:val="clear" w:color="auto" w:fill="CBDBD1"/>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BDBD1"/>
          </w:tcPr>
          <w:p>
            <w:pPr>
              <w:spacing w:after="0"/>
              <w:rPr>
                <w:sz w:val="20"/>
                <w:szCs w:val="20"/>
                <w:color w:val="auto"/>
              </w:rPr>
            </w:pPr>
          </w:p>
        </w:tc>
        <w:tc>
          <w:tcPr>
            <w:tcW w:w="80" w:type="dxa"/>
            <w:vAlign w:val="bottom"/>
            <w:shd w:val="clear" w:color="auto" w:fill="CBDBD1"/>
          </w:tcPr>
          <w:p>
            <w:pPr>
              <w:spacing w:after="0"/>
              <w:rPr>
                <w:sz w:val="20"/>
                <w:szCs w:val="20"/>
                <w:color w:val="auto"/>
              </w:rPr>
            </w:pPr>
          </w:p>
        </w:tc>
        <w:tc>
          <w:tcPr>
            <w:tcW w:w="100" w:type="dxa"/>
            <w:vAlign w:val="bottom"/>
            <w:shd w:val="clear" w:color="auto" w:fill="CBDBD1"/>
          </w:tcPr>
          <w:p>
            <w:pPr>
              <w:spacing w:after="0"/>
              <w:rPr>
                <w:sz w:val="20"/>
                <w:szCs w:val="20"/>
                <w:color w:val="auto"/>
              </w:rPr>
            </w:pPr>
          </w:p>
        </w:tc>
        <w:tc>
          <w:tcPr>
            <w:tcW w:w="8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404,762</w:t>
            </w:r>
          </w:p>
        </w:tc>
        <w:tc>
          <w:tcPr>
            <w:tcW w:w="120" w:type="dxa"/>
            <w:vAlign w:val="bottom"/>
            <w:shd w:val="clear" w:color="auto" w:fill="CBDBD1"/>
          </w:tcPr>
          <w:p>
            <w:pPr>
              <w:spacing w:after="0"/>
              <w:rPr>
                <w:sz w:val="20"/>
                <w:szCs w:val="20"/>
                <w:color w:val="auto"/>
              </w:rPr>
            </w:pPr>
          </w:p>
        </w:tc>
        <w:tc>
          <w:tcPr>
            <w:tcW w:w="80" w:type="dxa"/>
            <w:vAlign w:val="bottom"/>
            <w:shd w:val="clear" w:color="auto" w:fill="CBDBD1"/>
          </w:tcPr>
          <w:p>
            <w:pPr>
              <w:spacing w:after="0"/>
              <w:rPr>
                <w:sz w:val="20"/>
                <w:szCs w:val="20"/>
                <w:color w:val="auto"/>
              </w:rPr>
            </w:pPr>
          </w:p>
        </w:tc>
        <w:tc>
          <w:tcPr>
            <w:tcW w:w="120" w:type="dxa"/>
            <w:vAlign w:val="bottom"/>
            <w:shd w:val="clear" w:color="auto" w:fill="CBDBD1"/>
          </w:tcPr>
          <w:p>
            <w:pPr>
              <w:spacing w:after="0"/>
              <w:rPr>
                <w:sz w:val="20"/>
                <w:szCs w:val="20"/>
                <w:color w:val="auto"/>
              </w:rPr>
            </w:pPr>
          </w:p>
        </w:tc>
        <w:tc>
          <w:tcPr>
            <w:tcW w:w="10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BDBD1"/>
            </w:tcBorders>
            <w:shd w:val="clear" w:color="auto" w:fill="CBDBD1"/>
          </w:tcPr>
          <w:p>
            <w:pPr>
              <w:spacing w:after="0"/>
              <w:rPr>
                <w:sz w:val="20"/>
                <w:szCs w:val="20"/>
                <w:color w:val="auto"/>
              </w:rPr>
            </w:pPr>
          </w:p>
        </w:tc>
        <w:tc>
          <w:tcPr>
            <w:tcW w:w="120" w:type="dxa"/>
            <w:vAlign w:val="bottom"/>
            <w:shd w:val="clear" w:color="auto" w:fill="CBDBD1"/>
          </w:tcPr>
          <w:p>
            <w:pPr>
              <w:spacing w:after="0"/>
              <w:rPr>
                <w:sz w:val="20"/>
                <w:szCs w:val="20"/>
                <w:color w:val="auto"/>
              </w:rPr>
            </w:pPr>
          </w:p>
        </w:tc>
        <w:tc>
          <w:tcPr>
            <w:tcW w:w="10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404,762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640" w:type="dxa"/>
            <w:vAlign w:val="bottom"/>
            <w:shd w:val="clear" w:color="auto" w:fill="CBDBD1"/>
          </w:tcPr>
          <w:p>
            <w:pPr>
              <w:spacing w:after="0" w:line="201" w:lineRule="exact"/>
              <w:rPr>
                <w:sz w:val="20"/>
                <w:szCs w:val="20"/>
                <w:color w:val="auto"/>
              </w:rPr>
            </w:pPr>
            <w:r>
              <w:rPr>
                <w:rFonts w:ascii="Arial" w:cs="Arial" w:eastAsia="Arial" w:hAnsi="Arial"/>
                <w:sz w:val="18"/>
                <w:szCs w:val="18"/>
                <w:color w:val="auto"/>
                <w:w w:val="97"/>
              </w:rPr>
              <w:t>Issuance of warrants</w:t>
            </w:r>
          </w:p>
        </w:tc>
        <w:tc>
          <w:tcPr>
            <w:tcW w:w="90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62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64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720" w:type="dxa"/>
            <w:vAlign w:val="bottom"/>
            <w:tcBorders>
              <w:right w:val="single" w:sz="8" w:color="CBDBD1"/>
            </w:tcBorders>
            <w:shd w:val="clear" w:color="auto" w:fill="CBDBD1"/>
          </w:tcPr>
          <w:p>
            <w:pPr>
              <w:spacing w:after="0"/>
              <w:rPr>
                <w:sz w:val="17"/>
                <w:szCs w:val="17"/>
                <w:color w:val="auto"/>
              </w:rPr>
            </w:pPr>
          </w:p>
        </w:tc>
        <w:tc>
          <w:tcPr>
            <w:tcW w:w="90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80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1000" w:type="dxa"/>
            <w:vAlign w:val="bottom"/>
            <w:shd w:val="clear" w:color="auto" w:fill="CBDBD1"/>
          </w:tcPr>
          <w:p>
            <w:pPr>
              <w:spacing w:after="0"/>
              <w:rPr>
                <w:sz w:val="17"/>
                <w:szCs w:val="17"/>
                <w:color w:val="auto"/>
              </w:rPr>
            </w:pPr>
          </w:p>
        </w:tc>
        <w:tc>
          <w:tcPr>
            <w:tcW w:w="180" w:type="dxa"/>
            <w:vAlign w:val="bottom"/>
            <w:tcBorders>
              <w:right w:val="single" w:sz="8" w:color="CBDBD1"/>
            </w:tcBorders>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1000" w:type="dxa"/>
            <w:vAlign w:val="bottom"/>
            <w:shd w:val="clear" w:color="auto" w:fill="CBDBD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BDBD1"/>
          </w:tcPr>
          <w:p>
            <w:pPr>
              <w:spacing w:after="0"/>
              <w:rPr>
                <w:sz w:val="20"/>
                <w:szCs w:val="20"/>
                <w:color w:val="auto"/>
              </w:rPr>
            </w:pPr>
            <w:r>
              <w:rPr>
                <w:rFonts w:ascii="Arial" w:cs="Arial" w:eastAsia="Arial" w:hAnsi="Arial"/>
                <w:sz w:val="18"/>
                <w:szCs w:val="18"/>
                <w:color w:val="auto"/>
              </w:rPr>
              <w:t>in connection with</w:t>
            </w:r>
          </w:p>
        </w:tc>
        <w:tc>
          <w:tcPr>
            <w:tcW w:w="90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62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64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720" w:type="dxa"/>
            <w:vAlign w:val="bottom"/>
            <w:tcBorders>
              <w:right w:val="single" w:sz="8" w:color="CBDBD1"/>
            </w:tcBorders>
            <w:shd w:val="clear" w:color="auto" w:fill="CBDBD1"/>
          </w:tcPr>
          <w:p>
            <w:pPr>
              <w:spacing w:after="0"/>
              <w:rPr>
                <w:sz w:val="18"/>
                <w:szCs w:val="18"/>
                <w:color w:val="auto"/>
              </w:rPr>
            </w:pPr>
          </w:p>
        </w:tc>
        <w:tc>
          <w:tcPr>
            <w:tcW w:w="9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8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000" w:type="dxa"/>
            <w:vAlign w:val="bottom"/>
            <w:shd w:val="clear" w:color="auto" w:fill="CBDBD1"/>
          </w:tcPr>
          <w:p>
            <w:pPr>
              <w:spacing w:after="0"/>
              <w:rPr>
                <w:sz w:val="18"/>
                <w:szCs w:val="18"/>
                <w:color w:val="auto"/>
              </w:rPr>
            </w:pPr>
          </w:p>
        </w:tc>
        <w:tc>
          <w:tcPr>
            <w:tcW w:w="180" w:type="dxa"/>
            <w:vAlign w:val="bottom"/>
            <w:tcBorders>
              <w:right w:val="single" w:sz="8" w:color="CBDBD1"/>
            </w:tcBorders>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000" w:type="dxa"/>
            <w:vAlign w:val="bottom"/>
            <w:shd w:val="clear" w:color="auto" w:fill="CBDBD1"/>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BDBD1"/>
          </w:tcPr>
          <w:p>
            <w:pPr>
              <w:spacing w:after="0"/>
              <w:rPr>
                <w:sz w:val="20"/>
                <w:szCs w:val="20"/>
                <w:color w:val="auto"/>
              </w:rPr>
            </w:pPr>
            <w:r>
              <w:rPr>
                <w:rFonts w:ascii="Arial" w:cs="Arial" w:eastAsia="Arial" w:hAnsi="Arial"/>
                <w:sz w:val="18"/>
                <w:szCs w:val="18"/>
                <w:color w:val="auto"/>
              </w:rPr>
              <w:t>preferred stock</w:t>
            </w:r>
          </w:p>
        </w:tc>
        <w:tc>
          <w:tcPr>
            <w:tcW w:w="90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62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64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720" w:type="dxa"/>
            <w:vAlign w:val="bottom"/>
            <w:tcBorders>
              <w:right w:val="single" w:sz="8" w:color="CBDBD1"/>
            </w:tcBorders>
            <w:shd w:val="clear" w:color="auto" w:fill="CBDBD1"/>
          </w:tcPr>
          <w:p>
            <w:pPr>
              <w:spacing w:after="0"/>
              <w:rPr>
                <w:sz w:val="18"/>
                <w:szCs w:val="18"/>
                <w:color w:val="auto"/>
              </w:rPr>
            </w:pPr>
          </w:p>
        </w:tc>
        <w:tc>
          <w:tcPr>
            <w:tcW w:w="9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8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000" w:type="dxa"/>
            <w:vAlign w:val="bottom"/>
            <w:shd w:val="clear" w:color="auto" w:fill="CBDBD1"/>
          </w:tcPr>
          <w:p>
            <w:pPr>
              <w:spacing w:after="0"/>
              <w:rPr>
                <w:sz w:val="18"/>
                <w:szCs w:val="18"/>
                <w:color w:val="auto"/>
              </w:rPr>
            </w:pPr>
          </w:p>
        </w:tc>
        <w:tc>
          <w:tcPr>
            <w:tcW w:w="180" w:type="dxa"/>
            <w:vAlign w:val="bottom"/>
            <w:tcBorders>
              <w:right w:val="single" w:sz="8" w:color="CBDBD1"/>
            </w:tcBorders>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000" w:type="dxa"/>
            <w:vAlign w:val="bottom"/>
            <w:shd w:val="clear" w:color="auto" w:fill="CBDBD1"/>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40" w:type="dxa"/>
            <w:vAlign w:val="bottom"/>
            <w:shd w:val="clear" w:color="auto" w:fill="CBDBD1"/>
          </w:tcPr>
          <w:p>
            <w:pPr>
              <w:spacing w:after="0"/>
              <w:rPr>
                <w:sz w:val="20"/>
                <w:szCs w:val="20"/>
                <w:color w:val="auto"/>
              </w:rPr>
            </w:pPr>
            <w:r>
              <w:rPr>
                <w:rFonts w:ascii="Arial" w:cs="Arial" w:eastAsia="Arial" w:hAnsi="Arial"/>
                <w:sz w:val="18"/>
                <w:szCs w:val="18"/>
                <w:color w:val="auto"/>
              </w:rPr>
              <w:t>issuance</w:t>
            </w:r>
          </w:p>
        </w:tc>
        <w:tc>
          <w:tcPr>
            <w:tcW w:w="9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BDBD1"/>
          </w:tcPr>
          <w:p>
            <w:pPr>
              <w:spacing w:after="0"/>
              <w:rPr>
                <w:sz w:val="20"/>
                <w:szCs w:val="20"/>
                <w:color w:val="auto"/>
              </w:rPr>
            </w:pPr>
          </w:p>
        </w:tc>
        <w:tc>
          <w:tcPr>
            <w:tcW w:w="120" w:type="dxa"/>
            <w:vAlign w:val="bottom"/>
            <w:shd w:val="clear" w:color="auto" w:fill="CBDBD1"/>
          </w:tcPr>
          <w:p>
            <w:pPr>
              <w:spacing w:after="0"/>
              <w:rPr>
                <w:sz w:val="20"/>
                <w:szCs w:val="20"/>
                <w:color w:val="auto"/>
              </w:rPr>
            </w:pPr>
          </w:p>
        </w:tc>
        <w:tc>
          <w:tcPr>
            <w:tcW w:w="6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BDBD1"/>
          </w:tcPr>
          <w:p>
            <w:pPr>
              <w:spacing w:after="0"/>
              <w:rPr>
                <w:sz w:val="20"/>
                <w:szCs w:val="20"/>
                <w:color w:val="auto"/>
              </w:rPr>
            </w:pPr>
          </w:p>
        </w:tc>
        <w:tc>
          <w:tcPr>
            <w:tcW w:w="6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BDBD1"/>
          </w:tcPr>
          <w:p>
            <w:pPr>
              <w:spacing w:after="0"/>
              <w:rPr>
                <w:sz w:val="20"/>
                <w:szCs w:val="20"/>
                <w:color w:val="auto"/>
              </w:rPr>
            </w:pPr>
          </w:p>
        </w:tc>
        <w:tc>
          <w:tcPr>
            <w:tcW w:w="120" w:type="dxa"/>
            <w:vAlign w:val="bottom"/>
            <w:shd w:val="clear" w:color="auto" w:fill="CBDBD1"/>
          </w:tcPr>
          <w:p>
            <w:pPr>
              <w:spacing w:after="0"/>
              <w:rPr>
                <w:sz w:val="20"/>
                <w:szCs w:val="20"/>
                <w:color w:val="auto"/>
              </w:rPr>
            </w:pPr>
          </w:p>
        </w:tc>
        <w:tc>
          <w:tcPr>
            <w:tcW w:w="720" w:type="dxa"/>
            <w:vAlign w:val="bottom"/>
            <w:tcBorders>
              <w:right w:val="single" w:sz="8" w:color="CBDBD1"/>
            </w:tcBorders>
            <w:shd w:val="clear" w:color="auto" w:fill="CBDBD1"/>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5,096,472</w:t>
            </w:r>
          </w:p>
        </w:tc>
        <w:tc>
          <w:tcPr>
            <w:tcW w:w="120" w:type="dxa"/>
            <w:vAlign w:val="bottom"/>
            <w:shd w:val="clear" w:color="auto" w:fill="CBDBD1"/>
          </w:tcPr>
          <w:p>
            <w:pPr>
              <w:spacing w:after="0"/>
              <w:rPr>
                <w:sz w:val="20"/>
                <w:szCs w:val="20"/>
                <w:color w:val="auto"/>
              </w:rPr>
            </w:pPr>
          </w:p>
        </w:tc>
        <w:tc>
          <w:tcPr>
            <w:tcW w:w="80" w:type="dxa"/>
            <w:vAlign w:val="bottom"/>
            <w:shd w:val="clear" w:color="auto" w:fill="CBDBD1"/>
          </w:tcPr>
          <w:p>
            <w:pPr>
              <w:spacing w:after="0"/>
              <w:rPr>
                <w:sz w:val="20"/>
                <w:szCs w:val="20"/>
                <w:color w:val="auto"/>
              </w:rPr>
            </w:pPr>
          </w:p>
        </w:tc>
        <w:tc>
          <w:tcPr>
            <w:tcW w:w="100" w:type="dxa"/>
            <w:vAlign w:val="bottom"/>
            <w:shd w:val="clear" w:color="auto" w:fill="CBDBD1"/>
          </w:tcPr>
          <w:p>
            <w:pPr>
              <w:spacing w:after="0"/>
              <w:rPr>
                <w:sz w:val="20"/>
                <w:szCs w:val="20"/>
                <w:color w:val="auto"/>
              </w:rPr>
            </w:pPr>
          </w:p>
        </w:tc>
        <w:tc>
          <w:tcPr>
            <w:tcW w:w="920" w:type="dxa"/>
            <w:vAlign w:val="bottom"/>
            <w:gridSpan w:val="2"/>
            <w:shd w:val="clear" w:color="auto" w:fill="CBDBD1"/>
          </w:tcPr>
          <w:p>
            <w:pPr>
              <w:jc w:val="right"/>
              <w:ind w:right="60"/>
              <w:spacing w:after="0"/>
              <w:rPr>
                <w:sz w:val="20"/>
                <w:szCs w:val="20"/>
                <w:color w:val="auto"/>
              </w:rPr>
            </w:pPr>
            <w:r>
              <w:rPr>
                <w:rFonts w:ascii="Arial" w:cs="Arial" w:eastAsia="Arial" w:hAnsi="Arial"/>
                <w:sz w:val="18"/>
                <w:szCs w:val="18"/>
                <w:color w:val="auto"/>
                <w:w w:val="91"/>
              </w:rPr>
              <w:t>(4,550,903)</w:t>
            </w:r>
          </w:p>
        </w:tc>
        <w:tc>
          <w:tcPr>
            <w:tcW w:w="80" w:type="dxa"/>
            <w:vAlign w:val="bottom"/>
            <w:shd w:val="clear" w:color="auto" w:fill="CBDBD1"/>
          </w:tcPr>
          <w:p>
            <w:pPr>
              <w:spacing w:after="0"/>
              <w:rPr>
                <w:sz w:val="20"/>
                <w:szCs w:val="20"/>
                <w:color w:val="auto"/>
              </w:rPr>
            </w:pPr>
          </w:p>
        </w:tc>
        <w:tc>
          <w:tcPr>
            <w:tcW w:w="120" w:type="dxa"/>
            <w:vAlign w:val="bottom"/>
            <w:shd w:val="clear" w:color="auto" w:fill="CBDBD1"/>
          </w:tcPr>
          <w:p>
            <w:pPr>
              <w:spacing w:after="0"/>
              <w:rPr>
                <w:sz w:val="20"/>
                <w:szCs w:val="20"/>
                <w:color w:val="auto"/>
              </w:rPr>
            </w:pPr>
          </w:p>
        </w:tc>
        <w:tc>
          <w:tcPr>
            <w:tcW w:w="1180" w:type="dxa"/>
            <w:vAlign w:val="bottom"/>
            <w:tcBorders>
              <w:right w:val="single" w:sz="8" w:color="CBDBD1"/>
            </w:tcBorders>
            <w:gridSpan w:val="2"/>
            <w:shd w:val="clear" w:color="auto" w:fill="CBDBD1"/>
          </w:tcPr>
          <w:p>
            <w:pPr>
              <w:jc w:val="right"/>
              <w:ind w:right="120"/>
              <w:spacing w:after="0"/>
              <w:rPr>
                <w:sz w:val="20"/>
                <w:szCs w:val="20"/>
                <w:color w:val="auto"/>
              </w:rPr>
            </w:pPr>
            <w:r>
              <w:rPr>
                <w:rFonts w:ascii="Arial" w:cs="Arial" w:eastAsia="Arial" w:hAnsi="Arial"/>
                <w:sz w:val="18"/>
                <w:szCs w:val="18"/>
                <w:color w:val="auto"/>
              </w:rPr>
              <w:t>(545,569)</w:t>
            </w:r>
          </w:p>
        </w:tc>
        <w:tc>
          <w:tcPr>
            <w:tcW w:w="120" w:type="dxa"/>
            <w:vAlign w:val="bottom"/>
            <w:shd w:val="clear" w:color="auto" w:fill="CBDBD1"/>
          </w:tcPr>
          <w:p>
            <w:pPr>
              <w:spacing w:after="0"/>
              <w:rPr>
                <w:sz w:val="20"/>
                <w:szCs w:val="20"/>
                <w:color w:val="auto"/>
              </w:rPr>
            </w:pPr>
          </w:p>
        </w:tc>
        <w:tc>
          <w:tcPr>
            <w:tcW w:w="10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640" w:type="dxa"/>
            <w:vAlign w:val="bottom"/>
            <w:shd w:val="clear" w:color="auto" w:fill="CBDBD1"/>
          </w:tcPr>
          <w:p>
            <w:pPr>
              <w:spacing w:after="0" w:line="201" w:lineRule="exact"/>
              <w:rPr>
                <w:sz w:val="20"/>
                <w:szCs w:val="20"/>
                <w:color w:val="auto"/>
              </w:rPr>
            </w:pPr>
            <w:r>
              <w:rPr>
                <w:rFonts w:ascii="Arial" w:cs="Arial" w:eastAsia="Arial" w:hAnsi="Arial"/>
                <w:sz w:val="18"/>
                <w:szCs w:val="18"/>
                <w:color w:val="auto"/>
              </w:rPr>
              <w:t>Conversion of</w:t>
            </w:r>
          </w:p>
        </w:tc>
        <w:tc>
          <w:tcPr>
            <w:tcW w:w="90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62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64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720" w:type="dxa"/>
            <w:vAlign w:val="bottom"/>
            <w:tcBorders>
              <w:right w:val="single" w:sz="8" w:color="CBDBD1"/>
            </w:tcBorders>
            <w:shd w:val="clear" w:color="auto" w:fill="CBDBD1"/>
          </w:tcPr>
          <w:p>
            <w:pPr>
              <w:spacing w:after="0"/>
              <w:rPr>
                <w:sz w:val="17"/>
                <w:szCs w:val="17"/>
                <w:color w:val="auto"/>
              </w:rPr>
            </w:pPr>
          </w:p>
        </w:tc>
        <w:tc>
          <w:tcPr>
            <w:tcW w:w="90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80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1000" w:type="dxa"/>
            <w:vAlign w:val="bottom"/>
            <w:shd w:val="clear" w:color="auto" w:fill="CBDBD1"/>
          </w:tcPr>
          <w:p>
            <w:pPr>
              <w:spacing w:after="0"/>
              <w:rPr>
                <w:sz w:val="17"/>
                <w:szCs w:val="17"/>
                <w:color w:val="auto"/>
              </w:rPr>
            </w:pPr>
          </w:p>
        </w:tc>
        <w:tc>
          <w:tcPr>
            <w:tcW w:w="180" w:type="dxa"/>
            <w:vAlign w:val="bottom"/>
            <w:tcBorders>
              <w:right w:val="single" w:sz="8" w:color="CBDBD1"/>
            </w:tcBorders>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1000" w:type="dxa"/>
            <w:vAlign w:val="bottom"/>
            <w:shd w:val="clear" w:color="auto" w:fill="CBDBD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BDBD1"/>
          </w:tcPr>
          <w:p>
            <w:pPr>
              <w:spacing w:after="0"/>
              <w:rPr>
                <w:sz w:val="20"/>
                <w:szCs w:val="20"/>
                <w:color w:val="auto"/>
              </w:rPr>
            </w:pPr>
            <w:r>
              <w:rPr>
                <w:rFonts w:ascii="Arial" w:cs="Arial" w:eastAsia="Arial" w:hAnsi="Arial"/>
                <w:sz w:val="18"/>
                <w:szCs w:val="18"/>
                <w:color w:val="auto"/>
                <w:w w:val="99"/>
              </w:rPr>
              <w:t>warrants to common</w:t>
            </w:r>
          </w:p>
        </w:tc>
        <w:tc>
          <w:tcPr>
            <w:tcW w:w="90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62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64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720" w:type="dxa"/>
            <w:vAlign w:val="bottom"/>
            <w:tcBorders>
              <w:right w:val="single" w:sz="8" w:color="CBDBD1"/>
            </w:tcBorders>
            <w:shd w:val="clear" w:color="auto" w:fill="CBDBD1"/>
          </w:tcPr>
          <w:p>
            <w:pPr>
              <w:spacing w:after="0"/>
              <w:rPr>
                <w:sz w:val="18"/>
                <w:szCs w:val="18"/>
                <w:color w:val="auto"/>
              </w:rPr>
            </w:pPr>
          </w:p>
        </w:tc>
        <w:tc>
          <w:tcPr>
            <w:tcW w:w="9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8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000" w:type="dxa"/>
            <w:vAlign w:val="bottom"/>
            <w:shd w:val="clear" w:color="auto" w:fill="CBDBD1"/>
          </w:tcPr>
          <w:p>
            <w:pPr>
              <w:spacing w:after="0"/>
              <w:rPr>
                <w:sz w:val="18"/>
                <w:szCs w:val="18"/>
                <w:color w:val="auto"/>
              </w:rPr>
            </w:pPr>
          </w:p>
        </w:tc>
        <w:tc>
          <w:tcPr>
            <w:tcW w:w="180" w:type="dxa"/>
            <w:vAlign w:val="bottom"/>
            <w:tcBorders>
              <w:right w:val="single" w:sz="8" w:color="CBDBD1"/>
            </w:tcBorders>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000" w:type="dxa"/>
            <w:vAlign w:val="bottom"/>
            <w:shd w:val="clear" w:color="auto" w:fill="CBDBD1"/>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40" w:type="dxa"/>
            <w:vAlign w:val="bottom"/>
            <w:shd w:val="clear" w:color="auto" w:fill="CBDBD1"/>
          </w:tcPr>
          <w:p>
            <w:pPr>
              <w:spacing w:after="0"/>
              <w:rPr>
                <w:sz w:val="20"/>
                <w:szCs w:val="20"/>
                <w:color w:val="auto"/>
              </w:rPr>
            </w:pPr>
            <w:r>
              <w:rPr>
                <w:rFonts w:ascii="Arial" w:cs="Arial" w:eastAsia="Arial" w:hAnsi="Arial"/>
                <w:sz w:val="18"/>
                <w:szCs w:val="18"/>
                <w:color w:val="auto"/>
              </w:rPr>
              <w:t>stock</w:t>
            </w:r>
          </w:p>
        </w:tc>
        <w:tc>
          <w:tcPr>
            <w:tcW w:w="9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43,039</w:t>
            </w:r>
          </w:p>
        </w:tc>
        <w:tc>
          <w:tcPr>
            <w:tcW w:w="100" w:type="dxa"/>
            <w:vAlign w:val="bottom"/>
            <w:shd w:val="clear" w:color="auto" w:fill="CBDBD1"/>
          </w:tcPr>
          <w:p>
            <w:pPr>
              <w:spacing w:after="0"/>
              <w:rPr>
                <w:sz w:val="20"/>
                <w:szCs w:val="20"/>
                <w:color w:val="auto"/>
              </w:rPr>
            </w:pPr>
          </w:p>
        </w:tc>
        <w:tc>
          <w:tcPr>
            <w:tcW w:w="120" w:type="dxa"/>
            <w:vAlign w:val="bottom"/>
            <w:shd w:val="clear" w:color="auto" w:fill="CBDBD1"/>
          </w:tcPr>
          <w:p>
            <w:pPr>
              <w:spacing w:after="0"/>
              <w:rPr>
                <w:sz w:val="20"/>
                <w:szCs w:val="20"/>
                <w:color w:val="auto"/>
              </w:rPr>
            </w:pPr>
          </w:p>
        </w:tc>
        <w:tc>
          <w:tcPr>
            <w:tcW w:w="6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BDBD1"/>
          </w:tcPr>
          <w:p>
            <w:pPr>
              <w:spacing w:after="0"/>
              <w:rPr>
                <w:sz w:val="20"/>
                <w:szCs w:val="20"/>
                <w:color w:val="auto"/>
              </w:rPr>
            </w:pPr>
          </w:p>
        </w:tc>
        <w:tc>
          <w:tcPr>
            <w:tcW w:w="6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BDBD1"/>
          </w:tcPr>
          <w:p>
            <w:pPr>
              <w:spacing w:after="0"/>
              <w:rPr>
                <w:sz w:val="20"/>
                <w:szCs w:val="20"/>
                <w:color w:val="auto"/>
              </w:rPr>
            </w:pPr>
          </w:p>
        </w:tc>
        <w:tc>
          <w:tcPr>
            <w:tcW w:w="120" w:type="dxa"/>
            <w:vAlign w:val="bottom"/>
            <w:shd w:val="clear" w:color="auto" w:fill="CBDBD1"/>
          </w:tcPr>
          <w:p>
            <w:pPr>
              <w:spacing w:after="0"/>
              <w:rPr>
                <w:sz w:val="20"/>
                <w:szCs w:val="20"/>
                <w:color w:val="auto"/>
              </w:rPr>
            </w:pPr>
          </w:p>
        </w:tc>
        <w:tc>
          <w:tcPr>
            <w:tcW w:w="720" w:type="dxa"/>
            <w:vAlign w:val="bottom"/>
            <w:tcBorders>
              <w:right w:val="single" w:sz="8" w:color="CBDBD1"/>
            </w:tcBorders>
            <w:shd w:val="clear" w:color="auto" w:fill="CBDBD1"/>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BDBD1"/>
          </w:tcPr>
          <w:p>
            <w:pPr>
              <w:jc w:val="right"/>
              <w:ind w:right="60"/>
              <w:spacing w:after="0"/>
              <w:rPr>
                <w:sz w:val="20"/>
                <w:szCs w:val="20"/>
                <w:color w:val="auto"/>
              </w:rPr>
            </w:pPr>
            <w:r>
              <w:rPr>
                <w:rFonts w:ascii="Arial" w:cs="Arial" w:eastAsia="Arial" w:hAnsi="Arial"/>
                <w:sz w:val="18"/>
                <w:szCs w:val="18"/>
                <w:color w:val="auto"/>
              </w:rPr>
              <w:t>(153,816)</w:t>
            </w:r>
          </w:p>
        </w:tc>
        <w:tc>
          <w:tcPr>
            <w:tcW w:w="80" w:type="dxa"/>
            <w:vAlign w:val="bottom"/>
            <w:shd w:val="clear" w:color="auto" w:fill="CBDBD1"/>
          </w:tcPr>
          <w:p>
            <w:pPr>
              <w:spacing w:after="0"/>
              <w:rPr>
                <w:sz w:val="20"/>
                <w:szCs w:val="20"/>
                <w:color w:val="auto"/>
              </w:rPr>
            </w:pPr>
          </w:p>
        </w:tc>
        <w:tc>
          <w:tcPr>
            <w:tcW w:w="100" w:type="dxa"/>
            <w:vAlign w:val="bottom"/>
            <w:shd w:val="clear" w:color="auto" w:fill="CBDBD1"/>
          </w:tcPr>
          <w:p>
            <w:pPr>
              <w:spacing w:after="0"/>
              <w:rPr>
                <w:sz w:val="20"/>
                <w:szCs w:val="20"/>
                <w:color w:val="auto"/>
              </w:rPr>
            </w:pPr>
          </w:p>
        </w:tc>
        <w:tc>
          <w:tcPr>
            <w:tcW w:w="8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153,773</w:t>
            </w:r>
          </w:p>
        </w:tc>
        <w:tc>
          <w:tcPr>
            <w:tcW w:w="120" w:type="dxa"/>
            <w:vAlign w:val="bottom"/>
            <w:shd w:val="clear" w:color="auto" w:fill="CBDBD1"/>
          </w:tcPr>
          <w:p>
            <w:pPr>
              <w:spacing w:after="0"/>
              <w:rPr>
                <w:sz w:val="20"/>
                <w:szCs w:val="20"/>
                <w:color w:val="auto"/>
              </w:rPr>
            </w:pPr>
          </w:p>
        </w:tc>
        <w:tc>
          <w:tcPr>
            <w:tcW w:w="80" w:type="dxa"/>
            <w:vAlign w:val="bottom"/>
            <w:shd w:val="clear" w:color="auto" w:fill="CBDBD1"/>
          </w:tcPr>
          <w:p>
            <w:pPr>
              <w:spacing w:after="0"/>
              <w:rPr>
                <w:sz w:val="20"/>
                <w:szCs w:val="20"/>
                <w:color w:val="auto"/>
              </w:rPr>
            </w:pPr>
          </w:p>
        </w:tc>
        <w:tc>
          <w:tcPr>
            <w:tcW w:w="120" w:type="dxa"/>
            <w:vAlign w:val="bottom"/>
            <w:shd w:val="clear" w:color="auto" w:fill="CBDBD1"/>
          </w:tcPr>
          <w:p>
            <w:pPr>
              <w:spacing w:after="0"/>
              <w:rPr>
                <w:sz w:val="20"/>
                <w:szCs w:val="20"/>
                <w:color w:val="auto"/>
              </w:rPr>
            </w:pPr>
          </w:p>
        </w:tc>
        <w:tc>
          <w:tcPr>
            <w:tcW w:w="10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BDBD1"/>
            </w:tcBorders>
            <w:shd w:val="clear" w:color="auto" w:fill="CBDBD1"/>
          </w:tcPr>
          <w:p>
            <w:pPr>
              <w:spacing w:after="0"/>
              <w:rPr>
                <w:sz w:val="20"/>
                <w:szCs w:val="20"/>
                <w:color w:val="auto"/>
              </w:rPr>
            </w:pPr>
          </w:p>
        </w:tc>
        <w:tc>
          <w:tcPr>
            <w:tcW w:w="120" w:type="dxa"/>
            <w:vAlign w:val="bottom"/>
            <w:shd w:val="clear" w:color="auto" w:fill="CBDBD1"/>
          </w:tcPr>
          <w:p>
            <w:pPr>
              <w:spacing w:after="0"/>
              <w:rPr>
                <w:sz w:val="20"/>
                <w:szCs w:val="20"/>
                <w:color w:val="auto"/>
              </w:rPr>
            </w:pPr>
          </w:p>
        </w:tc>
        <w:tc>
          <w:tcPr>
            <w:tcW w:w="10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640" w:type="dxa"/>
            <w:vAlign w:val="bottom"/>
            <w:shd w:val="clear" w:color="auto" w:fill="CBDBD1"/>
          </w:tcPr>
          <w:p>
            <w:pPr>
              <w:spacing w:after="0" w:line="201" w:lineRule="exact"/>
              <w:rPr>
                <w:sz w:val="20"/>
                <w:szCs w:val="20"/>
                <w:color w:val="auto"/>
              </w:rPr>
            </w:pPr>
            <w:r>
              <w:rPr>
                <w:rFonts w:ascii="Arial" w:cs="Arial" w:eastAsia="Arial" w:hAnsi="Arial"/>
                <w:sz w:val="18"/>
                <w:szCs w:val="18"/>
                <w:color w:val="auto"/>
              </w:rPr>
              <w:t>Net loss for the six</w:t>
            </w:r>
          </w:p>
        </w:tc>
        <w:tc>
          <w:tcPr>
            <w:tcW w:w="90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62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64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720" w:type="dxa"/>
            <w:vAlign w:val="bottom"/>
            <w:tcBorders>
              <w:right w:val="single" w:sz="8" w:color="CBDBD1"/>
            </w:tcBorders>
            <w:shd w:val="clear" w:color="auto" w:fill="CBDBD1"/>
          </w:tcPr>
          <w:p>
            <w:pPr>
              <w:spacing w:after="0"/>
              <w:rPr>
                <w:sz w:val="17"/>
                <w:szCs w:val="17"/>
                <w:color w:val="auto"/>
              </w:rPr>
            </w:pPr>
          </w:p>
        </w:tc>
        <w:tc>
          <w:tcPr>
            <w:tcW w:w="90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80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1000" w:type="dxa"/>
            <w:vAlign w:val="bottom"/>
            <w:shd w:val="clear" w:color="auto" w:fill="CBDBD1"/>
          </w:tcPr>
          <w:p>
            <w:pPr>
              <w:spacing w:after="0"/>
              <w:rPr>
                <w:sz w:val="17"/>
                <w:szCs w:val="17"/>
                <w:color w:val="auto"/>
              </w:rPr>
            </w:pPr>
          </w:p>
        </w:tc>
        <w:tc>
          <w:tcPr>
            <w:tcW w:w="180" w:type="dxa"/>
            <w:vAlign w:val="bottom"/>
            <w:tcBorders>
              <w:right w:val="single" w:sz="8" w:color="CBDBD1"/>
            </w:tcBorders>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1000" w:type="dxa"/>
            <w:vAlign w:val="bottom"/>
            <w:shd w:val="clear" w:color="auto" w:fill="CBDBD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BDBD1"/>
          </w:tcPr>
          <w:p>
            <w:pPr>
              <w:spacing w:after="0"/>
              <w:rPr>
                <w:sz w:val="20"/>
                <w:szCs w:val="20"/>
                <w:color w:val="auto"/>
              </w:rPr>
            </w:pPr>
            <w:r>
              <w:rPr>
                <w:rFonts w:ascii="Arial" w:cs="Arial" w:eastAsia="Arial" w:hAnsi="Arial"/>
                <w:sz w:val="18"/>
                <w:szCs w:val="18"/>
                <w:color w:val="auto"/>
              </w:rPr>
              <w:t>months ended June</w:t>
            </w:r>
          </w:p>
        </w:tc>
        <w:tc>
          <w:tcPr>
            <w:tcW w:w="90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62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64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720" w:type="dxa"/>
            <w:vAlign w:val="bottom"/>
            <w:tcBorders>
              <w:right w:val="single" w:sz="8" w:color="CBDBD1"/>
            </w:tcBorders>
            <w:shd w:val="clear" w:color="auto" w:fill="CBDBD1"/>
          </w:tcPr>
          <w:p>
            <w:pPr>
              <w:spacing w:after="0"/>
              <w:rPr>
                <w:sz w:val="18"/>
                <w:szCs w:val="18"/>
                <w:color w:val="auto"/>
              </w:rPr>
            </w:pPr>
          </w:p>
        </w:tc>
        <w:tc>
          <w:tcPr>
            <w:tcW w:w="9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8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000" w:type="dxa"/>
            <w:vAlign w:val="bottom"/>
            <w:shd w:val="clear" w:color="auto" w:fill="CBDBD1"/>
          </w:tcPr>
          <w:p>
            <w:pPr>
              <w:spacing w:after="0"/>
              <w:rPr>
                <w:sz w:val="18"/>
                <w:szCs w:val="18"/>
                <w:color w:val="auto"/>
              </w:rPr>
            </w:pPr>
          </w:p>
        </w:tc>
        <w:tc>
          <w:tcPr>
            <w:tcW w:w="180" w:type="dxa"/>
            <w:vAlign w:val="bottom"/>
            <w:tcBorders>
              <w:right w:val="single" w:sz="8" w:color="CBDBD1"/>
            </w:tcBorders>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000" w:type="dxa"/>
            <w:vAlign w:val="bottom"/>
            <w:shd w:val="clear" w:color="auto" w:fill="CBDBD1"/>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40" w:type="dxa"/>
            <w:vAlign w:val="bottom"/>
            <w:shd w:val="clear" w:color="auto" w:fill="CBDBD1"/>
          </w:tcPr>
          <w:p>
            <w:pPr>
              <w:spacing w:after="0"/>
              <w:rPr>
                <w:sz w:val="20"/>
                <w:szCs w:val="20"/>
                <w:color w:val="auto"/>
              </w:rPr>
            </w:pPr>
            <w:r>
              <w:rPr>
                <w:rFonts w:ascii="Arial" w:cs="Arial" w:eastAsia="Arial" w:hAnsi="Arial"/>
                <w:sz w:val="18"/>
                <w:szCs w:val="18"/>
                <w:color w:val="auto"/>
              </w:rPr>
              <w:t>30, 2010</w:t>
            </w:r>
          </w:p>
        </w:tc>
        <w:tc>
          <w:tcPr>
            <w:tcW w:w="9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BDBD1"/>
          </w:tcPr>
          <w:p>
            <w:pPr>
              <w:spacing w:after="0"/>
              <w:rPr>
                <w:sz w:val="20"/>
                <w:szCs w:val="20"/>
                <w:color w:val="auto"/>
              </w:rPr>
            </w:pPr>
          </w:p>
        </w:tc>
        <w:tc>
          <w:tcPr>
            <w:tcW w:w="120" w:type="dxa"/>
            <w:vAlign w:val="bottom"/>
            <w:shd w:val="clear" w:color="auto" w:fill="CBDBD1"/>
          </w:tcPr>
          <w:p>
            <w:pPr>
              <w:spacing w:after="0"/>
              <w:rPr>
                <w:sz w:val="20"/>
                <w:szCs w:val="20"/>
                <w:color w:val="auto"/>
              </w:rPr>
            </w:pPr>
          </w:p>
        </w:tc>
        <w:tc>
          <w:tcPr>
            <w:tcW w:w="6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BDBD1"/>
          </w:tcPr>
          <w:p>
            <w:pPr>
              <w:spacing w:after="0"/>
              <w:rPr>
                <w:sz w:val="20"/>
                <w:szCs w:val="20"/>
                <w:color w:val="auto"/>
              </w:rPr>
            </w:pPr>
          </w:p>
        </w:tc>
        <w:tc>
          <w:tcPr>
            <w:tcW w:w="6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BDBD1"/>
          </w:tcPr>
          <w:p>
            <w:pPr>
              <w:spacing w:after="0"/>
              <w:rPr>
                <w:sz w:val="20"/>
                <w:szCs w:val="20"/>
                <w:color w:val="auto"/>
              </w:rPr>
            </w:pPr>
          </w:p>
        </w:tc>
        <w:tc>
          <w:tcPr>
            <w:tcW w:w="120" w:type="dxa"/>
            <w:vAlign w:val="bottom"/>
            <w:shd w:val="clear" w:color="auto" w:fill="CBDBD1"/>
          </w:tcPr>
          <w:p>
            <w:pPr>
              <w:spacing w:after="0"/>
              <w:rPr>
                <w:sz w:val="20"/>
                <w:szCs w:val="20"/>
                <w:color w:val="auto"/>
              </w:rPr>
            </w:pPr>
          </w:p>
        </w:tc>
        <w:tc>
          <w:tcPr>
            <w:tcW w:w="720" w:type="dxa"/>
            <w:vAlign w:val="bottom"/>
            <w:tcBorders>
              <w:right w:val="single" w:sz="8" w:color="CBDBD1"/>
            </w:tcBorders>
            <w:shd w:val="clear" w:color="auto" w:fill="CBDBD1"/>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BDBD1"/>
          </w:tcPr>
          <w:p>
            <w:pPr>
              <w:spacing w:after="0"/>
              <w:rPr>
                <w:sz w:val="20"/>
                <w:szCs w:val="20"/>
                <w:color w:val="auto"/>
              </w:rPr>
            </w:pPr>
          </w:p>
        </w:tc>
        <w:tc>
          <w:tcPr>
            <w:tcW w:w="80" w:type="dxa"/>
            <w:vAlign w:val="bottom"/>
            <w:shd w:val="clear" w:color="auto" w:fill="CBDBD1"/>
          </w:tcPr>
          <w:p>
            <w:pPr>
              <w:spacing w:after="0"/>
              <w:rPr>
                <w:sz w:val="20"/>
                <w:szCs w:val="20"/>
                <w:color w:val="auto"/>
              </w:rPr>
            </w:pPr>
          </w:p>
        </w:tc>
        <w:tc>
          <w:tcPr>
            <w:tcW w:w="100" w:type="dxa"/>
            <w:vAlign w:val="bottom"/>
            <w:shd w:val="clear" w:color="auto" w:fill="CBDBD1"/>
          </w:tcPr>
          <w:p>
            <w:pPr>
              <w:spacing w:after="0"/>
              <w:rPr>
                <w:sz w:val="20"/>
                <w:szCs w:val="20"/>
                <w:color w:val="auto"/>
              </w:rPr>
            </w:pPr>
          </w:p>
        </w:tc>
        <w:tc>
          <w:tcPr>
            <w:tcW w:w="8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BDBD1"/>
          </w:tcPr>
          <w:p>
            <w:pPr>
              <w:spacing w:after="0"/>
              <w:rPr>
                <w:sz w:val="20"/>
                <w:szCs w:val="20"/>
                <w:color w:val="auto"/>
              </w:rPr>
            </w:pPr>
          </w:p>
        </w:tc>
        <w:tc>
          <w:tcPr>
            <w:tcW w:w="80" w:type="dxa"/>
            <w:vAlign w:val="bottom"/>
            <w:shd w:val="clear" w:color="auto" w:fill="CBDBD1"/>
          </w:tcPr>
          <w:p>
            <w:pPr>
              <w:spacing w:after="0"/>
              <w:rPr>
                <w:sz w:val="20"/>
                <w:szCs w:val="20"/>
                <w:color w:val="auto"/>
              </w:rPr>
            </w:pPr>
          </w:p>
        </w:tc>
        <w:tc>
          <w:tcPr>
            <w:tcW w:w="120" w:type="dxa"/>
            <w:vAlign w:val="bottom"/>
            <w:shd w:val="clear" w:color="auto" w:fill="CBDBD1"/>
          </w:tcPr>
          <w:p>
            <w:pPr>
              <w:spacing w:after="0"/>
              <w:rPr>
                <w:sz w:val="20"/>
                <w:szCs w:val="20"/>
                <w:color w:val="auto"/>
              </w:rPr>
            </w:pPr>
          </w:p>
        </w:tc>
        <w:tc>
          <w:tcPr>
            <w:tcW w:w="1180" w:type="dxa"/>
            <w:vAlign w:val="bottom"/>
            <w:tcBorders>
              <w:right w:val="single" w:sz="8" w:color="CBDBD1"/>
            </w:tcBorders>
            <w:gridSpan w:val="2"/>
            <w:shd w:val="clear" w:color="auto" w:fill="CBDBD1"/>
          </w:tcPr>
          <w:p>
            <w:pPr>
              <w:jc w:val="right"/>
              <w:ind w:right="120"/>
              <w:spacing w:after="0"/>
              <w:rPr>
                <w:sz w:val="20"/>
                <w:szCs w:val="20"/>
                <w:color w:val="auto"/>
              </w:rPr>
            </w:pPr>
            <w:r>
              <w:rPr>
                <w:rFonts w:ascii="Arial" w:cs="Arial" w:eastAsia="Arial" w:hAnsi="Arial"/>
                <w:sz w:val="18"/>
                <w:szCs w:val="18"/>
                <w:color w:val="auto"/>
              </w:rPr>
              <w:t>(1,135,870)</w:t>
            </w:r>
          </w:p>
        </w:tc>
        <w:tc>
          <w:tcPr>
            <w:tcW w:w="120" w:type="dxa"/>
            <w:vAlign w:val="bottom"/>
            <w:shd w:val="clear" w:color="auto" w:fill="CBDBD1"/>
          </w:tcPr>
          <w:p>
            <w:pPr>
              <w:spacing w:after="0"/>
              <w:rPr>
                <w:sz w:val="20"/>
                <w:szCs w:val="20"/>
                <w:color w:val="auto"/>
              </w:rPr>
            </w:pPr>
          </w:p>
        </w:tc>
        <w:tc>
          <w:tcPr>
            <w:tcW w:w="10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(1,135,870)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40" w:type="dxa"/>
            <w:vAlign w:val="bottom"/>
            <w:tcBorders>
              <w:top w:val="single" w:sz="8" w:color="CBDBD1"/>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BDBD1"/>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Borders>
              <w:top w:val="single" w:sz="8" w:color="CBDBD1"/>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CBDBD1"/>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BDBD1"/>
            </w:tcBorders>
          </w:tcPr>
          <w:p>
            <w:pPr>
              <w:spacing w:after="0"/>
              <w:rPr>
                <w:sz w:val="18"/>
                <w:szCs w:val="18"/>
                <w:color w:val="auto"/>
              </w:rPr>
            </w:pPr>
          </w:p>
        </w:tc>
        <w:tc>
          <w:tcPr>
            <w:tcW w:w="80" w:type="dxa"/>
            <w:vAlign w:val="bottom"/>
            <w:tcBorders>
              <w:top w:val="single" w:sz="8" w:color="CBDBD1"/>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BDBD1"/>
            </w:tcBorders>
          </w:tcPr>
          <w:p>
            <w:pPr>
              <w:spacing w:after="0"/>
              <w:rPr>
                <w:sz w:val="18"/>
                <w:szCs w:val="18"/>
                <w:color w:val="auto"/>
              </w:rPr>
            </w:pPr>
          </w:p>
        </w:tc>
        <w:tc>
          <w:tcPr>
            <w:tcW w:w="80" w:type="dxa"/>
            <w:vAlign w:val="bottom"/>
            <w:tcBorders>
              <w:top w:val="single" w:sz="8" w:color="CBDBD1"/>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Borders>
              <w:top w:val="single" w:sz="8" w:color="CBDBD1"/>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640" w:type="dxa"/>
            <w:vAlign w:val="bottom"/>
            <w:shd w:val="clear" w:color="auto" w:fill="CBDBD1"/>
          </w:tcPr>
          <w:p>
            <w:pPr>
              <w:spacing w:after="0" w:line="201" w:lineRule="exact"/>
              <w:rPr>
                <w:sz w:val="20"/>
                <w:szCs w:val="20"/>
                <w:color w:val="auto"/>
              </w:rPr>
            </w:pPr>
            <w:r>
              <w:rPr>
                <w:rFonts w:ascii="Arial" w:cs="Arial" w:eastAsia="Arial" w:hAnsi="Arial"/>
                <w:sz w:val="18"/>
                <w:szCs w:val="18"/>
                <w:color w:val="auto"/>
              </w:rPr>
              <w:t>Balance, June 30,</w:t>
            </w:r>
          </w:p>
        </w:tc>
        <w:tc>
          <w:tcPr>
            <w:tcW w:w="90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62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64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720" w:type="dxa"/>
            <w:vAlign w:val="bottom"/>
            <w:tcBorders>
              <w:right w:val="single" w:sz="8" w:color="CBDBD1"/>
            </w:tcBorders>
            <w:shd w:val="clear" w:color="auto" w:fill="CBDBD1"/>
          </w:tcPr>
          <w:p>
            <w:pPr>
              <w:spacing w:after="0"/>
              <w:rPr>
                <w:sz w:val="17"/>
                <w:szCs w:val="17"/>
                <w:color w:val="auto"/>
              </w:rPr>
            </w:pPr>
          </w:p>
        </w:tc>
        <w:tc>
          <w:tcPr>
            <w:tcW w:w="90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80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1000" w:type="dxa"/>
            <w:vAlign w:val="bottom"/>
            <w:shd w:val="clear" w:color="auto" w:fill="CBDBD1"/>
          </w:tcPr>
          <w:p>
            <w:pPr>
              <w:spacing w:after="0"/>
              <w:rPr>
                <w:sz w:val="17"/>
                <w:szCs w:val="17"/>
                <w:color w:val="auto"/>
              </w:rPr>
            </w:pPr>
          </w:p>
        </w:tc>
        <w:tc>
          <w:tcPr>
            <w:tcW w:w="180" w:type="dxa"/>
            <w:vAlign w:val="bottom"/>
            <w:tcBorders>
              <w:right w:val="single" w:sz="8" w:color="CBDBD1"/>
            </w:tcBorders>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1000" w:type="dxa"/>
            <w:vAlign w:val="bottom"/>
            <w:shd w:val="clear" w:color="auto" w:fill="CBDBD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640" w:type="dxa"/>
            <w:vAlign w:val="bottom"/>
            <w:shd w:val="clear" w:color="auto" w:fill="CBDBD1"/>
          </w:tcPr>
          <w:p>
            <w:pPr>
              <w:spacing w:after="0"/>
              <w:rPr>
                <w:sz w:val="20"/>
                <w:szCs w:val="20"/>
                <w:color w:val="auto"/>
              </w:rPr>
            </w:pPr>
            <w:r>
              <w:rPr>
                <w:rFonts w:ascii="Arial" w:cs="Arial" w:eastAsia="Arial" w:hAnsi="Arial"/>
                <w:sz w:val="18"/>
                <w:szCs w:val="18"/>
                <w:color w:val="auto"/>
              </w:rPr>
              <w:t>2010</w:t>
            </w:r>
          </w:p>
        </w:tc>
        <w:tc>
          <w:tcPr>
            <w:tcW w:w="900" w:type="dxa"/>
            <w:vAlign w:val="bottom"/>
            <w:shd w:val="clear" w:color="auto" w:fill="CBDBD1"/>
          </w:tcPr>
          <w:p>
            <w:pPr>
              <w:jc w:val="right"/>
              <w:spacing w:after="0"/>
              <w:rPr>
                <w:sz w:val="20"/>
                <w:szCs w:val="20"/>
                <w:color w:val="auto"/>
              </w:rPr>
            </w:pPr>
            <w:r>
              <w:rPr>
                <w:rFonts w:ascii="Arial" w:cs="Arial" w:eastAsia="Arial" w:hAnsi="Arial"/>
                <w:sz w:val="18"/>
                <w:szCs w:val="18"/>
                <w:color w:val="auto"/>
                <w:w w:val="97"/>
              </w:rPr>
              <w:t>13,233,754</w:t>
            </w:r>
          </w:p>
        </w:tc>
        <w:tc>
          <w:tcPr>
            <w:tcW w:w="220" w:type="dxa"/>
            <w:vAlign w:val="bottom"/>
            <w:gridSpan w:val="2"/>
            <w:shd w:val="clear" w:color="auto" w:fill="CBDBD1"/>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13,234</w:t>
            </w:r>
          </w:p>
        </w:tc>
        <w:tc>
          <w:tcPr>
            <w:tcW w:w="100" w:type="dxa"/>
            <w:vAlign w:val="bottom"/>
            <w:shd w:val="clear" w:color="auto" w:fill="CBDBD1"/>
          </w:tcPr>
          <w:p>
            <w:pPr>
              <w:spacing w:after="0"/>
              <w:rPr>
                <w:sz w:val="21"/>
                <w:szCs w:val="21"/>
                <w:color w:val="auto"/>
              </w:rPr>
            </w:pPr>
          </w:p>
        </w:tc>
        <w:tc>
          <w:tcPr>
            <w:tcW w:w="6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50</w:t>
            </w:r>
          </w:p>
        </w:tc>
        <w:tc>
          <w:tcPr>
            <w:tcW w:w="220" w:type="dxa"/>
            <w:vAlign w:val="bottom"/>
            <w:gridSpan w:val="2"/>
            <w:shd w:val="clear" w:color="auto" w:fill="CBDBD1"/>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BDBD1"/>
            </w:tcBorders>
            <w:shd w:val="clear" w:color="auto" w:fill="CBDBD1"/>
          </w:tcPr>
          <w:p>
            <w:pPr>
              <w:jc w:val="right"/>
              <w:ind w:right="10"/>
              <w:spacing w:after="0"/>
              <w:rPr>
                <w:sz w:val="20"/>
                <w:szCs w:val="20"/>
                <w:color w:val="auto"/>
              </w:rPr>
            </w:pPr>
            <w:r>
              <w:rPr>
                <w:rFonts w:ascii="Arial" w:cs="Arial" w:eastAsia="Arial" w:hAnsi="Arial"/>
                <w:sz w:val="18"/>
                <w:szCs w:val="18"/>
                <w:color w:val="auto"/>
              </w:rPr>
              <w:t>0</w:t>
            </w:r>
          </w:p>
        </w:tc>
        <w:tc>
          <w:tcPr>
            <w:tcW w:w="900" w:type="dxa"/>
            <w:vAlign w:val="bottom"/>
            <w:shd w:val="clear" w:color="auto" w:fill="CBDBD1"/>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23,072,027</w:t>
            </w:r>
          </w:p>
        </w:tc>
        <w:tc>
          <w:tcPr>
            <w:tcW w:w="120" w:type="dxa"/>
            <w:vAlign w:val="bottom"/>
            <w:shd w:val="clear" w:color="auto" w:fill="CBDBD1"/>
          </w:tcPr>
          <w:p>
            <w:pPr>
              <w:spacing w:after="0"/>
              <w:rPr>
                <w:sz w:val="21"/>
                <w:szCs w:val="21"/>
                <w:color w:val="auto"/>
              </w:rPr>
            </w:pPr>
          </w:p>
        </w:tc>
        <w:tc>
          <w:tcPr>
            <w:tcW w:w="180" w:type="dxa"/>
            <w:vAlign w:val="bottom"/>
            <w:gridSpan w:val="2"/>
            <w:shd w:val="clear" w:color="auto" w:fill="CBDBD1"/>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BDBD1"/>
          </w:tcPr>
          <w:p>
            <w:pPr>
              <w:spacing w:after="0"/>
              <w:rPr>
                <w:sz w:val="21"/>
                <w:szCs w:val="21"/>
                <w:color w:val="auto"/>
              </w:rPr>
            </w:pPr>
          </w:p>
        </w:tc>
        <w:tc>
          <w:tcPr>
            <w:tcW w:w="200" w:type="dxa"/>
            <w:vAlign w:val="bottom"/>
            <w:gridSpan w:val="2"/>
            <w:shd w:val="clear" w:color="auto" w:fill="CBDBD1"/>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BDBD1"/>
            </w:tcBorders>
            <w:gridSpan w:val="2"/>
            <w:shd w:val="clear" w:color="auto" w:fill="CBDBD1"/>
          </w:tcPr>
          <w:p>
            <w:pPr>
              <w:jc w:val="right"/>
              <w:ind w:right="120"/>
              <w:spacing w:after="0"/>
              <w:rPr>
                <w:sz w:val="20"/>
                <w:szCs w:val="20"/>
                <w:color w:val="auto"/>
              </w:rPr>
            </w:pPr>
            <w:r>
              <w:rPr>
                <w:rFonts w:ascii="Arial" w:cs="Arial" w:eastAsia="Arial" w:hAnsi="Arial"/>
                <w:sz w:val="18"/>
                <w:szCs w:val="18"/>
                <w:color w:val="auto"/>
              </w:rPr>
              <w:t>(21,254,167)</w:t>
            </w:r>
          </w:p>
        </w:tc>
        <w:tc>
          <w:tcPr>
            <w:tcW w:w="120" w:type="dxa"/>
            <w:vAlign w:val="bottom"/>
            <w:shd w:val="clear" w:color="auto" w:fill="CBDBD1"/>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1,831,094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Borders>
              <w:top w:val="single" w:sz="8" w:color="CBDBD1"/>
            </w:tcBorders>
            <w:shd w:val="clear" w:color="auto" w:fill="CBDBD1"/>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BDBD1"/>
            </w:tcBorders>
            <w:shd w:val="clear" w:color="auto" w:fill="CBDBD1"/>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BDBD1"/>
            </w:tcBorders>
            <w:shd w:val="clear" w:color="auto" w:fill="CBDBD1"/>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BDBD1"/>
            </w:tcBorders>
            <w:shd w:val="clear" w:color="auto" w:fill="CBDBD1"/>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right w:val="single" w:sz="8" w:color="CBDBD1"/>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BDBD1"/>
            </w:tcBorders>
            <w:shd w:val="clear" w:color="auto" w:fill="CBDBD1"/>
          </w:tcPr>
          <w:p>
            <w:pPr>
              <w:spacing w:after="0" w:line="20" w:lineRule="exact"/>
              <w:rPr>
                <w:sz w:val="1"/>
                <w:szCs w:val="1"/>
                <w:color w:val="auto"/>
              </w:rPr>
            </w:pPr>
          </w:p>
        </w:tc>
        <w:tc>
          <w:tcPr>
            <w:tcW w:w="80" w:type="dxa"/>
            <w:vAlign w:val="bottom"/>
            <w:tcBorders>
              <w:top w:val="single" w:sz="8" w:color="CBDBD1"/>
            </w:tcBorders>
            <w:shd w:val="clear" w:color="auto" w:fill="CBDBD1"/>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BDBD1"/>
            </w:tcBorders>
            <w:shd w:val="clear" w:color="auto" w:fill="CBDBD1"/>
          </w:tcPr>
          <w:p>
            <w:pPr>
              <w:spacing w:after="0" w:line="20" w:lineRule="exact"/>
              <w:rPr>
                <w:sz w:val="1"/>
                <w:szCs w:val="1"/>
                <w:color w:val="auto"/>
              </w:rPr>
            </w:pPr>
          </w:p>
        </w:tc>
        <w:tc>
          <w:tcPr>
            <w:tcW w:w="80" w:type="dxa"/>
            <w:vAlign w:val="bottom"/>
            <w:tcBorders>
              <w:top w:val="single" w:sz="8" w:color="CBDBD1"/>
            </w:tcBorders>
            <w:shd w:val="clear" w:color="auto" w:fill="CBDBD1"/>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BDBD1"/>
              <w:right w:val="single" w:sz="8" w:color="CBDBD1"/>
            </w:tcBorders>
            <w:shd w:val="clear" w:color="auto" w:fill="CBDBD1"/>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83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ind w:right="-83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121" w:right="107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OPTIMIZERx CORPORATION</w:t>
      </w:r>
    </w:p>
    <w:p>
      <w:pPr>
        <w:spacing w:after="0" w:line="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FOR THE SIX MONTHS ENDED JUNE 30, 2010 AND 2009</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FOR THE PERIOD FROM JANUARY 31, 2006 (INCEPTION) TO JUNE 30, 2010</w:t>
      </w:r>
    </w:p>
    <w:p>
      <w:pPr>
        <w:spacing w:after="0" w:line="238"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For the Period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from January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w w:val="96"/>
              </w:rPr>
              <w:t>For the Six</w:t>
            </w:r>
          </w:p>
        </w:tc>
        <w:tc>
          <w:tcPr>
            <w:tcW w:w="1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96"/>
              </w:rPr>
              <w:t>For the Six</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color w:val="auto"/>
                <w:w w:val="89"/>
              </w:rPr>
              <w:t>2006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280" w:type="dxa"/>
            <w:vAlign w:val="bottom"/>
            <w:gridSpan w:val="3"/>
          </w:tcPr>
          <w:p>
            <w:pPr>
              <w:ind w:left="20"/>
              <w:spacing w:after="0"/>
              <w:rPr>
                <w:sz w:val="20"/>
                <w:szCs w:val="20"/>
                <w:color w:val="auto"/>
              </w:rPr>
            </w:pPr>
            <w:r>
              <w:rPr>
                <w:rFonts w:ascii="Arial" w:cs="Arial" w:eastAsia="Arial" w:hAnsi="Arial"/>
                <w:sz w:val="18"/>
                <w:szCs w:val="18"/>
                <w:color w:val="auto"/>
              </w:rPr>
              <w:t>Months Ended</w:t>
            </w:r>
          </w:p>
        </w:tc>
        <w:tc>
          <w:tcPr>
            <w:tcW w:w="1240" w:type="dxa"/>
            <w:vAlign w:val="bottom"/>
            <w:gridSpan w:val="3"/>
          </w:tcPr>
          <w:p>
            <w:pPr>
              <w:ind w:left="20"/>
              <w:spacing w:after="0"/>
              <w:rPr>
                <w:sz w:val="20"/>
                <w:szCs w:val="20"/>
                <w:color w:val="auto"/>
              </w:rPr>
            </w:pPr>
            <w:r>
              <w:rPr>
                <w:rFonts w:ascii="Arial" w:cs="Arial" w:eastAsia="Arial" w:hAnsi="Arial"/>
                <w:sz w:val="18"/>
                <w:szCs w:val="18"/>
                <w:color w:val="auto"/>
              </w:rPr>
              <w:t>Months Ended</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(Inception)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auto"/>
              </w:rPr>
              <w:t>June 30, 2010</w:t>
            </w:r>
          </w:p>
        </w:tc>
        <w:tc>
          <w:tcPr>
            <w:tcW w:w="1240" w:type="dxa"/>
            <w:vAlign w:val="bottom"/>
            <w:gridSpan w:val="3"/>
          </w:tcPr>
          <w:p>
            <w:pPr>
              <w:ind w:left="40"/>
              <w:spacing w:after="0"/>
              <w:rPr>
                <w:sz w:val="20"/>
                <w:szCs w:val="20"/>
                <w:color w:val="auto"/>
              </w:rPr>
            </w:pPr>
            <w:r>
              <w:rPr>
                <w:rFonts w:ascii="Arial" w:cs="Arial" w:eastAsia="Arial" w:hAnsi="Arial"/>
                <w:sz w:val="18"/>
                <w:szCs w:val="18"/>
                <w:color w:val="auto"/>
              </w:rPr>
              <w:t>June 30, 2009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June 30, 2010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(Unaudited)</w:t>
            </w:r>
          </w:p>
        </w:tc>
        <w:tc>
          <w:tcPr>
            <w:tcW w:w="10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(Unaudited)</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(Unaudited)</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BDBD1"/>
          </w:tcPr>
          <w:p>
            <w:pPr>
              <w:ind w:left="300"/>
              <w:spacing w:after="0"/>
              <w:rPr>
                <w:sz w:val="20"/>
                <w:szCs w:val="20"/>
                <w:color w:val="auto"/>
              </w:rPr>
            </w:pPr>
            <w:r>
              <w:rPr>
                <w:rFonts w:ascii="Arial" w:cs="Arial" w:eastAsia="Arial" w:hAnsi="Arial"/>
                <w:sz w:val="18"/>
                <w:szCs w:val="18"/>
                <w:color w:val="auto"/>
              </w:rPr>
              <w:t>Net loss for the period</w:t>
            </w:r>
          </w:p>
        </w:tc>
        <w:tc>
          <w:tcPr>
            <w:tcW w:w="100" w:type="dxa"/>
            <w:vAlign w:val="bottom"/>
            <w:shd w:val="clear" w:color="auto" w:fill="CBDBD1"/>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BDBD1"/>
          </w:tcPr>
          <w:p>
            <w:pPr>
              <w:jc w:val="right"/>
              <w:ind w:right="120"/>
              <w:spacing w:after="0"/>
              <w:rPr>
                <w:sz w:val="20"/>
                <w:szCs w:val="20"/>
                <w:color w:val="auto"/>
              </w:rPr>
            </w:pPr>
            <w:r>
              <w:rPr>
                <w:rFonts w:ascii="Arial" w:cs="Arial" w:eastAsia="Arial" w:hAnsi="Arial"/>
                <w:sz w:val="18"/>
                <w:szCs w:val="18"/>
                <w:color w:val="auto"/>
              </w:rPr>
              <w:t>(1,135,870)</w:t>
            </w:r>
          </w:p>
        </w:tc>
        <w:tc>
          <w:tcPr>
            <w:tcW w:w="100" w:type="dxa"/>
            <w:vAlign w:val="bottom"/>
            <w:shd w:val="clear" w:color="auto" w:fill="CBDBD1"/>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BDBD1"/>
          </w:tcPr>
          <w:p>
            <w:pPr>
              <w:jc w:val="right"/>
              <w:ind w:right="60"/>
              <w:spacing w:after="0"/>
              <w:rPr>
                <w:sz w:val="20"/>
                <w:szCs w:val="20"/>
                <w:color w:val="auto"/>
              </w:rPr>
            </w:pPr>
            <w:r>
              <w:rPr>
                <w:rFonts w:ascii="Arial" w:cs="Arial" w:eastAsia="Arial" w:hAnsi="Arial"/>
                <w:sz w:val="18"/>
                <w:szCs w:val="18"/>
                <w:color w:val="auto"/>
              </w:rPr>
              <w:t>(1,702,868)</w:t>
            </w:r>
          </w:p>
        </w:tc>
        <w:tc>
          <w:tcPr>
            <w:tcW w:w="16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(10,486,189)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tcPr>
          <w:p>
            <w:pPr>
              <w:spacing w:after="0" w:line="201" w:lineRule="exact"/>
              <w:rPr>
                <w:sz w:val="20"/>
                <w:szCs w:val="20"/>
                <w:color w:val="auto"/>
              </w:rPr>
            </w:pPr>
            <w:r>
              <w:rPr>
                <w:rFonts w:ascii="Arial" w:cs="Arial" w:eastAsia="Arial" w:hAnsi="Arial"/>
                <w:sz w:val="18"/>
                <w:szCs w:val="18"/>
                <w:color w:val="auto"/>
                <w:w w:val="91"/>
              </w:rPr>
              <w:t>Adjustments to reconcile net income to net cash used in</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BDBD1"/>
          </w:tcPr>
          <w:p>
            <w:pPr>
              <w:ind w:left="30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BDBD1"/>
          </w:tcPr>
          <w:p>
            <w:pPr>
              <w:spacing w:after="0"/>
              <w:rPr>
                <w:sz w:val="18"/>
                <w:szCs w:val="18"/>
                <w:color w:val="auto"/>
              </w:rPr>
            </w:pPr>
          </w:p>
        </w:tc>
        <w:tc>
          <w:tcPr>
            <w:tcW w:w="10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16,258</w:t>
            </w:r>
          </w:p>
        </w:tc>
        <w:tc>
          <w:tcPr>
            <w:tcW w:w="18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140" w:type="dxa"/>
            <w:vAlign w:val="bottom"/>
            <w:gridSpan w:val="2"/>
            <w:shd w:val="clear" w:color="auto" w:fill="CBDBD1"/>
          </w:tcPr>
          <w:p>
            <w:pPr>
              <w:jc w:val="right"/>
              <w:ind w:right="120"/>
              <w:spacing w:after="0"/>
              <w:rPr>
                <w:sz w:val="20"/>
                <w:szCs w:val="20"/>
                <w:color w:val="auto"/>
              </w:rPr>
            </w:pPr>
            <w:r>
              <w:rPr>
                <w:rFonts w:ascii="Arial" w:cs="Arial" w:eastAsia="Arial" w:hAnsi="Arial"/>
                <w:sz w:val="18"/>
                <w:szCs w:val="18"/>
                <w:color w:val="auto"/>
              </w:rPr>
              <w:t>16,258</w:t>
            </w:r>
          </w:p>
        </w:tc>
        <w:tc>
          <w:tcPr>
            <w:tcW w:w="4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1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83,788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00"/>
              <w:spacing w:after="0"/>
              <w:rPr>
                <w:sz w:val="20"/>
                <w:szCs w:val="20"/>
                <w:color w:val="auto"/>
              </w:rPr>
            </w:pPr>
            <w:r>
              <w:rPr>
                <w:rFonts w:ascii="Arial" w:cs="Arial" w:eastAsia="Arial" w:hAnsi="Arial"/>
                <w:sz w:val="18"/>
                <w:szCs w:val="18"/>
                <w:color w:val="auto"/>
              </w:rPr>
              <w:t>Stock issued for services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201,140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696,000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1,279,380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BDBD1"/>
          </w:tcPr>
          <w:p>
            <w:pPr>
              <w:ind w:left="300"/>
              <w:spacing w:after="0"/>
              <w:rPr>
                <w:sz w:val="20"/>
                <w:szCs w:val="20"/>
                <w:color w:val="auto"/>
              </w:rPr>
            </w:pPr>
            <w:r>
              <w:rPr>
                <w:rFonts w:ascii="Arial" w:cs="Arial" w:eastAsia="Arial" w:hAnsi="Arial"/>
                <w:sz w:val="18"/>
                <w:szCs w:val="18"/>
                <w:color w:val="auto"/>
              </w:rPr>
              <w:t>Compensation expense for stock options</w:t>
            </w:r>
          </w:p>
        </w:tc>
        <w:tc>
          <w:tcPr>
            <w:tcW w:w="100" w:type="dxa"/>
            <w:vAlign w:val="bottom"/>
            <w:shd w:val="clear" w:color="auto" w:fill="CBDBD1"/>
          </w:tcPr>
          <w:p>
            <w:pPr>
              <w:spacing w:after="0"/>
              <w:rPr>
                <w:sz w:val="18"/>
                <w:szCs w:val="18"/>
                <w:color w:val="auto"/>
              </w:rPr>
            </w:pPr>
          </w:p>
        </w:tc>
        <w:tc>
          <w:tcPr>
            <w:tcW w:w="10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140" w:type="dxa"/>
            <w:vAlign w:val="bottom"/>
            <w:gridSpan w:val="2"/>
            <w:shd w:val="clear" w:color="auto" w:fill="CBDBD1"/>
          </w:tcPr>
          <w:p>
            <w:pPr>
              <w:jc w:val="right"/>
              <w:ind w:right="120"/>
              <w:spacing w:after="0"/>
              <w:rPr>
                <w:sz w:val="20"/>
                <w:szCs w:val="20"/>
                <w:color w:val="auto"/>
              </w:rPr>
            </w:pPr>
            <w:r>
              <w:rPr>
                <w:rFonts w:ascii="Arial" w:cs="Arial" w:eastAsia="Arial" w:hAnsi="Arial"/>
                <w:sz w:val="18"/>
                <w:szCs w:val="18"/>
                <w:color w:val="auto"/>
              </w:rPr>
              <w:t>0</w:t>
            </w:r>
          </w:p>
        </w:tc>
        <w:tc>
          <w:tcPr>
            <w:tcW w:w="4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1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333,004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00"/>
              <w:spacing w:after="0"/>
              <w:rPr>
                <w:sz w:val="20"/>
                <w:szCs w:val="20"/>
                <w:color w:val="auto"/>
              </w:rPr>
            </w:pPr>
            <w:r>
              <w:rPr>
                <w:rFonts w:ascii="Arial" w:cs="Arial" w:eastAsia="Arial" w:hAnsi="Arial"/>
                <w:sz w:val="18"/>
                <w:szCs w:val="18"/>
                <w:color w:val="auto"/>
              </w:rPr>
              <w:t>Stock warrants issued for services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4,684,537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BDBD1"/>
          </w:tcPr>
          <w:p>
            <w:pPr>
              <w:ind w:left="300"/>
              <w:spacing w:after="0"/>
              <w:rPr>
                <w:sz w:val="20"/>
                <w:szCs w:val="20"/>
                <w:color w:val="auto"/>
              </w:rPr>
            </w:pPr>
            <w:r>
              <w:rPr>
                <w:rFonts w:ascii="Arial" w:cs="Arial" w:eastAsia="Arial" w:hAnsi="Arial"/>
                <w:sz w:val="18"/>
                <w:szCs w:val="18"/>
                <w:color w:val="auto"/>
              </w:rPr>
              <w:t>Changes assets and liabilities:</w:t>
            </w:r>
          </w:p>
        </w:tc>
        <w:tc>
          <w:tcPr>
            <w:tcW w:w="100" w:type="dxa"/>
            <w:vAlign w:val="bottom"/>
            <w:shd w:val="clear" w:color="auto" w:fill="CBDBD1"/>
          </w:tcPr>
          <w:p>
            <w:pPr>
              <w:spacing w:after="0"/>
              <w:rPr>
                <w:sz w:val="18"/>
                <w:szCs w:val="18"/>
                <w:color w:val="auto"/>
              </w:rPr>
            </w:pPr>
          </w:p>
        </w:tc>
        <w:tc>
          <w:tcPr>
            <w:tcW w:w="1000" w:type="dxa"/>
            <w:vAlign w:val="bottom"/>
            <w:shd w:val="clear" w:color="auto" w:fill="CBDBD1"/>
          </w:tcPr>
          <w:p>
            <w:pPr>
              <w:spacing w:after="0"/>
              <w:rPr>
                <w:sz w:val="18"/>
                <w:szCs w:val="18"/>
                <w:color w:val="auto"/>
              </w:rPr>
            </w:pPr>
          </w:p>
        </w:tc>
        <w:tc>
          <w:tcPr>
            <w:tcW w:w="18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02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4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180" w:type="dxa"/>
            <w:vAlign w:val="bottom"/>
            <w:shd w:val="clear" w:color="auto" w:fill="CBDBD1"/>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0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13,790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(1,728)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BDBD1"/>
          </w:tcPr>
          <w:p>
            <w:pPr>
              <w:ind w:left="30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BDBD1"/>
          </w:tcPr>
          <w:p>
            <w:pPr>
              <w:spacing w:after="0"/>
              <w:rPr>
                <w:sz w:val="18"/>
                <w:szCs w:val="18"/>
                <w:color w:val="auto"/>
              </w:rPr>
            </w:pPr>
          </w:p>
        </w:tc>
        <w:tc>
          <w:tcPr>
            <w:tcW w:w="1180" w:type="dxa"/>
            <w:vAlign w:val="bottom"/>
            <w:gridSpan w:val="2"/>
            <w:shd w:val="clear" w:color="auto" w:fill="CBDBD1"/>
          </w:tcPr>
          <w:p>
            <w:pPr>
              <w:jc w:val="right"/>
              <w:ind w:right="120"/>
              <w:spacing w:after="0"/>
              <w:rPr>
                <w:sz w:val="20"/>
                <w:szCs w:val="20"/>
                <w:color w:val="auto"/>
              </w:rPr>
            </w:pPr>
            <w:r>
              <w:rPr>
                <w:rFonts w:ascii="Arial" w:cs="Arial" w:eastAsia="Arial" w:hAnsi="Arial"/>
                <w:sz w:val="18"/>
                <w:szCs w:val="18"/>
                <w:color w:val="auto"/>
              </w:rPr>
              <w:t>(10,816)</w:t>
            </w:r>
          </w:p>
        </w:tc>
        <w:tc>
          <w:tcPr>
            <w:tcW w:w="100" w:type="dxa"/>
            <w:vAlign w:val="bottom"/>
            <w:shd w:val="clear" w:color="auto" w:fill="CBDBD1"/>
          </w:tcPr>
          <w:p>
            <w:pPr>
              <w:spacing w:after="0"/>
              <w:rPr>
                <w:sz w:val="18"/>
                <w:szCs w:val="18"/>
                <w:color w:val="auto"/>
              </w:rPr>
            </w:pPr>
          </w:p>
        </w:tc>
        <w:tc>
          <w:tcPr>
            <w:tcW w:w="1140" w:type="dxa"/>
            <w:vAlign w:val="bottom"/>
            <w:gridSpan w:val="2"/>
            <w:shd w:val="clear" w:color="auto" w:fill="CBDBD1"/>
          </w:tcPr>
          <w:p>
            <w:pPr>
              <w:jc w:val="right"/>
              <w:ind w:right="60"/>
              <w:spacing w:after="0"/>
              <w:rPr>
                <w:sz w:val="20"/>
                <w:szCs w:val="20"/>
                <w:color w:val="auto"/>
              </w:rPr>
            </w:pPr>
            <w:r>
              <w:rPr>
                <w:rFonts w:ascii="Arial" w:cs="Arial" w:eastAsia="Arial" w:hAnsi="Arial"/>
                <w:sz w:val="18"/>
                <w:szCs w:val="18"/>
                <w:color w:val="auto"/>
              </w:rPr>
              <w:t>(4,101)</w:t>
            </w:r>
          </w:p>
        </w:tc>
        <w:tc>
          <w:tcPr>
            <w:tcW w:w="4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1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(18,908)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00"/>
              <w:spacing w:after="0"/>
              <w:rPr>
                <w:sz w:val="20"/>
                <w:szCs w:val="20"/>
                <w:color w:val="auto"/>
              </w:rPr>
            </w:pPr>
            <w:r>
              <w:rPr>
                <w:rFonts w:ascii="Arial" w:cs="Arial" w:eastAsia="Arial" w:hAnsi="Arial"/>
                <w:sz w:val="18"/>
                <w:szCs w:val="18"/>
                <w:color w:val="auto"/>
              </w:rPr>
              <w:t>Loan receivable</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1,346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BDBD1"/>
          </w:tcPr>
          <w:p>
            <w:pPr>
              <w:ind w:left="30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BDBD1"/>
          </w:tcPr>
          <w:p>
            <w:pPr>
              <w:spacing w:after="0"/>
              <w:rPr>
                <w:sz w:val="18"/>
                <w:szCs w:val="18"/>
                <w:color w:val="auto"/>
              </w:rPr>
            </w:pPr>
          </w:p>
        </w:tc>
        <w:tc>
          <w:tcPr>
            <w:tcW w:w="10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17,442</w:t>
            </w:r>
          </w:p>
        </w:tc>
        <w:tc>
          <w:tcPr>
            <w:tcW w:w="18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140" w:type="dxa"/>
            <w:vAlign w:val="bottom"/>
            <w:gridSpan w:val="2"/>
            <w:shd w:val="clear" w:color="auto" w:fill="CBDBD1"/>
          </w:tcPr>
          <w:p>
            <w:pPr>
              <w:jc w:val="right"/>
              <w:ind w:right="60"/>
              <w:spacing w:after="0"/>
              <w:rPr>
                <w:sz w:val="20"/>
                <w:szCs w:val="20"/>
                <w:color w:val="auto"/>
              </w:rPr>
            </w:pPr>
            <w:r>
              <w:rPr>
                <w:rFonts w:ascii="Arial" w:cs="Arial" w:eastAsia="Arial" w:hAnsi="Arial"/>
                <w:sz w:val="18"/>
                <w:szCs w:val="18"/>
                <w:color w:val="auto"/>
              </w:rPr>
              <w:t>(169,117)</w:t>
            </w:r>
          </w:p>
        </w:tc>
        <w:tc>
          <w:tcPr>
            <w:tcW w:w="4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1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50,772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0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3,660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100" w:type="dxa"/>
            <w:vAlign w:val="bottom"/>
            <w:shd w:val="clear" w:color="auto" w:fill="CBDBD1"/>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CBDBD1"/>
          </w:tcPr>
          <w:p>
            <w:pPr>
              <w:spacing w:after="0"/>
              <w:rPr>
                <w:sz w:val="19"/>
                <w:szCs w:val="19"/>
                <w:color w:val="auto"/>
              </w:rPr>
            </w:pPr>
          </w:p>
        </w:tc>
        <w:tc>
          <w:tcPr>
            <w:tcW w:w="1180" w:type="dxa"/>
            <w:vAlign w:val="bottom"/>
            <w:gridSpan w:val="2"/>
            <w:shd w:val="clear" w:color="auto" w:fill="CBDBD1"/>
          </w:tcPr>
          <w:p>
            <w:pPr>
              <w:jc w:val="right"/>
              <w:ind w:right="120"/>
              <w:spacing w:after="0"/>
              <w:rPr>
                <w:sz w:val="20"/>
                <w:szCs w:val="20"/>
                <w:color w:val="auto"/>
              </w:rPr>
            </w:pPr>
            <w:r>
              <w:rPr>
                <w:rFonts w:ascii="Arial" w:cs="Arial" w:eastAsia="Arial" w:hAnsi="Arial"/>
                <w:sz w:val="18"/>
                <w:szCs w:val="18"/>
                <w:color w:val="auto"/>
              </w:rPr>
              <w:t>(902,556)</w:t>
            </w:r>
          </w:p>
        </w:tc>
        <w:tc>
          <w:tcPr>
            <w:tcW w:w="100" w:type="dxa"/>
            <w:vAlign w:val="bottom"/>
            <w:shd w:val="clear" w:color="auto" w:fill="CBDBD1"/>
          </w:tcPr>
          <w:p>
            <w:pPr>
              <w:spacing w:after="0"/>
              <w:rPr>
                <w:sz w:val="19"/>
                <w:szCs w:val="19"/>
                <w:color w:val="auto"/>
              </w:rPr>
            </w:pPr>
          </w:p>
        </w:tc>
        <w:tc>
          <w:tcPr>
            <w:tcW w:w="1140" w:type="dxa"/>
            <w:vAlign w:val="bottom"/>
            <w:gridSpan w:val="2"/>
            <w:shd w:val="clear" w:color="auto" w:fill="CBDBD1"/>
          </w:tcPr>
          <w:p>
            <w:pPr>
              <w:jc w:val="right"/>
              <w:ind w:right="60"/>
              <w:spacing w:after="0"/>
              <w:rPr>
                <w:sz w:val="20"/>
                <w:szCs w:val="20"/>
                <w:color w:val="auto"/>
              </w:rPr>
            </w:pPr>
            <w:r>
              <w:rPr>
                <w:rFonts w:ascii="Arial" w:cs="Arial" w:eastAsia="Arial" w:hAnsi="Arial"/>
                <w:sz w:val="18"/>
                <w:szCs w:val="18"/>
                <w:color w:val="auto"/>
              </w:rPr>
              <w:t>(1,160,550)</w:t>
            </w:r>
          </w:p>
        </w:tc>
        <w:tc>
          <w:tcPr>
            <w:tcW w:w="40" w:type="dxa"/>
            <w:vAlign w:val="bottom"/>
            <w:shd w:val="clear" w:color="auto" w:fill="CBDBD1"/>
          </w:tcPr>
          <w:p>
            <w:pPr>
              <w:spacing w:after="0"/>
              <w:rPr>
                <w:sz w:val="19"/>
                <w:szCs w:val="19"/>
                <w:color w:val="auto"/>
              </w:rPr>
            </w:pPr>
          </w:p>
        </w:tc>
        <w:tc>
          <w:tcPr>
            <w:tcW w:w="120" w:type="dxa"/>
            <w:vAlign w:val="bottom"/>
            <w:shd w:val="clear" w:color="auto" w:fill="CBDBD1"/>
          </w:tcPr>
          <w:p>
            <w:pPr>
              <w:spacing w:after="0"/>
              <w:rPr>
                <w:sz w:val="19"/>
                <w:szCs w:val="19"/>
                <w:color w:val="auto"/>
              </w:rPr>
            </w:pPr>
          </w:p>
        </w:tc>
        <w:tc>
          <w:tcPr>
            <w:tcW w:w="11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(4,074,291)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Borders>
              <w:top w:val="single" w:sz="8" w:color="CBDBD1"/>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Borders>
              <w:top w:val="single" w:sz="8" w:color="CBDBD1"/>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CBDBD1"/>
            </w:tcBorders>
          </w:tcPr>
          <w:p>
            <w:pPr>
              <w:spacing w:after="0"/>
              <w:rPr>
                <w:sz w:val="18"/>
                <w:szCs w:val="18"/>
                <w:color w:val="auto"/>
              </w:rPr>
            </w:pPr>
          </w:p>
        </w:tc>
        <w:tc>
          <w:tcPr>
            <w:tcW w:w="40" w:type="dxa"/>
            <w:vAlign w:val="bottom"/>
            <w:tcBorders>
              <w:top w:val="single" w:sz="8" w:color="CBDBD1"/>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BDBD1"/>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BDBD1"/>
          </w:tcPr>
          <w:p>
            <w:pPr>
              <w:spacing w:after="0"/>
              <w:rPr>
                <w:sz w:val="18"/>
                <w:szCs w:val="18"/>
                <w:color w:val="auto"/>
              </w:rPr>
            </w:pPr>
          </w:p>
        </w:tc>
        <w:tc>
          <w:tcPr>
            <w:tcW w:w="1000" w:type="dxa"/>
            <w:vAlign w:val="bottom"/>
            <w:shd w:val="clear" w:color="auto" w:fill="CBDBD1"/>
          </w:tcPr>
          <w:p>
            <w:pPr>
              <w:spacing w:after="0"/>
              <w:rPr>
                <w:sz w:val="18"/>
                <w:szCs w:val="18"/>
                <w:color w:val="auto"/>
              </w:rPr>
            </w:pPr>
          </w:p>
        </w:tc>
        <w:tc>
          <w:tcPr>
            <w:tcW w:w="18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02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4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180" w:type="dxa"/>
            <w:vAlign w:val="bottom"/>
            <w:shd w:val="clear" w:color="auto" w:fill="CBDBD1"/>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0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(16,888)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BDBD1"/>
          </w:tcPr>
          <w:p>
            <w:pPr>
              <w:ind w:left="300"/>
              <w:spacing w:after="0"/>
              <w:rPr>
                <w:sz w:val="20"/>
                <w:szCs w:val="20"/>
                <w:color w:val="auto"/>
              </w:rPr>
            </w:pPr>
            <w:r>
              <w:rPr>
                <w:rFonts w:ascii="Arial" w:cs="Arial" w:eastAsia="Arial" w:hAnsi="Arial"/>
                <w:sz w:val="18"/>
                <w:szCs w:val="18"/>
                <w:color w:val="auto"/>
              </w:rPr>
              <w:t>License fees</w:t>
            </w:r>
          </w:p>
        </w:tc>
        <w:tc>
          <w:tcPr>
            <w:tcW w:w="100" w:type="dxa"/>
            <w:vAlign w:val="bottom"/>
            <w:shd w:val="clear" w:color="auto" w:fill="CBDBD1"/>
          </w:tcPr>
          <w:p>
            <w:pPr>
              <w:spacing w:after="0"/>
              <w:rPr>
                <w:sz w:val="18"/>
                <w:szCs w:val="18"/>
                <w:color w:val="auto"/>
              </w:rPr>
            </w:pPr>
          </w:p>
        </w:tc>
        <w:tc>
          <w:tcPr>
            <w:tcW w:w="1180" w:type="dxa"/>
            <w:vAlign w:val="bottom"/>
            <w:gridSpan w:val="2"/>
            <w:shd w:val="clear" w:color="auto" w:fill="CBDBD1"/>
          </w:tcPr>
          <w:p>
            <w:pPr>
              <w:jc w:val="right"/>
              <w:ind w:right="120"/>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BDBD1"/>
          </w:tcPr>
          <w:p>
            <w:pPr>
              <w:spacing w:after="0"/>
              <w:rPr>
                <w:sz w:val="18"/>
                <w:szCs w:val="18"/>
                <w:color w:val="auto"/>
              </w:rPr>
            </w:pPr>
          </w:p>
        </w:tc>
        <w:tc>
          <w:tcPr>
            <w:tcW w:w="1140" w:type="dxa"/>
            <w:vAlign w:val="bottom"/>
            <w:gridSpan w:val="2"/>
            <w:shd w:val="clear" w:color="auto" w:fill="CBDBD1"/>
          </w:tcPr>
          <w:p>
            <w:pPr>
              <w:jc w:val="right"/>
              <w:ind w:right="120"/>
              <w:spacing w:after="0"/>
              <w:rPr>
                <w:sz w:val="20"/>
                <w:szCs w:val="20"/>
                <w:color w:val="auto"/>
              </w:rPr>
            </w:pPr>
            <w:r>
              <w:rPr>
                <w:rFonts w:ascii="Arial" w:cs="Arial" w:eastAsia="Arial" w:hAnsi="Arial"/>
                <w:sz w:val="18"/>
                <w:szCs w:val="18"/>
                <w:color w:val="auto"/>
              </w:rPr>
              <w:t>0</w:t>
            </w:r>
          </w:p>
        </w:tc>
        <w:tc>
          <w:tcPr>
            <w:tcW w:w="4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1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(40,000)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00"/>
              <w:spacing w:after="0"/>
              <w:rPr>
                <w:sz w:val="20"/>
                <w:szCs w:val="20"/>
                <w:color w:val="auto"/>
              </w:rPr>
            </w:pPr>
            <w:r>
              <w:rPr>
                <w:rFonts w:ascii="Arial" w:cs="Arial" w:eastAsia="Arial" w:hAnsi="Arial"/>
                <w:sz w:val="18"/>
                <w:szCs w:val="18"/>
                <w:color w:val="auto"/>
              </w:rPr>
              <w:t>Website development costs</w:t>
            </w: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(89,660)</w:t>
            </w: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(351,493)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100" w:type="dxa"/>
            <w:vAlign w:val="bottom"/>
            <w:shd w:val="clear" w:color="auto" w:fill="CBDBD1"/>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BDBD1"/>
          </w:tcPr>
          <w:p>
            <w:pPr>
              <w:spacing w:after="0"/>
              <w:rPr>
                <w:sz w:val="19"/>
                <w:szCs w:val="19"/>
                <w:color w:val="auto"/>
              </w:rPr>
            </w:pPr>
          </w:p>
        </w:tc>
        <w:tc>
          <w:tcPr>
            <w:tcW w:w="1180" w:type="dxa"/>
            <w:vAlign w:val="bottom"/>
            <w:gridSpan w:val="2"/>
            <w:shd w:val="clear" w:color="auto" w:fill="CBDBD1"/>
          </w:tcPr>
          <w:p>
            <w:pPr>
              <w:jc w:val="right"/>
              <w:ind w:right="120"/>
              <w:spacing w:after="0"/>
              <w:rPr>
                <w:sz w:val="20"/>
                <w:szCs w:val="20"/>
                <w:color w:val="auto"/>
              </w:rPr>
            </w:pPr>
            <w:r>
              <w:rPr>
                <w:rFonts w:ascii="Arial" w:cs="Arial" w:eastAsia="Arial" w:hAnsi="Arial"/>
                <w:sz w:val="18"/>
                <w:szCs w:val="18"/>
                <w:color w:val="auto"/>
              </w:rPr>
              <w:t>(129,660)</w:t>
            </w:r>
          </w:p>
        </w:tc>
        <w:tc>
          <w:tcPr>
            <w:tcW w:w="100" w:type="dxa"/>
            <w:vAlign w:val="bottom"/>
            <w:shd w:val="clear" w:color="auto" w:fill="CBDBD1"/>
          </w:tcPr>
          <w:p>
            <w:pPr>
              <w:spacing w:after="0"/>
              <w:rPr>
                <w:sz w:val="19"/>
                <w:szCs w:val="19"/>
                <w:color w:val="auto"/>
              </w:rPr>
            </w:pPr>
          </w:p>
        </w:tc>
        <w:tc>
          <w:tcPr>
            <w:tcW w:w="1140" w:type="dxa"/>
            <w:vAlign w:val="bottom"/>
            <w:gridSpan w:val="2"/>
            <w:shd w:val="clear" w:color="auto" w:fill="CBDBD1"/>
          </w:tcPr>
          <w:p>
            <w:pPr>
              <w:jc w:val="right"/>
              <w:ind w:right="120"/>
              <w:spacing w:after="0"/>
              <w:rPr>
                <w:sz w:val="20"/>
                <w:szCs w:val="20"/>
                <w:color w:val="auto"/>
              </w:rPr>
            </w:pPr>
            <w:r>
              <w:rPr>
                <w:rFonts w:ascii="Arial" w:cs="Arial" w:eastAsia="Arial" w:hAnsi="Arial"/>
                <w:sz w:val="18"/>
                <w:szCs w:val="18"/>
                <w:color w:val="auto"/>
              </w:rPr>
              <w:t>0</w:t>
            </w:r>
          </w:p>
        </w:tc>
        <w:tc>
          <w:tcPr>
            <w:tcW w:w="40" w:type="dxa"/>
            <w:vAlign w:val="bottom"/>
            <w:shd w:val="clear" w:color="auto" w:fill="CBDBD1"/>
          </w:tcPr>
          <w:p>
            <w:pPr>
              <w:spacing w:after="0"/>
              <w:rPr>
                <w:sz w:val="19"/>
                <w:szCs w:val="19"/>
                <w:color w:val="auto"/>
              </w:rPr>
            </w:pPr>
          </w:p>
        </w:tc>
        <w:tc>
          <w:tcPr>
            <w:tcW w:w="120" w:type="dxa"/>
            <w:vAlign w:val="bottom"/>
            <w:shd w:val="clear" w:color="auto" w:fill="CBDBD1"/>
          </w:tcPr>
          <w:p>
            <w:pPr>
              <w:spacing w:after="0"/>
              <w:rPr>
                <w:sz w:val="19"/>
                <w:szCs w:val="19"/>
                <w:color w:val="auto"/>
              </w:rPr>
            </w:pPr>
          </w:p>
        </w:tc>
        <w:tc>
          <w:tcPr>
            <w:tcW w:w="11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(408,381)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Borders>
              <w:top w:val="single" w:sz="8" w:color="CBDBD1"/>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Borders>
              <w:top w:val="single" w:sz="8" w:color="CBDBD1"/>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CBDBD1"/>
            </w:tcBorders>
          </w:tcPr>
          <w:p>
            <w:pPr>
              <w:spacing w:after="0"/>
              <w:rPr>
                <w:sz w:val="18"/>
                <w:szCs w:val="18"/>
                <w:color w:val="auto"/>
              </w:rPr>
            </w:pPr>
          </w:p>
        </w:tc>
        <w:tc>
          <w:tcPr>
            <w:tcW w:w="40" w:type="dxa"/>
            <w:vAlign w:val="bottom"/>
            <w:tcBorders>
              <w:top w:val="single" w:sz="8" w:color="CBDBD1"/>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BDBD1"/>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BDBD1"/>
          </w:tcPr>
          <w:p>
            <w:pPr>
              <w:spacing w:after="0"/>
              <w:rPr>
                <w:sz w:val="18"/>
                <w:szCs w:val="18"/>
                <w:color w:val="auto"/>
              </w:rPr>
            </w:pPr>
          </w:p>
        </w:tc>
        <w:tc>
          <w:tcPr>
            <w:tcW w:w="1000" w:type="dxa"/>
            <w:vAlign w:val="bottom"/>
            <w:shd w:val="clear" w:color="auto" w:fill="CBDBD1"/>
          </w:tcPr>
          <w:p>
            <w:pPr>
              <w:spacing w:after="0"/>
              <w:rPr>
                <w:sz w:val="18"/>
                <w:szCs w:val="18"/>
                <w:color w:val="auto"/>
              </w:rPr>
            </w:pPr>
          </w:p>
        </w:tc>
        <w:tc>
          <w:tcPr>
            <w:tcW w:w="18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02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4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180" w:type="dxa"/>
            <w:vAlign w:val="bottom"/>
            <w:shd w:val="clear" w:color="auto" w:fill="CBDBD1"/>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00"/>
              <w:spacing w:after="0"/>
              <w:rPr>
                <w:sz w:val="20"/>
                <w:szCs w:val="20"/>
                <w:color w:val="auto"/>
              </w:rPr>
            </w:pPr>
            <w:r>
              <w:rPr>
                <w:rFonts w:ascii="Arial" w:cs="Arial" w:eastAsia="Arial" w:hAnsi="Arial"/>
                <w:sz w:val="18"/>
                <w:szCs w:val="18"/>
                <w:color w:val="auto"/>
              </w:rPr>
              <w:t>Members capital contributions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404,600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BDBD1"/>
          </w:tcPr>
          <w:p>
            <w:pPr>
              <w:ind w:left="300"/>
              <w:spacing w:after="0"/>
              <w:rPr>
                <w:sz w:val="20"/>
                <w:szCs w:val="20"/>
                <w:color w:val="auto"/>
              </w:rPr>
            </w:pPr>
            <w:r>
              <w:rPr>
                <w:rFonts w:ascii="Arial" w:cs="Arial" w:eastAsia="Arial" w:hAnsi="Arial"/>
                <w:sz w:val="18"/>
                <w:szCs w:val="18"/>
                <w:color w:val="auto"/>
              </w:rPr>
              <w:t>Issuance of common stock</w:t>
            </w:r>
          </w:p>
        </w:tc>
        <w:tc>
          <w:tcPr>
            <w:tcW w:w="100" w:type="dxa"/>
            <w:vAlign w:val="bottom"/>
            <w:shd w:val="clear" w:color="auto" w:fill="CBDBD1"/>
          </w:tcPr>
          <w:p>
            <w:pPr>
              <w:spacing w:after="0"/>
              <w:rPr>
                <w:sz w:val="18"/>
                <w:szCs w:val="18"/>
                <w:color w:val="auto"/>
              </w:rPr>
            </w:pPr>
          </w:p>
        </w:tc>
        <w:tc>
          <w:tcPr>
            <w:tcW w:w="10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140" w:type="dxa"/>
            <w:vAlign w:val="bottom"/>
            <w:gridSpan w:val="2"/>
            <w:shd w:val="clear" w:color="auto" w:fill="CBDBD1"/>
          </w:tcPr>
          <w:p>
            <w:pPr>
              <w:jc w:val="right"/>
              <w:ind w:right="120"/>
              <w:spacing w:after="0"/>
              <w:rPr>
                <w:sz w:val="20"/>
                <w:szCs w:val="20"/>
                <w:color w:val="auto"/>
              </w:rPr>
            </w:pPr>
            <w:r>
              <w:rPr>
                <w:rFonts w:ascii="Arial" w:cs="Arial" w:eastAsia="Arial" w:hAnsi="Arial"/>
                <w:sz w:val="18"/>
                <w:szCs w:val="18"/>
                <w:color w:val="auto"/>
              </w:rPr>
              <w:t>0</w:t>
            </w:r>
          </w:p>
        </w:tc>
        <w:tc>
          <w:tcPr>
            <w:tcW w:w="4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1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936,000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00"/>
              <w:spacing w:after="0"/>
              <w:rPr>
                <w:sz w:val="20"/>
                <w:szCs w:val="20"/>
                <w:color w:val="auto"/>
              </w:rPr>
            </w:pPr>
            <w:r>
              <w:rPr>
                <w:rFonts w:ascii="Arial" w:cs="Arial" w:eastAsia="Arial" w:hAnsi="Arial"/>
                <w:sz w:val="18"/>
                <w:szCs w:val="18"/>
                <w:color w:val="auto"/>
              </w:rPr>
              <w:t>Issuance of preferred stock</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4,485,000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BDBD1"/>
          </w:tcPr>
          <w:p>
            <w:pPr>
              <w:ind w:left="300"/>
              <w:spacing w:after="0"/>
              <w:rPr>
                <w:sz w:val="20"/>
                <w:szCs w:val="20"/>
                <w:color w:val="auto"/>
              </w:rPr>
            </w:pPr>
            <w:r>
              <w:rPr>
                <w:rFonts w:ascii="Arial" w:cs="Arial" w:eastAsia="Arial" w:hAnsi="Arial"/>
                <w:sz w:val="18"/>
                <w:szCs w:val="18"/>
                <w:color w:val="auto"/>
              </w:rPr>
              <w:t>Payments on loan payable</w:t>
            </w:r>
          </w:p>
        </w:tc>
        <w:tc>
          <w:tcPr>
            <w:tcW w:w="100" w:type="dxa"/>
            <w:vAlign w:val="bottom"/>
            <w:shd w:val="clear" w:color="auto" w:fill="CBDBD1"/>
          </w:tcPr>
          <w:p>
            <w:pPr>
              <w:spacing w:after="0"/>
              <w:rPr>
                <w:sz w:val="18"/>
                <w:szCs w:val="18"/>
                <w:color w:val="auto"/>
              </w:rPr>
            </w:pPr>
          </w:p>
        </w:tc>
        <w:tc>
          <w:tcPr>
            <w:tcW w:w="10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140" w:type="dxa"/>
            <w:vAlign w:val="bottom"/>
            <w:gridSpan w:val="2"/>
            <w:shd w:val="clear" w:color="auto" w:fill="CBDBD1"/>
          </w:tcPr>
          <w:p>
            <w:pPr>
              <w:jc w:val="right"/>
              <w:ind w:right="60"/>
              <w:spacing w:after="0"/>
              <w:rPr>
                <w:sz w:val="20"/>
                <w:szCs w:val="20"/>
                <w:color w:val="auto"/>
              </w:rPr>
            </w:pPr>
            <w:r>
              <w:rPr>
                <w:rFonts w:ascii="Arial" w:cs="Arial" w:eastAsia="Arial" w:hAnsi="Arial"/>
                <w:sz w:val="18"/>
                <w:szCs w:val="18"/>
                <w:color w:val="auto"/>
              </w:rPr>
              <w:t>(4,000)</w:t>
            </w:r>
          </w:p>
        </w:tc>
        <w:tc>
          <w:tcPr>
            <w:tcW w:w="4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1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(647,750)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00"/>
              <w:spacing w:after="0"/>
              <w:rPr>
                <w:sz w:val="20"/>
                <w:szCs w:val="20"/>
                <w:color w:val="auto"/>
              </w:rPr>
            </w:pPr>
            <w:r>
              <w:rPr>
                <w:rFonts w:ascii="Arial" w:cs="Arial" w:eastAsia="Arial" w:hAnsi="Arial"/>
                <w:sz w:val="18"/>
                <w:szCs w:val="18"/>
                <w:color w:val="auto"/>
              </w:rPr>
              <w:t>Payment for conversion of warrants to stock</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shd w:val="clear" w:color="auto" w:fill="CBDBD1"/>
          </w:tcPr>
          <w:p>
            <w:pPr>
              <w:ind w:left="300"/>
              <w:spacing w:after="0"/>
              <w:rPr>
                <w:sz w:val="20"/>
                <w:szCs w:val="20"/>
                <w:color w:val="auto"/>
              </w:rPr>
            </w:pPr>
            <w:r>
              <w:rPr>
                <w:rFonts w:ascii="Arial" w:cs="Arial" w:eastAsia="Arial" w:hAnsi="Arial"/>
                <w:sz w:val="18"/>
                <w:szCs w:val="18"/>
                <w:color w:val="auto"/>
              </w:rPr>
              <w:t>Proceeds from issuance of notes payable</w:t>
            </w:r>
          </w:p>
        </w:tc>
        <w:tc>
          <w:tcPr>
            <w:tcW w:w="100" w:type="dxa"/>
            <w:vAlign w:val="bottom"/>
            <w:shd w:val="clear" w:color="auto" w:fill="CBDBD1"/>
          </w:tcPr>
          <w:p>
            <w:pPr>
              <w:spacing w:after="0"/>
              <w:rPr>
                <w:sz w:val="19"/>
                <w:szCs w:val="19"/>
                <w:color w:val="auto"/>
              </w:rPr>
            </w:pPr>
          </w:p>
        </w:tc>
        <w:tc>
          <w:tcPr>
            <w:tcW w:w="10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BDBD1"/>
          </w:tcPr>
          <w:p>
            <w:pPr>
              <w:spacing w:after="0"/>
              <w:rPr>
                <w:sz w:val="19"/>
                <w:szCs w:val="19"/>
                <w:color w:val="auto"/>
              </w:rPr>
            </w:pPr>
          </w:p>
        </w:tc>
        <w:tc>
          <w:tcPr>
            <w:tcW w:w="100" w:type="dxa"/>
            <w:vAlign w:val="bottom"/>
            <w:shd w:val="clear" w:color="auto" w:fill="CBDBD1"/>
          </w:tcPr>
          <w:p>
            <w:pPr>
              <w:spacing w:after="0"/>
              <w:rPr>
                <w:sz w:val="19"/>
                <w:szCs w:val="19"/>
                <w:color w:val="auto"/>
              </w:rPr>
            </w:pPr>
          </w:p>
        </w:tc>
        <w:tc>
          <w:tcPr>
            <w:tcW w:w="1140" w:type="dxa"/>
            <w:vAlign w:val="bottom"/>
            <w:gridSpan w:val="2"/>
            <w:shd w:val="clear" w:color="auto" w:fill="CBDBD1"/>
          </w:tcPr>
          <w:p>
            <w:pPr>
              <w:jc w:val="right"/>
              <w:ind w:right="120"/>
              <w:spacing w:after="0"/>
              <w:rPr>
                <w:sz w:val="20"/>
                <w:szCs w:val="20"/>
                <w:color w:val="auto"/>
              </w:rPr>
            </w:pPr>
            <w:r>
              <w:rPr>
                <w:rFonts w:ascii="Arial" w:cs="Arial" w:eastAsia="Arial" w:hAnsi="Arial"/>
                <w:sz w:val="18"/>
                <w:szCs w:val="18"/>
                <w:color w:val="auto"/>
              </w:rPr>
              <w:t>0</w:t>
            </w:r>
          </w:p>
        </w:tc>
        <w:tc>
          <w:tcPr>
            <w:tcW w:w="40" w:type="dxa"/>
            <w:vAlign w:val="bottom"/>
            <w:shd w:val="clear" w:color="auto" w:fill="CBDBD1"/>
          </w:tcPr>
          <w:p>
            <w:pPr>
              <w:spacing w:after="0"/>
              <w:rPr>
                <w:sz w:val="19"/>
                <w:szCs w:val="19"/>
                <w:color w:val="auto"/>
              </w:rPr>
            </w:pPr>
          </w:p>
        </w:tc>
        <w:tc>
          <w:tcPr>
            <w:tcW w:w="120" w:type="dxa"/>
            <w:vAlign w:val="bottom"/>
            <w:shd w:val="clear" w:color="auto" w:fill="CBDBD1"/>
          </w:tcPr>
          <w:p>
            <w:pPr>
              <w:spacing w:after="0"/>
              <w:rPr>
                <w:sz w:val="19"/>
                <w:szCs w:val="19"/>
                <w:color w:val="auto"/>
              </w:rPr>
            </w:pPr>
          </w:p>
        </w:tc>
        <w:tc>
          <w:tcPr>
            <w:tcW w:w="11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394,000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tcBorders>
              <w:top w:val="single" w:sz="8" w:color="CBDBD1"/>
            </w:tcBorders>
          </w:tcPr>
          <w:p>
            <w:pPr>
              <w:spacing w:after="0" w:line="201" w:lineRule="exact"/>
              <w:rPr>
                <w:sz w:val="20"/>
                <w:szCs w:val="20"/>
                <w:color w:val="auto"/>
              </w:rPr>
            </w:pPr>
            <w:r>
              <w:rPr>
                <w:rFonts w:ascii="Arial" w:cs="Arial" w:eastAsia="Arial" w:hAnsi="Arial"/>
                <w:sz w:val="18"/>
                <w:szCs w:val="18"/>
                <w:color w:val="auto"/>
                <w:w w:val="98"/>
              </w:rPr>
              <w:t>NET CASH PROVIDED BY (USED IN) FINANCING</w:t>
            </w: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80" w:type="dxa"/>
            <w:vAlign w:val="bottom"/>
            <w:tcBorders>
              <w:top w:val="single" w:sz="8" w:color="CBDBD1"/>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CBDBD1"/>
            </w:tcBorders>
          </w:tcPr>
          <w:p>
            <w:pPr>
              <w:spacing w:after="0"/>
              <w:rPr>
                <w:sz w:val="17"/>
                <w:szCs w:val="17"/>
                <w:color w:val="auto"/>
              </w:rPr>
            </w:pPr>
          </w:p>
        </w:tc>
        <w:tc>
          <w:tcPr>
            <w:tcW w:w="40" w:type="dxa"/>
            <w:vAlign w:val="bottom"/>
            <w:tcBorders>
              <w:top w:val="single" w:sz="8" w:color="CBDBD1"/>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120" w:type="dxa"/>
            <w:vAlign w:val="bottom"/>
            <w:gridSpan w:val="2"/>
          </w:tcPr>
          <w:p>
            <w:pPr>
              <w:spacing w:after="0"/>
              <w:rPr>
                <w:sz w:val="20"/>
                <w:szCs w:val="20"/>
                <w:color w:val="auto"/>
              </w:rPr>
            </w:pPr>
            <w:r>
              <w:rPr>
                <w:rFonts w:ascii="Arial" w:cs="Arial" w:eastAsia="Arial" w:hAnsi="Arial"/>
                <w:sz w:val="18"/>
                <w:szCs w:val="18"/>
                <w:color w:val="auto"/>
              </w:rPr>
              <w:t>ACTIVITIES</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1,508,750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(4,000)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5,615,600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shd w:val="clear" w:color="auto" w:fill="CBDBD1"/>
          </w:tcPr>
          <w:p>
            <w:pPr>
              <w:spacing w:after="0"/>
              <w:rPr>
                <w:sz w:val="18"/>
                <w:szCs w:val="18"/>
                <w:color w:val="auto"/>
              </w:rPr>
            </w:pPr>
          </w:p>
        </w:tc>
        <w:tc>
          <w:tcPr>
            <w:tcW w:w="100" w:type="dxa"/>
            <w:vAlign w:val="bottom"/>
            <w:tcBorders>
              <w:top w:val="single" w:sz="8" w:color="auto"/>
            </w:tcBorders>
            <w:shd w:val="clear" w:color="auto" w:fill="CBDBD1"/>
          </w:tcPr>
          <w:p>
            <w:pPr>
              <w:spacing w:after="0"/>
              <w:rPr>
                <w:sz w:val="18"/>
                <w:szCs w:val="18"/>
                <w:color w:val="auto"/>
              </w:rPr>
            </w:pPr>
          </w:p>
        </w:tc>
        <w:tc>
          <w:tcPr>
            <w:tcW w:w="1000" w:type="dxa"/>
            <w:vAlign w:val="bottom"/>
            <w:tcBorders>
              <w:top w:val="single" w:sz="8" w:color="auto"/>
            </w:tcBorders>
            <w:shd w:val="clear" w:color="auto" w:fill="CBDBD1"/>
          </w:tcPr>
          <w:p>
            <w:pPr>
              <w:spacing w:after="0"/>
              <w:rPr>
                <w:sz w:val="18"/>
                <w:szCs w:val="18"/>
                <w:color w:val="auto"/>
              </w:rPr>
            </w:pPr>
          </w:p>
        </w:tc>
        <w:tc>
          <w:tcPr>
            <w:tcW w:w="180" w:type="dxa"/>
            <w:vAlign w:val="bottom"/>
            <w:shd w:val="clear" w:color="auto" w:fill="CBDBD1"/>
          </w:tcPr>
          <w:p>
            <w:pPr>
              <w:spacing w:after="0"/>
              <w:rPr>
                <w:sz w:val="18"/>
                <w:szCs w:val="18"/>
                <w:color w:val="auto"/>
              </w:rPr>
            </w:pPr>
          </w:p>
        </w:tc>
        <w:tc>
          <w:tcPr>
            <w:tcW w:w="100" w:type="dxa"/>
            <w:vAlign w:val="bottom"/>
            <w:tcBorders>
              <w:top w:val="single" w:sz="8" w:color="auto"/>
            </w:tcBorders>
            <w:shd w:val="clear" w:color="auto" w:fill="CBDBD1"/>
          </w:tcPr>
          <w:p>
            <w:pPr>
              <w:spacing w:after="0"/>
              <w:rPr>
                <w:sz w:val="18"/>
                <w:szCs w:val="18"/>
                <w:color w:val="auto"/>
              </w:rPr>
            </w:pPr>
          </w:p>
        </w:tc>
        <w:tc>
          <w:tcPr>
            <w:tcW w:w="1020" w:type="dxa"/>
            <w:vAlign w:val="bottom"/>
            <w:tcBorders>
              <w:top w:val="single" w:sz="8" w:color="auto"/>
            </w:tcBorders>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40" w:type="dxa"/>
            <w:vAlign w:val="bottom"/>
            <w:shd w:val="clear" w:color="auto" w:fill="CBDBD1"/>
          </w:tcPr>
          <w:p>
            <w:pPr>
              <w:spacing w:after="0"/>
              <w:rPr>
                <w:sz w:val="18"/>
                <w:szCs w:val="18"/>
                <w:color w:val="auto"/>
              </w:rPr>
            </w:pPr>
          </w:p>
        </w:tc>
        <w:tc>
          <w:tcPr>
            <w:tcW w:w="120" w:type="dxa"/>
            <w:vAlign w:val="bottom"/>
            <w:tcBorders>
              <w:top w:val="single" w:sz="8" w:color="auto"/>
            </w:tcBorders>
            <w:shd w:val="clear" w:color="auto" w:fill="CBDBD1"/>
          </w:tcPr>
          <w:p>
            <w:pPr>
              <w:spacing w:after="0"/>
              <w:rPr>
                <w:sz w:val="18"/>
                <w:szCs w:val="18"/>
                <w:color w:val="auto"/>
              </w:rPr>
            </w:pPr>
          </w:p>
        </w:tc>
        <w:tc>
          <w:tcPr>
            <w:tcW w:w="1180" w:type="dxa"/>
            <w:vAlign w:val="bottom"/>
            <w:tcBorders>
              <w:top w:val="single" w:sz="8" w:color="auto"/>
            </w:tcBorders>
            <w:shd w:val="clear" w:color="auto" w:fill="CBDBD1"/>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00" w:type="dxa"/>
            <w:vAlign w:val="bottom"/>
          </w:tcPr>
          <w:p>
            <w:pPr>
              <w:spacing w:after="0" w:line="201" w:lineRule="exact"/>
              <w:rPr>
                <w:sz w:val="20"/>
                <w:szCs w:val="20"/>
                <w:color w:val="auto"/>
              </w:rPr>
            </w:pPr>
            <w:r>
              <w:rPr>
                <w:rFonts w:ascii="Arial" w:cs="Arial" w:eastAsia="Arial" w:hAnsi="Arial"/>
                <w:sz w:val="18"/>
                <w:szCs w:val="18"/>
                <w:color w:val="auto"/>
                <w:w w:val="95"/>
              </w:rPr>
              <w:t>NET INCREASE (DECREASE) IN CASH AND CASH</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EQUIVALENTS</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476,534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(1,164,550)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1,132,928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shd w:val="clear" w:color="auto" w:fill="CBDBD1"/>
          </w:tcPr>
          <w:p>
            <w:pPr>
              <w:spacing w:after="0" w:line="201" w:lineRule="exact"/>
              <w:rPr>
                <w:sz w:val="20"/>
                <w:szCs w:val="20"/>
                <w:color w:val="auto"/>
              </w:rPr>
            </w:pPr>
            <w:r>
              <w:rPr>
                <w:rFonts w:ascii="Arial" w:cs="Arial" w:eastAsia="Arial" w:hAnsi="Arial"/>
                <w:sz w:val="18"/>
                <w:szCs w:val="18"/>
                <w:color w:val="auto"/>
              </w:rPr>
              <w:t>CASH AND CASH EQUIVALENTS - BEGIN OF</w:t>
            </w:r>
          </w:p>
        </w:tc>
        <w:tc>
          <w:tcPr>
            <w:tcW w:w="100" w:type="dxa"/>
            <w:vAlign w:val="bottom"/>
            <w:shd w:val="clear" w:color="auto" w:fill="CBDBD1"/>
          </w:tcPr>
          <w:p>
            <w:pPr>
              <w:spacing w:after="0"/>
              <w:rPr>
                <w:sz w:val="17"/>
                <w:szCs w:val="17"/>
                <w:color w:val="auto"/>
              </w:rPr>
            </w:pPr>
          </w:p>
        </w:tc>
        <w:tc>
          <w:tcPr>
            <w:tcW w:w="1000" w:type="dxa"/>
            <w:vAlign w:val="bottom"/>
            <w:shd w:val="clear" w:color="auto" w:fill="CBDBD1"/>
          </w:tcPr>
          <w:p>
            <w:pPr>
              <w:spacing w:after="0"/>
              <w:rPr>
                <w:sz w:val="17"/>
                <w:szCs w:val="17"/>
                <w:color w:val="auto"/>
              </w:rPr>
            </w:pPr>
          </w:p>
        </w:tc>
        <w:tc>
          <w:tcPr>
            <w:tcW w:w="18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102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4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1180" w:type="dxa"/>
            <w:vAlign w:val="bottom"/>
            <w:shd w:val="clear" w:color="auto" w:fill="CBDBD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shd w:val="clear" w:color="auto" w:fill="CBDBD1"/>
          </w:tcPr>
          <w:p>
            <w:pPr>
              <w:spacing w:after="0"/>
              <w:rPr>
                <w:sz w:val="20"/>
                <w:szCs w:val="20"/>
                <w:color w:val="auto"/>
              </w:rPr>
            </w:pPr>
            <w:r>
              <w:rPr>
                <w:rFonts w:ascii="Arial" w:cs="Arial" w:eastAsia="Arial" w:hAnsi="Arial"/>
                <w:sz w:val="18"/>
                <w:szCs w:val="18"/>
                <w:color w:val="auto"/>
              </w:rPr>
              <w:t>PERIOD</w:t>
            </w:r>
          </w:p>
        </w:tc>
        <w:tc>
          <w:tcPr>
            <w:tcW w:w="100" w:type="dxa"/>
            <w:vAlign w:val="bottom"/>
            <w:shd w:val="clear" w:color="auto" w:fill="CBDBD1"/>
          </w:tcPr>
          <w:p>
            <w:pPr>
              <w:spacing w:after="0"/>
              <w:rPr>
                <w:sz w:val="20"/>
                <w:szCs w:val="20"/>
                <w:color w:val="auto"/>
              </w:rPr>
            </w:pPr>
          </w:p>
        </w:tc>
        <w:tc>
          <w:tcPr>
            <w:tcW w:w="10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656,394</w:t>
            </w:r>
          </w:p>
        </w:tc>
        <w:tc>
          <w:tcPr>
            <w:tcW w:w="180" w:type="dxa"/>
            <w:vAlign w:val="bottom"/>
            <w:shd w:val="clear" w:color="auto" w:fill="CBDBD1"/>
          </w:tcPr>
          <w:p>
            <w:pPr>
              <w:spacing w:after="0"/>
              <w:rPr>
                <w:sz w:val="20"/>
                <w:szCs w:val="20"/>
                <w:color w:val="auto"/>
              </w:rPr>
            </w:pPr>
          </w:p>
        </w:tc>
        <w:tc>
          <w:tcPr>
            <w:tcW w:w="100" w:type="dxa"/>
            <w:vAlign w:val="bottom"/>
            <w:shd w:val="clear" w:color="auto" w:fill="CBDBD1"/>
          </w:tcPr>
          <w:p>
            <w:pPr>
              <w:spacing w:after="0"/>
              <w:rPr>
                <w:sz w:val="20"/>
                <w:szCs w:val="20"/>
                <w:color w:val="auto"/>
              </w:rPr>
            </w:pPr>
          </w:p>
        </w:tc>
        <w:tc>
          <w:tcPr>
            <w:tcW w:w="1140" w:type="dxa"/>
            <w:vAlign w:val="bottom"/>
            <w:gridSpan w:val="2"/>
            <w:shd w:val="clear" w:color="auto" w:fill="CBDBD1"/>
          </w:tcPr>
          <w:p>
            <w:pPr>
              <w:jc w:val="right"/>
              <w:ind w:right="120"/>
              <w:spacing w:after="0"/>
              <w:rPr>
                <w:sz w:val="20"/>
                <w:szCs w:val="20"/>
                <w:color w:val="auto"/>
              </w:rPr>
            </w:pPr>
            <w:r>
              <w:rPr>
                <w:rFonts w:ascii="Arial" w:cs="Arial" w:eastAsia="Arial" w:hAnsi="Arial"/>
                <w:sz w:val="18"/>
                <w:szCs w:val="18"/>
                <w:color w:val="auto"/>
              </w:rPr>
              <w:t>2,502,659</w:t>
            </w:r>
          </w:p>
        </w:tc>
        <w:tc>
          <w:tcPr>
            <w:tcW w:w="40" w:type="dxa"/>
            <w:vAlign w:val="bottom"/>
            <w:shd w:val="clear" w:color="auto" w:fill="CBDBD1"/>
          </w:tcPr>
          <w:p>
            <w:pPr>
              <w:spacing w:after="0"/>
              <w:rPr>
                <w:sz w:val="20"/>
                <w:szCs w:val="20"/>
                <w:color w:val="auto"/>
              </w:rPr>
            </w:pPr>
          </w:p>
        </w:tc>
        <w:tc>
          <w:tcPr>
            <w:tcW w:w="120" w:type="dxa"/>
            <w:vAlign w:val="bottom"/>
            <w:shd w:val="clear" w:color="auto" w:fill="CBDBD1"/>
          </w:tcPr>
          <w:p>
            <w:pPr>
              <w:spacing w:after="0"/>
              <w:rPr>
                <w:sz w:val="20"/>
                <w:szCs w:val="20"/>
                <w:color w:val="auto"/>
              </w:rPr>
            </w:pPr>
          </w:p>
        </w:tc>
        <w:tc>
          <w:tcPr>
            <w:tcW w:w="11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tcBorders>
              <w:top w:val="single" w:sz="8" w:color="CBDBD1"/>
            </w:tcBorders>
          </w:tcPr>
          <w:p>
            <w:pPr>
              <w:spacing w:after="0" w:line="201" w:lineRule="exact"/>
              <w:rPr>
                <w:sz w:val="20"/>
                <w:szCs w:val="20"/>
                <w:color w:val="auto"/>
              </w:rPr>
            </w:pPr>
            <w:r>
              <w:rPr>
                <w:rFonts w:ascii="Arial" w:cs="Arial" w:eastAsia="Arial" w:hAnsi="Arial"/>
                <w:sz w:val="18"/>
                <w:szCs w:val="18"/>
                <w:color w:val="auto"/>
              </w:rPr>
              <w:t>CASH AND CASH EQUIVALENTS - END OF</w:t>
            </w: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80" w:type="dxa"/>
            <w:vAlign w:val="bottom"/>
            <w:tcBorders>
              <w:top w:val="single" w:sz="8" w:color="CBDBD1"/>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CBDBD1"/>
            </w:tcBorders>
          </w:tcPr>
          <w:p>
            <w:pPr>
              <w:spacing w:after="0"/>
              <w:rPr>
                <w:sz w:val="17"/>
                <w:szCs w:val="17"/>
                <w:color w:val="auto"/>
              </w:rPr>
            </w:pPr>
          </w:p>
        </w:tc>
        <w:tc>
          <w:tcPr>
            <w:tcW w:w="40" w:type="dxa"/>
            <w:vAlign w:val="bottom"/>
            <w:tcBorders>
              <w:top w:val="single" w:sz="8" w:color="CBDBD1"/>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PERIOD</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1,132,928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1,338,109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1,132,928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000" w:type="dxa"/>
            <w:vAlign w:val="bottom"/>
            <w:shd w:val="clear" w:color="auto" w:fill="CBDBD1"/>
          </w:tcPr>
          <w:p>
            <w:pPr>
              <w:spacing w:after="0"/>
              <w:rPr>
                <w:sz w:val="18"/>
                <w:szCs w:val="18"/>
                <w:color w:val="auto"/>
              </w:rPr>
            </w:pPr>
          </w:p>
        </w:tc>
        <w:tc>
          <w:tcPr>
            <w:tcW w:w="18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02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4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180" w:type="dxa"/>
            <w:vAlign w:val="bottom"/>
            <w:shd w:val="clear" w:color="auto" w:fill="CBDBD1"/>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00" w:type="dxa"/>
            <w:vAlign w:val="bottom"/>
            <w:tcBorders>
              <w:bottom w:val="single" w:sz="8" w:color="CBDBD1"/>
            </w:tcBorders>
            <w:shd w:val="clear" w:color="auto" w:fill="CBDBD1"/>
          </w:tcPr>
          <w:p>
            <w:pPr>
              <w:ind w:left="300"/>
              <w:spacing w:after="0"/>
              <w:rPr>
                <w:sz w:val="20"/>
                <w:szCs w:val="20"/>
                <w:color w:val="auto"/>
              </w:rPr>
            </w:pPr>
            <w:r>
              <w:rPr>
                <w:rFonts w:ascii="Arial" w:cs="Arial" w:eastAsia="Arial" w:hAnsi="Arial"/>
                <w:sz w:val="18"/>
                <w:szCs w:val="18"/>
                <w:color w:val="auto"/>
              </w:rPr>
              <w:t>Cash paid for interest</w:t>
            </w:r>
          </w:p>
        </w:tc>
        <w:tc>
          <w:tcPr>
            <w:tcW w:w="100" w:type="dxa"/>
            <w:vAlign w:val="bottom"/>
            <w:tcBorders>
              <w:bottom w:val="single" w:sz="8" w:color="auto"/>
            </w:tcBorders>
            <w:shd w:val="clear" w:color="auto" w:fill="CBDBD1"/>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226</w:t>
            </w:r>
          </w:p>
        </w:tc>
        <w:tc>
          <w:tcPr>
            <w:tcW w:w="180" w:type="dxa"/>
            <w:vAlign w:val="bottom"/>
            <w:tcBorders>
              <w:bottom w:val="single" w:sz="8" w:color="CBDBD1"/>
            </w:tcBorders>
            <w:shd w:val="clear" w:color="auto" w:fill="CBDBD1"/>
          </w:tcPr>
          <w:p>
            <w:pPr>
              <w:spacing w:after="0"/>
              <w:rPr>
                <w:sz w:val="22"/>
                <w:szCs w:val="22"/>
                <w:color w:val="auto"/>
              </w:rPr>
            </w:pPr>
          </w:p>
        </w:tc>
        <w:tc>
          <w:tcPr>
            <w:tcW w:w="100" w:type="dxa"/>
            <w:vAlign w:val="bottom"/>
            <w:tcBorders>
              <w:bottom w:val="single" w:sz="8" w:color="auto"/>
            </w:tcBorders>
            <w:shd w:val="clear" w:color="auto" w:fill="CBDBD1"/>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1,793</w:t>
            </w:r>
          </w:p>
        </w:tc>
        <w:tc>
          <w:tcPr>
            <w:tcW w:w="120" w:type="dxa"/>
            <w:vAlign w:val="bottom"/>
            <w:tcBorders>
              <w:bottom w:val="single" w:sz="8" w:color="CBDBD1"/>
            </w:tcBorders>
            <w:shd w:val="clear" w:color="auto" w:fill="CBDBD1"/>
          </w:tcPr>
          <w:p>
            <w:pPr>
              <w:spacing w:after="0"/>
              <w:rPr>
                <w:sz w:val="22"/>
                <w:szCs w:val="22"/>
                <w:color w:val="auto"/>
              </w:rPr>
            </w:pPr>
          </w:p>
        </w:tc>
        <w:tc>
          <w:tcPr>
            <w:tcW w:w="40" w:type="dxa"/>
            <w:vAlign w:val="bottom"/>
            <w:tcBorders>
              <w:bottom w:val="single" w:sz="8" w:color="CBDBD1"/>
            </w:tcBorders>
            <w:shd w:val="clear" w:color="auto" w:fill="CBDBD1"/>
          </w:tcPr>
          <w:p>
            <w:pPr>
              <w:spacing w:after="0"/>
              <w:rPr>
                <w:sz w:val="22"/>
                <w:szCs w:val="22"/>
                <w:color w:val="auto"/>
              </w:rPr>
            </w:pPr>
          </w:p>
        </w:tc>
        <w:tc>
          <w:tcPr>
            <w:tcW w:w="12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6,472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Pr>
          <w:p>
            <w:pPr>
              <w:ind w:left="300"/>
              <w:spacing w:after="0"/>
              <w:rPr>
                <w:sz w:val="20"/>
                <w:szCs w:val="20"/>
                <w:color w:val="auto"/>
              </w:rPr>
            </w:pPr>
            <w:r>
              <w:rPr>
                <w:rFonts w:ascii="Arial" w:cs="Arial" w:eastAsia="Arial" w:hAnsi="Arial"/>
                <w:sz w:val="18"/>
                <w:szCs w:val="18"/>
                <w:color w:val="auto"/>
              </w:rPr>
              <w:t>Cash paid for income taxes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000" w:type="dxa"/>
            <w:vAlign w:val="bottom"/>
            <w:shd w:val="clear" w:color="auto" w:fill="CBDBD1"/>
          </w:tcPr>
          <w:p>
            <w:pPr>
              <w:spacing w:after="0"/>
              <w:rPr>
                <w:sz w:val="18"/>
                <w:szCs w:val="18"/>
                <w:color w:val="auto"/>
              </w:rPr>
            </w:pPr>
          </w:p>
        </w:tc>
        <w:tc>
          <w:tcPr>
            <w:tcW w:w="18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02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4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180" w:type="dxa"/>
            <w:vAlign w:val="bottom"/>
            <w:shd w:val="clear" w:color="auto" w:fill="CBDBD1"/>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100" w:type="dxa"/>
            <w:vAlign w:val="bottom"/>
          </w:tcPr>
          <w:p>
            <w:pPr>
              <w:spacing w:after="0" w:line="198" w:lineRule="exact"/>
              <w:rPr>
                <w:sz w:val="20"/>
                <w:szCs w:val="20"/>
                <w:color w:val="auto"/>
              </w:rPr>
            </w:pPr>
            <w:r>
              <w:rPr>
                <w:rFonts w:ascii="Arial" w:cs="Arial" w:eastAsia="Arial" w:hAnsi="Arial"/>
                <w:sz w:val="18"/>
                <w:szCs w:val="18"/>
                <w:b w:val="1"/>
                <w:bCs w:val="1"/>
                <w:color w:val="auto"/>
              </w:rPr>
              <w:t>SUPPLEMENTAL NON-CASH INVESTING AND</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shd w:val="clear" w:color="auto" w:fill="CBDBD1"/>
          </w:tcPr>
          <w:p>
            <w:pPr>
              <w:ind w:left="300"/>
              <w:spacing w:after="0" w:line="201" w:lineRule="exact"/>
              <w:rPr>
                <w:sz w:val="20"/>
                <w:szCs w:val="20"/>
                <w:color w:val="auto"/>
              </w:rPr>
            </w:pPr>
            <w:r>
              <w:rPr>
                <w:rFonts w:ascii="Arial" w:cs="Arial" w:eastAsia="Arial" w:hAnsi="Arial"/>
                <w:sz w:val="18"/>
                <w:szCs w:val="18"/>
                <w:color w:val="auto"/>
                <w:w w:val="90"/>
              </w:rPr>
              <w:t>Distributions paid though issuance of notes payable-</w:t>
            </w:r>
          </w:p>
        </w:tc>
        <w:tc>
          <w:tcPr>
            <w:tcW w:w="100" w:type="dxa"/>
            <w:vAlign w:val="bottom"/>
            <w:shd w:val="clear" w:color="auto" w:fill="CBDBD1"/>
          </w:tcPr>
          <w:p>
            <w:pPr>
              <w:spacing w:after="0"/>
              <w:rPr>
                <w:sz w:val="17"/>
                <w:szCs w:val="17"/>
                <w:color w:val="auto"/>
              </w:rPr>
            </w:pPr>
          </w:p>
        </w:tc>
        <w:tc>
          <w:tcPr>
            <w:tcW w:w="1000" w:type="dxa"/>
            <w:vAlign w:val="bottom"/>
            <w:shd w:val="clear" w:color="auto" w:fill="CBDBD1"/>
          </w:tcPr>
          <w:p>
            <w:pPr>
              <w:spacing w:after="0"/>
              <w:rPr>
                <w:sz w:val="17"/>
                <w:szCs w:val="17"/>
                <w:color w:val="auto"/>
              </w:rPr>
            </w:pPr>
          </w:p>
        </w:tc>
        <w:tc>
          <w:tcPr>
            <w:tcW w:w="18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102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4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1180" w:type="dxa"/>
            <w:vAlign w:val="bottom"/>
            <w:shd w:val="clear" w:color="auto" w:fill="CBDBD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100" w:type="dxa"/>
            <w:vAlign w:val="bottom"/>
            <w:tcBorders>
              <w:bottom w:val="single" w:sz="8" w:color="CBDBD1"/>
            </w:tcBorders>
            <w:shd w:val="clear" w:color="auto" w:fill="CBDBD1"/>
          </w:tcPr>
          <w:p>
            <w:pPr>
              <w:ind w:left="300"/>
              <w:spacing w:after="0"/>
              <w:rPr>
                <w:sz w:val="20"/>
                <w:szCs w:val="20"/>
                <w:color w:val="auto"/>
              </w:rPr>
            </w:pPr>
            <w:r>
              <w:rPr>
                <w:rFonts w:ascii="Arial" w:cs="Arial" w:eastAsia="Arial" w:hAnsi="Arial"/>
                <w:sz w:val="18"/>
                <w:szCs w:val="18"/>
                <w:color w:val="auto"/>
              </w:rPr>
              <w:t>related party</w:t>
            </w:r>
          </w:p>
        </w:tc>
        <w:tc>
          <w:tcPr>
            <w:tcW w:w="100" w:type="dxa"/>
            <w:vAlign w:val="bottom"/>
            <w:tcBorders>
              <w:bottom w:val="single" w:sz="8" w:color="auto"/>
            </w:tcBorders>
            <w:shd w:val="clear" w:color="auto" w:fill="CBDBD1"/>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180" w:type="dxa"/>
            <w:vAlign w:val="bottom"/>
            <w:tcBorders>
              <w:bottom w:val="single" w:sz="8" w:color="CBDBD1"/>
            </w:tcBorders>
            <w:shd w:val="clear" w:color="auto" w:fill="CBDBD1"/>
          </w:tcPr>
          <w:p>
            <w:pPr>
              <w:spacing w:after="0"/>
              <w:rPr>
                <w:sz w:val="23"/>
                <w:szCs w:val="23"/>
                <w:color w:val="auto"/>
              </w:rPr>
            </w:pPr>
          </w:p>
        </w:tc>
        <w:tc>
          <w:tcPr>
            <w:tcW w:w="100" w:type="dxa"/>
            <w:vAlign w:val="bottom"/>
            <w:tcBorders>
              <w:bottom w:val="single" w:sz="8" w:color="auto"/>
            </w:tcBorders>
            <w:shd w:val="clear" w:color="auto" w:fill="CBDBD1"/>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BDBD1"/>
            </w:tcBorders>
            <w:shd w:val="clear" w:color="auto" w:fill="CBDBD1"/>
          </w:tcPr>
          <w:p>
            <w:pPr>
              <w:spacing w:after="0"/>
              <w:rPr>
                <w:sz w:val="23"/>
                <w:szCs w:val="23"/>
                <w:color w:val="auto"/>
              </w:rPr>
            </w:pPr>
          </w:p>
        </w:tc>
        <w:tc>
          <w:tcPr>
            <w:tcW w:w="40" w:type="dxa"/>
            <w:vAlign w:val="bottom"/>
            <w:tcBorders>
              <w:bottom w:val="single" w:sz="8" w:color="CBDBD1"/>
            </w:tcBorders>
            <w:shd w:val="clear" w:color="auto" w:fill="CBDBD1"/>
          </w:tcPr>
          <w:p>
            <w:pPr>
              <w:spacing w:after="0"/>
              <w:rPr>
                <w:sz w:val="23"/>
                <w:szCs w:val="23"/>
                <w:color w:val="auto"/>
              </w:rPr>
            </w:pPr>
          </w:p>
        </w:tc>
        <w:tc>
          <w:tcPr>
            <w:tcW w:w="12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253,750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Pr>
          <w:p>
            <w:pPr>
              <w:ind w:left="300"/>
              <w:spacing w:after="0"/>
              <w:rPr>
                <w:sz w:val="20"/>
                <w:szCs w:val="20"/>
                <w:color w:val="auto"/>
              </w:rPr>
            </w:pPr>
            <w:r>
              <w:rPr>
                <w:rFonts w:ascii="Arial" w:cs="Arial" w:eastAsia="Arial" w:hAnsi="Arial"/>
                <w:sz w:val="18"/>
                <w:szCs w:val="18"/>
                <w:color w:val="auto"/>
              </w:rPr>
              <w:t>Conversion of warrants to common stock</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153,816</w:t>
            </w:r>
          </w:p>
        </w:tc>
        <w:tc>
          <w:tcPr>
            <w:tcW w:w="1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705,285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859,101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Optimizer Systems, LLC was formed in the State of Michigan on January 31, 2006. It then became a corporation in the State of Michigan on October 22, 2007 and changed its name to OptimizeRx Corporation. On April 14, 2008, RFID, Ltd., a Colorado corporation, consummated a reverse merger by entering into a share exchange agreement with the stockholders of OptimizeRx Corporation, pursuant to which the stockholders of OptimizeRx Corporation exchanged all of the issued and outstanding capital stock of OptimizeRx Corporation for 1,256,958 shares of common stock of RFID, Ltd., representing 100% of the outstanding capital stock of RFID, Ltd. As of April 30, 2008, RFID’s officers and directors resigned their positions and RFID changed its business to OptimizeRx’s business. On April 0;15, 2008, RFID, Ltd.’s corporate name was changed to OptimizeRx Corporation. On September 4, 2008, a migratory merger was completed, thereby changing the state of incorporation from Colorado to Nevada, resulting in the current corporate structure, in which OptimizeRx Corporation, a Nevada corporation, is the parent corporation, and OptimizeRx Corporation, a Michigan corporation, is a wholly-owned subsidiary (together, "OptimizeRx" and "the Company").</w:t>
      </w:r>
    </w:p>
    <w:p>
      <w:pPr>
        <w:spacing w:after="0" w:line="20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wholly-owned subsidiary, OptimizeRx Corporation, is a development stage website publisher and marketing company that creates, promotes and fulfills custom marketing and advertising programs. The Company helps patients better afford and manage their rising healthcare costs. In addition, the Company also provides unique advertising programs to the pharmaceutical and healthcare industries. The Company's websites provide the following services: (i) OptimizeRx provides patients an opportunity to centrally review and participate in prescription and healthcare savings/support programs; (ii) OFFERx provides a platform to allow manufacturers to create, promote and fulfill new patient offer programs in over 64,000 pharmacies; and (iii) ADHERxE provides a platform that allows manufacturers to engage and monito r patients each month in exchange for activation of their monthly co-pay coupons.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This summary of significant accounting policies of the Company is presented to assist in understanding the Company’s financial statements. The financial statements and notes are representations of the Company’s management, who is responsible for their integrity and objectivity. These accounting policies conform to generally accepted accounting principles and have been consistently applied to the preparation of the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Accounting</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financial statements have been prepared using the accrual basis of accounting in accordance with accounting principles generally accepted in the United States of America. The Company is currently a development stage enterprise. All losses accumulated since the inception of the business have been considered as part of its development stage activities. Revenues are recognized as income when earned and expenses are recognized when they are incurred.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financial statements reflect the consolidated results of OptimizeRx Corporation (a Nevada corporation) and its wholly owned subsidiary OptimizeRx Corporation (a Michigan corporation). All material inter-company transactions have been eliminated in the consolidation.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purposes of the accompanying financial statements, the Company considers all highly liquid instruments with an initial maturity of three months or less to be cash equivalents.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Financial Instruments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fair value of cash, accounts receivable, prepaid expenses, accounts payable and accrued expenses approximates the carrying amount of these financial instruments due to their short-term nature. The fair value of long-term debt, which approximates its carrying value, is based on current rates at which the Company could borrow funds with similar remaining maturities.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Equipment</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capital assets are being depreciated over their estimated useful lives using the straight-line method of depreciation for book purposes. As of October 18, 2007, the Company acquired the majority of its capital assets at the lower market cost from the Optimizer Systems,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Company’s key members are part of a continual research development team and monitor new technologies, trends, services and partnerships that can provide the Company with additional services, value to healthcare and pharmaceutical industries and to the patients it serves.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currently in launch phase with ADHERxE to allow pharmaceutical and healthcare manufacturers a unique way to engage and monitor patients each month in exchange for activation of their next savings offer.</w:t>
      </w:r>
    </w:p>
    <w:p>
      <w:pPr>
        <w:spacing w:after="0" w:line="38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Company seeks to educate team members through understanding of all market dynamics that have the potential to affect the business both short term and longer term. The primary goal is to help patients better afford and access the medicines their doctor prescribes, as well as other healthcare products and services they need. Based on this, the Company continually seeks better ways to meet this mission through technology, better user experiences and new ways to engage industries to provide new support for patients needing their products. The Company is always seeking new services and solutions to offer. At this time, the three current platforms provide robust opportunities and growth during the next five years.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Substantially all revenue is recognized when it is earned. All revenues are generated through the Company's website activities. The Company's processes are monitored by third parties who collect revenues from clients on a per activity basis and report and forward the revenue to the Company's account.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 Estimates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Estimates and assumptions have been made in determining the depreciable lives of such assets and the allowance for doubtful accounts receivable. Actual results could differ from these estimates.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Concentration of Credit Risks</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The Company maintains its cash and cash equivalents in bank deposit accounts, which, at times, may exceed federally insured limits. The Company has not experienced any losses in such accounts; however, amounts in excess of the federally insured limit may be at risk if the bank experiences financial difficulties.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Common and Common Equivalent Share</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computation of basic earnings per common share is computed using the weighted average number of common shares outstanding during the year. The computation of diluted earnings per common share is based on the weighted average number of shares outstanding during the year plus common stock equivalents which would arise from the exercise of warrants outstanding using the treasury stock method and the average market price per share during the year. Options warrants and convertible preferred stock which are common stock equivalents are not included in the diluted earnings per share calculation for June 30, 2010 and June 30, 2009, respectively, since their effect is anti-dilutive.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accompanying unaudited interim financial statements have been prepared in accordance with accounting principles generally accepted in the United States of America and the rules of the Securities and Exchange Commission (“SEC”), and should be read in conjunction with the audited financial statements and notes thereto contained in the Company’s Form 10-K filed with the SEC as of and for the period ended December 31, 2009. In the opinion of management, all adjustments necessary for the financial statements to be not misleading for the interim periods presented have been reflected herein. The results of operations for interim periods are not necessarily indicative of the results to be expected for the full year.</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Guidance</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does not expect the adoption of recently issued accounting pronouncements to have a significant impact on the Company’s results of operations, financial position or cash flow.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PROPERTY AND EQUIPMENT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 owned equipment recorded at cost which consisted of the following:</w:t>
      </w:r>
    </w:p>
    <w:p>
      <w:pPr>
        <w:spacing w:after="0" w:line="252" w:lineRule="exact"/>
        <w:rPr>
          <w:sz w:val="20"/>
          <w:szCs w:val="20"/>
          <w:color w:val="auto"/>
        </w:rPr>
      </w:pPr>
    </w:p>
    <w:tbl>
      <w:tblPr>
        <w:tblLayout w:type="fixed"/>
        <w:tblInd w:w="34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w w:val="90"/>
              </w:rPr>
              <w:t>December 31,</w:t>
            </w:r>
          </w:p>
        </w:tc>
      </w:tr>
      <w:tr>
        <w:trPr>
          <w:trHeight w:val="237"/>
        </w:trPr>
        <w:tc>
          <w:tcPr>
            <w:tcW w:w="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June 30, 2010</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2009</w:t>
            </w:r>
          </w:p>
        </w:tc>
      </w:tr>
      <w:tr>
        <w:trPr>
          <w:trHeight w:val="216"/>
        </w:trPr>
        <w:tc>
          <w:tcPr>
            <w:tcW w:w="20" w:type="dxa"/>
            <w:vAlign w:val="bottom"/>
          </w:tcPr>
          <w:p>
            <w:pPr>
              <w:spacing w:after="0"/>
              <w:rPr>
                <w:sz w:val="18"/>
                <w:szCs w:val="18"/>
                <w:color w:val="auto"/>
              </w:rPr>
            </w:pPr>
          </w:p>
        </w:tc>
        <w:tc>
          <w:tcPr>
            <w:tcW w:w="2040" w:type="dxa"/>
            <w:vAlign w:val="bottom"/>
            <w:tcBorders>
              <w:right w:val="single" w:sz="8" w:color="CBDBD1"/>
            </w:tcBorders>
            <w:shd w:val="clear" w:color="auto" w:fill="CBDBD1"/>
          </w:tcPr>
          <w:p>
            <w:pPr>
              <w:spacing w:after="0"/>
              <w:rPr>
                <w:sz w:val="20"/>
                <w:szCs w:val="20"/>
                <w:color w:val="auto"/>
              </w:rPr>
            </w:pPr>
            <w:r>
              <w:rPr>
                <w:rFonts w:ascii="Arial" w:cs="Arial" w:eastAsia="Arial" w:hAnsi="Arial"/>
                <w:sz w:val="18"/>
                <w:szCs w:val="18"/>
                <w:color w:val="auto"/>
              </w:rPr>
              <w:t>Computer equipment</w:t>
            </w:r>
          </w:p>
        </w:tc>
        <w:tc>
          <w:tcPr>
            <w:tcW w:w="100" w:type="dxa"/>
            <w:vAlign w:val="bottom"/>
            <w:shd w:val="clear" w:color="auto" w:fill="CBDBD1"/>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12,594</w:t>
            </w:r>
          </w:p>
        </w:tc>
        <w:tc>
          <w:tcPr>
            <w:tcW w:w="220" w:type="dxa"/>
            <w:vAlign w:val="bottom"/>
            <w:gridSpan w:val="2"/>
            <w:shd w:val="clear" w:color="auto" w:fill="CBDBD1"/>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12,594</w:t>
            </w: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4,294</w:t>
            </w:r>
          </w:p>
        </w:tc>
      </w:tr>
      <w:tr>
        <w:trPr>
          <w:trHeight w:val="216"/>
        </w:trPr>
        <w:tc>
          <w:tcPr>
            <w:tcW w:w="20" w:type="dxa"/>
            <w:vAlign w:val="bottom"/>
          </w:tcPr>
          <w:p>
            <w:pPr>
              <w:spacing w:after="0"/>
              <w:rPr>
                <w:sz w:val="18"/>
                <w:szCs w:val="18"/>
                <w:color w:val="auto"/>
              </w:rPr>
            </w:pPr>
          </w:p>
        </w:tc>
        <w:tc>
          <w:tcPr>
            <w:tcW w:w="2040" w:type="dxa"/>
            <w:vAlign w:val="bottom"/>
            <w:tcBorders>
              <w:right w:val="single" w:sz="8" w:color="CBDBD1"/>
            </w:tcBorders>
            <w:shd w:val="clear" w:color="auto" w:fill="CBDBD1"/>
          </w:tcPr>
          <w:p>
            <w:pPr>
              <w:ind w:left="200"/>
              <w:spacing w:after="0"/>
              <w:rPr>
                <w:sz w:val="20"/>
                <w:szCs w:val="20"/>
                <w:color w:val="auto"/>
              </w:rPr>
            </w:pPr>
            <w:r>
              <w:rPr>
                <w:rFonts w:ascii="Arial" w:cs="Arial" w:eastAsia="Arial" w:hAnsi="Arial"/>
                <w:sz w:val="18"/>
                <w:szCs w:val="18"/>
                <w:color w:val="auto"/>
              </w:rPr>
              <w:t>Subtotal</w:t>
            </w:r>
          </w:p>
        </w:tc>
        <w:tc>
          <w:tcPr>
            <w:tcW w:w="100" w:type="dxa"/>
            <w:vAlign w:val="bottom"/>
            <w:shd w:val="clear" w:color="auto" w:fill="CBDBD1"/>
          </w:tcPr>
          <w:p>
            <w:pPr>
              <w:spacing w:after="0"/>
              <w:rPr>
                <w:sz w:val="18"/>
                <w:szCs w:val="18"/>
                <w:color w:val="auto"/>
              </w:rPr>
            </w:pPr>
          </w:p>
        </w:tc>
        <w:tc>
          <w:tcPr>
            <w:tcW w:w="10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16,888</w:t>
            </w:r>
          </w:p>
        </w:tc>
        <w:tc>
          <w:tcPr>
            <w:tcW w:w="1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1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16,888</w:t>
            </w:r>
          </w:p>
        </w:tc>
      </w:tr>
      <w:tr>
        <w:trPr>
          <w:trHeight w:val="202"/>
        </w:trPr>
        <w:tc>
          <w:tcPr>
            <w:tcW w:w="20" w:type="dxa"/>
            <w:vAlign w:val="bottom"/>
          </w:tcPr>
          <w:p>
            <w:pPr>
              <w:spacing w:after="0"/>
              <w:rPr>
                <w:sz w:val="17"/>
                <w:szCs w:val="17"/>
                <w:color w:val="auto"/>
              </w:rPr>
            </w:pPr>
          </w:p>
        </w:tc>
        <w:tc>
          <w:tcPr>
            <w:tcW w:w="2040" w:type="dxa"/>
            <w:vAlign w:val="bottom"/>
          </w:tcPr>
          <w:p>
            <w:pPr>
              <w:spacing w:after="0" w:line="201" w:lineRule="exact"/>
              <w:rPr>
                <w:sz w:val="20"/>
                <w:szCs w:val="20"/>
                <w:color w:val="auto"/>
              </w:rPr>
            </w:pPr>
            <w:r>
              <w:rPr>
                <w:rFonts w:ascii="Arial" w:cs="Arial" w:eastAsia="Arial" w:hAnsi="Arial"/>
                <w:sz w:val="18"/>
                <w:szCs w:val="18"/>
                <w:color w:val="auto"/>
              </w:rPr>
              <w:t>Less: Accumulated</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7"/>
        </w:trPr>
        <w:tc>
          <w:tcPr>
            <w:tcW w:w="2060" w:type="dxa"/>
            <w:vAlign w:val="bottom"/>
            <w:gridSpan w:val="2"/>
          </w:tcPr>
          <w:p>
            <w:pPr>
              <w:spacing w:after="0"/>
              <w:rPr>
                <w:sz w:val="20"/>
                <w:szCs w:val="20"/>
                <w:color w:val="auto"/>
              </w:rPr>
            </w:pPr>
            <w:r>
              <w:rPr>
                <w:rFonts w:ascii="Arial" w:cs="Arial" w:eastAsia="Arial" w:hAnsi="Arial"/>
                <w:sz w:val="18"/>
                <w:szCs w:val="18"/>
                <w:color w:val="auto"/>
              </w:rPr>
              <w:t>depreciation</w:t>
            </w: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(4,151)</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(3,307)</w:t>
            </w:r>
          </w:p>
        </w:tc>
      </w:tr>
      <w:tr>
        <w:trPr>
          <w:trHeight w:val="202"/>
        </w:trPr>
        <w:tc>
          <w:tcPr>
            <w:tcW w:w="20" w:type="dxa"/>
            <w:vAlign w:val="bottom"/>
          </w:tcPr>
          <w:p>
            <w:pPr>
              <w:spacing w:after="0"/>
              <w:rPr>
                <w:sz w:val="17"/>
                <w:szCs w:val="17"/>
                <w:color w:val="auto"/>
              </w:rPr>
            </w:pPr>
          </w:p>
        </w:tc>
        <w:tc>
          <w:tcPr>
            <w:tcW w:w="2040" w:type="dxa"/>
            <w:vAlign w:val="bottom"/>
            <w:tcBorders>
              <w:right w:val="single" w:sz="8" w:color="CBDBD1"/>
            </w:tcBorders>
            <w:shd w:val="clear" w:color="auto" w:fill="CBDBD1"/>
          </w:tcPr>
          <w:p>
            <w:pPr>
              <w:ind w:left="160"/>
              <w:spacing w:after="0" w:line="201" w:lineRule="exact"/>
              <w:rPr>
                <w:sz w:val="20"/>
                <w:szCs w:val="20"/>
                <w:color w:val="auto"/>
              </w:rPr>
            </w:pPr>
            <w:r>
              <w:rPr>
                <w:rFonts w:ascii="Arial" w:cs="Arial" w:eastAsia="Arial" w:hAnsi="Arial"/>
                <w:sz w:val="18"/>
                <w:szCs w:val="18"/>
                <w:color w:val="auto"/>
                <w:w w:val="93"/>
              </w:rPr>
              <w:t>Property and equipment,</w:t>
            </w:r>
          </w:p>
        </w:tc>
        <w:tc>
          <w:tcPr>
            <w:tcW w:w="100" w:type="dxa"/>
            <w:vAlign w:val="bottom"/>
            <w:shd w:val="clear" w:color="auto" w:fill="CBDBD1"/>
          </w:tcPr>
          <w:p>
            <w:pPr>
              <w:spacing w:after="0"/>
              <w:rPr>
                <w:sz w:val="17"/>
                <w:szCs w:val="17"/>
                <w:color w:val="auto"/>
              </w:rPr>
            </w:pPr>
          </w:p>
        </w:tc>
        <w:tc>
          <w:tcPr>
            <w:tcW w:w="106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1120" w:type="dxa"/>
            <w:vAlign w:val="bottom"/>
            <w:shd w:val="clear" w:color="auto" w:fill="CBDBD1"/>
          </w:tcPr>
          <w:p>
            <w:pPr>
              <w:spacing w:after="0"/>
              <w:rPr>
                <w:sz w:val="17"/>
                <w:szCs w:val="17"/>
                <w:color w:val="auto"/>
              </w:rPr>
            </w:pPr>
          </w:p>
        </w:tc>
      </w:tr>
      <w:tr>
        <w:trPr>
          <w:trHeight w:val="251"/>
        </w:trPr>
        <w:tc>
          <w:tcPr>
            <w:tcW w:w="20" w:type="dxa"/>
            <w:vAlign w:val="bottom"/>
          </w:tcPr>
          <w:p>
            <w:pPr>
              <w:spacing w:after="0"/>
              <w:rPr>
                <w:sz w:val="21"/>
                <w:szCs w:val="21"/>
                <w:color w:val="auto"/>
              </w:rPr>
            </w:pPr>
          </w:p>
        </w:tc>
        <w:tc>
          <w:tcPr>
            <w:tcW w:w="2040" w:type="dxa"/>
            <w:vAlign w:val="bottom"/>
            <w:tcBorders>
              <w:right w:val="single" w:sz="8" w:color="CBDBD1"/>
            </w:tcBorders>
            <w:shd w:val="clear" w:color="auto" w:fill="CBDBD1"/>
          </w:tcPr>
          <w:p>
            <w:pPr>
              <w:spacing w:after="0"/>
              <w:rPr>
                <w:sz w:val="20"/>
                <w:szCs w:val="20"/>
                <w:color w:val="auto"/>
              </w:rPr>
            </w:pPr>
            <w:r>
              <w:rPr>
                <w:rFonts w:ascii="Arial" w:cs="Arial" w:eastAsia="Arial" w:hAnsi="Arial"/>
                <w:sz w:val="18"/>
                <w:szCs w:val="18"/>
                <w:color w:val="auto"/>
              </w:rPr>
              <w:t>net</w:t>
            </w:r>
          </w:p>
        </w:tc>
        <w:tc>
          <w:tcPr>
            <w:tcW w:w="100" w:type="dxa"/>
            <w:vAlign w:val="bottom"/>
            <w:shd w:val="clear" w:color="auto" w:fill="CBDBD1"/>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12,737</w:t>
            </w:r>
          </w:p>
        </w:tc>
        <w:tc>
          <w:tcPr>
            <w:tcW w:w="220" w:type="dxa"/>
            <w:vAlign w:val="bottom"/>
            <w:gridSpan w:val="2"/>
            <w:shd w:val="clear" w:color="auto" w:fill="CBDBD1"/>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13,581</w:t>
            </w:r>
          </w:p>
        </w:tc>
      </w:tr>
      <w:tr>
        <w:trPr>
          <w:trHeight w:val="20"/>
        </w:trPr>
        <w:tc>
          <w:tcPr>
            <w:tcW w:w="20" w:type="dxa"/>
            <w:vAlign w:val="bottom"/>
          </w:tcPr>
          <w:p>
            <w:pPr>
              <w:spacing w:after="0" w:line="20" w:lineRule="exact"/>
              <w:rPr>
                <w:sz w:val="1"/>
                <w:szCs w:val="1"/>
                <w:color w:val="auto"/>
              </w:rPr>
            </w:pPr>
          </w:p>
        </w:tc>
        <w:tc>
          <w:tcPr>
            <w:tcW w:w="2040" w:type="dxa"/>
            <w:vAlign w:val="bottom"/>
            <w:tcBorders>
              <w:top w:val="single" w:sz="8" w:color="CBDBD1"/>
              <w:right w:val="single" w:sz="8" w:color="CBDBD1"/>
            </w:tcBorders>
            <w:shd w:val="clear" w:color="auto" w:fill="CBDBD1"/>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BDBD1"/>
            </w:tcBorders>
            <w:shd w:val="clear" w:color="auto" w:fill="CBDBD1"/>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$844 and $1,689 for the six months ended June 30, 2010 and the year ended December 31, 2009, respectively.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WEBSITE DEVELOPMENT COSTS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capitalized costs in developing their website, which consisted of the following:</w:t>
      </w:r>
    </w:p>
    <w:p>
      <w:pPr>
        <w:spacing w:after="0" w:line="252" w:lineRule="exact"/>
        <w:rPr>
          <w:sz w:val="20"/>
          <w:szCs w:val="20"/>
          <w:color w:val="auto"/>
        </w:rPr>
      </w:pPr>
    </w:p>
    <w:tbl>
      <w:tblPr>
        <w:tblLayout w:type="fixed"/>
        <w:tblInd w:w="34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w w:val="90"/>
              </w:rPr>
              <w:t>December 31,</w:t>
            </w:r>
          </w:p>
        </w:tc>
      </w:tr>
      <w:tr>
        <w:trPr>
          <w:trHeight w:val="237"/>
        </w:trPr>
        <w:tc>
          <w:tcPr>
            <w:tcW w:w="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June 30, 2010</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2009</w:t>
            </w:r>
          </w:p>
        </w:tc>
      </w:tr>
      <w:tr>
        <w:trPr>
          <w:trHeight w:val="216"/>
        </w:trPr>
        <w:tc>
          <w:tcPr>
            <w:tcW w:w="20" w:type="dxa"/>
            <w:vAlign w:val="bottom"/>
          </w:tcPr>
          <w:p>
            <w:pPr>
              <w:spacing w:after="0"/>
              <w:rPr>
                <w:sz w:val="18"/>
                <w:szCs w:val="18"/>
                <w:color w:val="auto"/>
              </w:rPr>
            </w:pPr>
          </w:p>
        </w:tc>
        <w:tc>
          <w:tcPr>
            <w:tcW w:w="2100" w:type="dxa"/>
            <w:vAlign w:val="bottom"/>
            <w:gridSpan w:val="3"/>
            <w:shd w:val="clear" w:color="auto" w:fill="CBDBD1"/>
          </w:tcPr>
          <w:p>
            <w:pPr>
              <w:spacing w:after="0"/>
              <w:rPr>
                <w:sz w:val="20"/>
                <w:szCs w:val="20"/>
                <w:color w:val="auto"/>
              </w:rPr>
            </w:pPr>
            <w:r>
              <w:rPr>
                <w:rFonts w:ascii="Arial" w:cs="Arial" w:eastAsia="Arial" w:hAnsi="Arial"/>
                <w:sz w:val="18"/>
                <w:szCs w:val="18"/>
                <w:color w:val="auto"/>
                <w:w w:val="88"/>
              </w:rPr>
              <w:t>Website development costs $</w:t>
            </w:r>
          </w:p>
        </w:tc>
        <w:tc>
          <w:tcPr>
            <w:tcW w:w="11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351,492</w:t>
            </w:r>
          </w:p>
        </w:tc>
        <w:tc>
          <w:tcPr>
            <w:tcW w:w="220" w:type="dxa"/>
            <w:vAlign w:val="bottom"/>
            <w:gridSpan w:val="2"/>
            <w:shd w:val="clear" w:color="auto" w:fill="CBDBD1"/>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261,833</w:t>
            </w:r>
          </w:p>
        </w:tc>
      </w:tr>
      <w:tr>
        <w:trPr>
          <w:trHeight w:val="202"/>
        </w:trPr>
        <w:tc>
          <w:tcPr>
            <w:tcW w:w="20" w:type="dxa"/>
            <w:vAlign w:val="bottom"/>
          </w:tcPr>
          <w:p>
            <w:pPr>
              <w:spacing w:after="0"/>
              <w:rPr>
                <w:sz w:val="17"/>
                <w:szCs w:val="17"/>
                <w:color w:val="auto"/>
              </w:rPr>
            </w:pPr>
          </w:p>
        </w:tc>
        <w:tc>
          <w:tcPr>
            <w:tcW w:w="1840" w:type="dxa"/>
            <w:vAlign w:val="bottom"/>
          </w:tcPr>
          <w:p>
            <w:pPr>
              <w:spacing w:after="0" w:line="201" w:lineRule="exact"/>
              <w:rPr>
                <w:sz w:val="20"/>
                <w:szCs w:val="20"/>
                <w:color w:val="auto"/>
              </w:rPr>
            </w:pPr>
            <w:r>
              <w:rPr>
                <w:rFonts w:ascii="Arial" w:cs="Arial" w:eastAsia="Arial" w:hAnsi="Arial"/>
                <w:sz w:val="18"/>
                <w:szCs w:val="18"/>
                <w:color w:val="auto"/>
              </w:rPr>
              <w:t>Less: Accumulated</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0"/>
        </w:trPr>
        <w:tc>
          <w:tcPr>
            <w:tcW w:w="1860" w:type="dxa"/>
            <w:vAlign w:val="bottom"/>
            <w:gridSpan w:val="2"/>
          </w:tcPr>
          <w:p>
            <w:pPr>
              <w:spacing w:after="0"/>
              <w:rPr>
                <w:sz w:val="20"/>
                <w:szCs w:val="20"/>
                <w:color w:val="auto"/>
              </w:rPr>
            </w:pPr>
            <w:r>
              <w:rPr>
                <w:rFonts w:ascii="Arial" w:cs="Arial" w:eastAsia="Arial" w:hAnsi="Arial"/>
                <w:sz w:val="18"/>
                <w:szCs w:val="18"/>
                <w:color w:val="auto"/>
              </w:rPr>
              <w:t>amortization</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(79,636)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(64,223)</w:t>
            </w:r>
          </w:p>
        </w:tc>
      </w:tr>
      <w:tr>
        <w:trPr>
          <w:trHeight w:val="202"/>
        </w:trPr>
        <w:tc>
          <w:tcPr>
            <w:tcW w:w="20" w:type="dxa"/>
            <w:vAlign w:val="bottom"/>
          </w:tcPr>
          <w:p>
            <w:pPr>
              <w:spacing w:after="0"/>
              <w:rPr>
                <w:sz w:val="17"/>
                <w:szCs w:val="17"/>
                <w:color w:val="auto"/>
              </w:rPr>
            </w:pPr>
          </w:p>
        </w:tc>
        <w:tc>
          <w:tcPr>
            <w:tcW w:w="1840" w:type="dxa"/>
            <w:vAlign w:val="bottom"/>
            <w:shd w:val="clear" w:color="auto" w:fill="CBDBD1"/>
          </w:tcPr>
          <w:p>
            <w:pPr>
              <w:ind w:left="140"/>
              <w:spacing w:after="0" w:line="201" w:lineRule="exact"/>
              <w:rPr>
                <w:sz w:val="20"/>
                <w:szCs w:val="20"/>
                <w:color w:val="auto"/>
              </w:rPr>
            </w:pPr>
            <w:r>
              <w:rPr>
                <w:rFonts w:ascii="Arial" w:cs="Arial" w:eastAsia="Arial" w:hAnsi="Arial"/>
                <w:sz w:val="18"/>
                <w:szCs w:val="18"/>
                <w:color w:val="auto"/>
                <w:w w:val="97"/>
              </w:rPr>
              <w:t>Website development</w:t>
            </w:r>
          </w:p>
        </w:tc>
        <w:tc>
          <w:tcPr>
            <w:tcW w:w="14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110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40" w:type="dxa"/>
            <w:vAlign w:val="bottom"/>
            <w:shd w:val="clear" w:color="auto" w:fill="CBDBD1"/>
          </w:tcPr>
          <w:p>
            <w:pPr>
              <w:spacing w:after="0"/>
              <w:rPr>
                <w:sz w:val="17"/>
                <w:szCs w:val="17"/>
                <w:color w:val="auto"/>
              </w:rPr>
            </w:pPr>
          </w:p>
        </w:tc>
        <w:tc>
          <w:tcPr>
            <w:tcW w:w="1120" w:type="dxa"/>
            <w:vAlign w:val="bottom"/>
            <w:shd w:val="clear" w:color="auto" w:fill="CBDBD1"/>
          </w:tcPr>
          <w:p>
            <w:pPr>
              <w:spacing w:after="0"/>
              <w:rPr>
                <w:sz w:val="17"/>
                <w:szCs w:val="17"/>
                <w:color w:val="auto"/>
              </w:rPr>
            </w:pPr>
          </w:p>
        </w:tc>
      </w:tr>
      <w:tr>
        <w:trPr>
          <w:trHeight w:val="251"/>
        </w:trPr>
        <w:tc>
          <w:tcPr>
            <w:tcW w:w="20" w:type="dxa"/>
            <w:vAlign w:val="bottom"/>
          </w:tcPr>
          <w:p>
            <w:pPr>
              <w:spacing w:after="0"/>
              <w:rPr>
                <w:sz w:val="21"/>
                <w:szCs w:val="21"/>
                <w:color w:val="auto"/>
              </w:rPr>
            </w:pPr>
          </w:p>
        </w:tc>
        <w:tc>
          <w:tcPr>
            <w:tcW w:w="1840" w:type="dxa"/>
            <w:vAlign w:val="bottom"/>
            <w:shd w:val="clear" w:color="auto" w:fill="CBDBD1"/>
          </w:tcPr>
          <w:p>
            <w:pPr>
              <w:spacing w:after="0"/>
              <w:rPr>
                <w:sz w:val="20"/>
                <w:szCs w:val="20"/>
                <w:color w:val="auto"/>
              </w:rPr>
            </w:pPr>
            <w:r>
              <w:rPr>
                <w:rFonts w:ascii="Arial" w:cs="Arial" w:eastAsia="Arial" w:hAnsi="Arial"/>
                <w:sz w:val="18"/>
                <w:szCs w:val="18"/>
                <w:color w:val="auto"/>
              </w:rPr>
              <w:t>costs, net</w:t>
            </w:r>
          </w:p>
        </w:tc>
        <w:tc>
          <w:tcPr>
            <w:tcW w:w="260" w:type="dxa"/>
            <w:vAlign w:val="bottom"/>
            <w:gridSpan w:val="2"/>
            <w:shd w:val="clear" w:color="auto" w:fill="CBDBD1"/>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271,856</w:t>
            </w:r>
          </w:p>
        </w:tc>
        <w:tc>
          <w:tcPr>
            <w:tcW w:w="220" w:type="dxa"/>
            <w:vAlign w:val="bottom"/>
            <w:gridSpan w:val="2"/>
            <w:shd w:val="clear" w:color="auto" w:fill="CBDBD1"/>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197,610</w:t>
            </w:r>
          </w:p>
        </w:tc>
      </w:tr>
      <w:tr>
        <w:trPr>
          <w:trHeight w:val="20"/>
        </w:trPr>
        <w:tc>
          <w:tcPr>
            <w:tcW w:w="20" w:type="dxa"/>
            <w:vAlign w:val="bottom"/>
          </w:tcPr>
          <w:p>
            <w:pPr>
              <w:spacing w:after="0" w:line="20" w:lineRule="exact"/>
              <w:rPr>
                <w:sz w:val="1"/>
                <w:szCs w:val="1"/>
                <w:color w:val="auto"/>
              </w:rPr>
            </w:pPr>
          </w:p>
        </w:tc>
        <w:tc>
          <w:tcPr>
            <w:tcW w:w="1840" w:type="dxa"/>
            <w:vAlign w:val="bottom"/>
            <w:tcBorders>
              <w:top w:val="single" w:sz="8" w:color="CBDBD1"/>
            </w:tcBorders>
            <w:shd w:val="clear" w:color="auto" w:fill="CBDBD1"/>
          </w:tcPr>
          <w:p>
            <w:pPr>
              <w:spacing w:after="0" w:line="20" w:lineRule="exact"/>
              <w:rPr>
                <w:sz w:val="1"/>
                <w:szCs w:val="1"/>
                <w:color w:val="auto"/>
              </w:rPr>
            </w:pPr>
          </w:p>
        </w:tc>
        <w:tc>
          <w:tcPr>
            <w:tcW w:w="140" w:type="dxa"/>
            <w:vAlign w:val="bottom"/>
            <w:tcBorders>
              <w:top w:val="single" w:sz="8" w:color="CBDBD1"/>
            </w:tcBorders>
            <w:shd w:val="clear" w:color="auto" w:fill="CBDBD1"/>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BDBD1"/>
            </w:tcBorders>
            <w:shd w:val="clear" w:color="auto" w:fill="CBDBD1"/>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began amortizing the website costs, using the straight-line method over the estimated useful life of five years, once it was put into service in December 2007. The Company is currently developing a new website and has capitalized $197,359. The site is currently in process and has not started to be amortized at June 30, 2010.</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was $15,414 for the six months ended June 30, 2010 and $30,827 for the year ended December 31, 2009,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ACCRUED EXPENSES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consisted of the following:</w:t>
      </w:r>
    </w:p>
    <w:p>
      <w:pPr>
        <w:spacing w:after="0" w:line="252" w:lineRule="exact"/>
        <w:rPr>
          <w:sz w:val="20"/>
          <w:szCs w:val="20"/>
          <w:color w:val="auto"/>
        </w:rPr>
      </w:pPr>
    </w:p>
    <w:tbl>
      <w:tblPr>
        <w:tblLayout w:type="fixed"/>
        <w:tblInd w:w="34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w w:val="90"/>
              </w:rPr>
              <w:t>December 31,</w:t>
            </w:r>
          </w:p>
        </w:tc>
      </w:tr>
      <w:tr>
        <w:trPr>
          <w:trHeight w:val="237"/>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June 30, 2010</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2009</w:t>
            </w:r>
          </w:p>
        </w:tc>
      </w:tr>
      <w:tr>
        <w:trPr>
          <w:trHeight w:val="216"/>
        </w:trPr>
        <w:tc>
          <w:tcPr>
            <w:tcW w:w="20" w:type="dxa"/>
            <w:vAlign w:val="bottom"/>
          </w:tcPr>
          <w:p>
            <w:pPr>
              <w:spacing w:after="0"/>
              <w:rPr>
                <w:sz w:val="18"/>
                <w:szCs w:val="18"/>
                <w:color w:val="auto"/>
              </w:rPr>
            </w:pPr>
          </w:p>
        </w:tc>
        <w:tc>
          <w:tcPr>
            <w:tcW w:w="1800" w:type="dxa"/>
            <w:vAlign w:val="bottom"/>
            <w:shd w:val="clear" w:color="auto" w:fill="CBDBD1"/>
          </w:tcPr>
          <w:p>
            <w:pPr>
              <w:spacing w:after="0"/>
              <w:rPr>
                <w:sz w:val="20"/>
                <w:szCs w:val="20"/>
                <w:color w:val="auto"/>
              </w:rPr>
            </w:pPr>
            <w:r>
              <w:rPr>
                <w:rFonts w:ascii="Arial" w:cs="Arial" w:eastAsia="Arial" w:hAnsi="Arial"/>
                <w:sz w:val="18"/>
                <w:szCs w:val="18"/>
                <w:color w:val="auto"/>
              </w:rPr>
              <w:t>Accrued payroll taxes</w:t>
            </w:r>
          </w:p>
        </w:tc>
        <w:tc>
          <w:tcPr>
            <w:tcW w:w="34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240" w:type="dxa"/>
            <w:vAlign w:val="bottom"/>
            <w:gridSpan w:val="2"/>
            <w:shd w:val="clear" w:color="auto" w:fill="CBDBD1"/>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106</w:t>
            </w:r>
          </w:p>
        </w:tc>
      </w:tr>
      <w:tr>
        <w:trPr>
          <w:trHeight w:val="223"/>
        </w:trPr>
        <w:tc>
          <w:tcPr>
            <w:tcW w:w="20" w:type="dxa"/>
            <w:vAlign w:val="bottom"/>
          </w:tcPr>
          <w:p>
            <w:pPr>
              <w:spacing w:after="0"/>
              <w:rPr>
                <w:sz w:val="19"/>
                <w:szCs w:val="19"/>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Accrued audit fees</w:t>
            </w: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4,500</w:t>
            </w:r>
          </w:p>
        </w:tc>
      </w:tr>
      <w:tr>
        <w:trPr>
          <w:trHeight w:val="237"/>
        </w:trPr>
        <w:tc>
          <w:tcPr>
            <w:tcW w:w="20" w:type="dxa"/>
            <w:vAlign w:val="bottom"/>
          </w:tcPr>
          <w:p>
            <w:pPr>
              <w:spacing w:after="0"/>
              <w:rPr>
                <w:sz w:val="20"/>
                <w:szCs w:val="20"/>
                <w:color w:val="auto"/>
              </w:rPr>
            </w:pPr>
          </w:p>
        </w:tc>
        <w:tc>
          <w:tcPr>
            <w:tcW w:w="1800" w:type="dxa"/>
            <w:vAlign w:val="bottom"/>
            <w:shd w:val="clear" w:color="auto" w:fill="CBDBD1"/>
          </w:tcPr>
          <w:p>
            <w:pPr>
              <w:ind w:left="140"/>
              <w:spacing w:after="0"/>
              <w:rPr>
                <w:sz w:val="20"/>
                <w:szCs w:val="20"/>
                <w:color w:val="auto"/>
              </w:rPr>
            </w:pPr>
            <w:r>
              <w:rPr>
                <w:rFonts w:ascii="Arial" w:cs="Arial" w:eastAsia="Arial" w:hAnsi="Arial"/>
                <w:sz w:val="18"/>
                <w:szCs w:val="18"/>
                <w:color w:val="auto"/>
              </w:rPr>
              <w:t>Accrued expenses</w:t>
            </w:r>
          </w:p>
        </w:tc>
        <w:tc>
          <w:tcPr>
            <w:tcW w:w="34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240" w:type="dxa"/>
            <w:vAlign w:val="bottom"/>
            <w:gridSpan w:val="2"/>
            <w:shd w:val="clear" w:color="auto" w:fill="CBDBD1"/>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4,606</w:t>
            </w:r>
          </w:p>
        </w:tc>
      </w:tr>
      <w:tr>
        <w:trPr>
          <w:trHeight w:val="20"/>
        </w:trPr>
        <w:tc>
          <w:tcPr>
            <w:tcW w:w="20" w:type="dxa"/>
            <w:vAlign w:val="bottom"/>
          </w:tcPr>
          <w:p>
            <w:pPr>
              <w:spacing w:after="0" w:line="20" w:lineRule="exact"/>
              <w:rPr>
                <w:sz w:val="1"/>
                <w:szCs w:val="1"/>
                <w:color w:val="auto"/>
              </w:rPr>
            </w:pPr>
          </w:p>
        </w:tc>
        <w:tc>
          <w:tcPr>
            <w:tcW w:w="1800" w:type="dxa"/>
            <w:vAlign w:val="bottom"/>
            <w:tcBorders>
              <w:top w:val="single" w:sz="8" w:color="CBDBD1"/>
            </w:tcBorders>
            <w:shd w:val="clear" w:color="auto" w:fill="CBDBD1"/>
          </w:tcPr>
          <w:p>
            <w:pPr>
              <w:spacing w:after="0" w:line="20" w:lineRule="exact"/>
              <w:rPr>
                <w:sz w:val="1"/>
                <w:szCs w:val="1"/>
                <w:color w:val="auto"/>
              </w:rPr>
            </w:pPr>
          </w:p>
        </w:tc>
        <w:tc>
          <w:tcPr>
            <w:tcW w:w="260" w:type="dxa"/>
            <w:vAlign w:val="bottom"/>
            <w:tcBorders>
              <w:top w:val="single" w:sz="8" w:color="CBDBD1"/>
            </w:tcBorders>
            <w:shd w:val="clear" w:color="auto" w:fill="CBDBD1"/>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BDBD1"/>
            </w:tcBorders>
            <w:shd w:val="clear" w:color="auto" w:fill="CBDBD1"/>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COMMON STOCK</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OptimizeRx Corporation has 500,000,000 shares of $.001 par value common stock authorized as of June 30, 2010. There were 13,233,754 and 12,826,117 common shares issued and outstanding at June 30, 2010 and December 31, 2009, respectively.</w:t>
      </w:r>
    </w:p>
    <w:p>
      <w:pPr>
        <w:spacing w:after="0" w:line="19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During the six months ended June 30, 2010 and 2009, 103,000 and 160,000 shares were issued as compensation for services, respectively. Included in operating expenses at June 30, 2010 and 2009 is $201,140 and $696,000 for the issuance of these shares. There were 43,039 and 365,908 shares issued as a cashless exchange of common stock warrants during the six months ended June 30, 2010 and year ended December 31, 2009, respectively.</w:t>
      </w:r>
    </w:p>
    <w:p>
      <w:pPr>
        <w:spacing w:after="0" w:line="17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During the six months ended June 30, 2010, the Company acquired from an officer the technical contributions and assignment of all exclusive rights to and for the Sample MD patent currently in process in exchange for 200,000 stock options valued at $404,762 and a payable of 300,000 shares of common stock to be granted at a later date. These shares were valued at the date of the assignment for $570,000 and have been recorded as a related party payable.</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during the six months ended June 30, 2010, stock warrants with an exercise price of $.35 per share were converted into 25,000 shares of common stock in exchange for $8,750.</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PREFERRED STOCK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A Preferred</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year ended December 31, 2008, 35 preferred shares were issued for $3,500,000. Issuance costs totaled $515,000 resulting in net proceeds of $2,985,000. The 35 shares are convertible to 3,500,000 shares of common stock and bear a 10% cumulative dividend. In addition, there was a warrant issued to purchase 6,000,000 shares of common stock at an exercise price of $2 for a period of seven years.</w:t>
      </w:r>
    </w:p>
    <w:p>
      <w:pPr>
        <w:spacing w:after="0" w:line="2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holders of the preferred stock are entitled to semi-annual dividends payable on the stated value of the Series A preferred stock at a rate of 10% per annum, which shall be cumulative, and accrue daily from the issuance date. The dividends may be paid in cash or shares of the Company's common stock at management’s discretion. If after the conversion eligibility date, the market price for the common stock for any ten consecutive trading days in which the stock trades for over $2 per share and trading exceeds 100,000 shares per day, the preferred shareholders can be required to convert their shares to common stock. Each share of Series A preferred stock shall also be convertible at the option of the holder into that number of shares of common stock of the Company at the stated value of such share at a $1 co nversion price.</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holder may cause this conversion at the time the shares are eligible for resale by the holder. The conversion price is subject to adjustment as hereinafter provided, at any time, or from time to time upon the terms and in the manner hereinafter set forth in the shareholder agreement. The shares are required to be redeemed on September 5, 2010.</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12, 2010, the Company’s Board declared and issued 236,598 common shares as payment for all cumulative and current semi-annual dividends. As of June 30, 2010, all preferred stock dividends are current.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B Preferred</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six months ended June 30, 2010, 15 preferred shares were issued for $1,500,000. The 15 shares are convertible to 1,500,000 shares of common stock and bear a 10% cumulative dividend. In addition, there was a warrant issued to purchase 2,000,000 shares of common stock at an exercise price of $3 for a period of seven years.</w:t>
      </w:r>
    </w:p>
    <w:p>
      <w:pPr>
        <w:spacing w:after="0" w:line="2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holders of the preferred stock are entitled to semi-annual dividends payable on the stated value of the Series B preferred stock at a rate of 10% per annum, which shall be cumulative, and accrue daily from the issuance date. The dividends may be paid in cash or shares of the Company's common stock at management’s discretion. If after the conversion eligibility date, the market price for the common stock for any ten consecutive trading days in which the stock trades for over $2 per share and trading exceeds 100,000 shares per day, the preferred shareholders can be required to convert their shares to common stock. Each share of Series B preferred stock shall also be convertible at the option of the holder into that number of shares of common stock of the Company at the stated value of such share at a $1.50 conversion price.</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holder may cause this conversion at the time the shares are eligible for resale by the holder. The conversion price is subject to adjustment as hereinafter provided, at any time, or from time to time upon the terms and in the manner hereinafter set forth in the shareholder agreement. The shares are required to be redeemed on June 30, 2011. As of June 30, 2010, no cumulative dividends have been declared or accrued.</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STOCK-BASED COMPENSATION</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Effective January 1, 2006, the Company adopted SFAS No. 123 (revised), "Share-Based Payment: (SFAS 123(R)) utilizing the modified prospective approach. Prior to the adoption of SFAS 123(R) we accounted for stock option grant in accordance with APB Opinion No. 25, "Accounting for Stock Issued to Employees," and accordingly, recognized compensation expense for stock option grants using the intrinsic value method.</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modified prospective approach, SFAS 123(R) applies to new awards and to awards that were outstanding on January 1, 2006 that are subsequently modified, repurchased or cancelled. Under the modified prospective approach, compensation cost recognized in the first quarter of fiscal 2006 includes compensation cost for all share-based payments granted prior to, but not yet vested as of January 1, 2006 based on the grant-date fair value estimated in accordance with the original provisions of SFAS 123, and compensation cost for all share-based payments granted subsequent to January 1, 2006 based on the grant-date fair value estimated in accordance with the provisions of SFAS 123(R). For all quarters after the first quarter of fiscal 2006, compensation costs recognized will include the compensation costs for all share-based payments g ranted based on the grant date fair value estimated in accordance with the provisions of SFAS 123(R).</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of each option granted in 2010 is estimated on the date of grant using the Black-Scholes option-pricing model with the following weighted average assumptions: dividend yield of 0%, expected volatility of 262%, risk-free interest rate of 2.54% and expected life of 60 months. The Company capitalized $404,762 on the 200,000 options issued on April 19, 2010 related to the patent rights.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each option granted in 2009 is estimated on the date of grant using the Black-Scholes Option Pricing Model. The Company recognized expense of $1,939,257 on the 1,050,000 options and warrants in 2009.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STOCK WARRANTS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three months ended March 31, 2010, the Company exchanged 75,400 common stock warrants with an exercise price of $1 for 43,039 shares of common stock in a cashless exchange. This exchange has been reflected in the stockholders’ equity for 2010.</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2009, the Company exchanged 173,000 common stock warrants with an exercise price of $1 and 108,908 common stock warrants with an exercise price of $2, for 365,908 shares of common stock in a cashless exchange. This exchange has been reflected in the stockholders' equity for 2009.</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issued 300,000 stock warrants in connection with non-employee services. The Company also issued 750,000 warrants as part of employment agreements with various employees. The Company has accounted for these warrants as equity instruments in accordance with EITF 00-19 (ASC 815-40), Accounting for Derivative Financial Instruments Indexed to, and Potentially Settled in, a Company’s Own Stock, and as such, will be classified in stockholders’ equity as they meet the definition of “…indexed to the issuer’s stock” in EITF 01-06 (ASC 815-40) The Meaning of Indexed to a Company’s Own Stock. The Company has estimated the fair value of the warrants issued in connection with the non-employee services at $616,079, and the employment agreements at $1,323,178, as of December 31, 2009 using the Black-Scholes option pricing model.</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issued 3,000,000 stock warrants in connection with obtaining additional capital. The Company has accounted for these warrants as equity instruments in accordance with EITF 00-19 (ASC 815-40), Accounting for Derivative Financial Instruments Indexed to, and Potentially Settled in, a Company’s Own Stock, and as such, will be classified in stockholders’ equity as they meet the definition of “…indexed to the issuer’s stock” in EITF 01-06 (ASC 815-40), The Meaning of Indexed to a Company’s Own Stock. The Company has estimated the fair value of the warrants issued at $5,096,472, as of June 30, 2010 using the Black-Scholes option pricing model.</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 leases their offices for $2,500 a month on a month-to-month rental.</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INCOME TAXES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six months ended June 30, 2010, the Company incurred a net loss of approximately $1,136,000 and therefore has no tax liability. The Company began operations in 2007 and has previous net operating loss carry-forwards of $9,300,000 through December 31, 2009. The cumulative loss of approximately $12,276,000 will be carried forward and can be used in various amounts through the year 2030 to offset future taxable income. In the future, the cumulative net operating loss carry-forward for income tax purposes may differ from the cumulative financial statement loss due to timing differences between book and tax reporting.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cumulative tax effect at the expected rate of 34% of significant items comprising our net deferred tax amount is as follows:</w:t>
      </w:r>
    </w:p>
    <w:p>
      <w:pPr>
        <w:spacing w:after="0" w:line="252" w:lineRule="exact"/>
        <w:rPr>
          <w:sz w:val="20"/>
          <w:szCs w:val="20"/>
          <w:color w:val="auto"/>
        </w:rPr>
      </w:pPr>
    </w:p>
    <w:p>
      <w:pPr>
        <w:ind w:left="5380"/>
        <w:spacing w:after="0"/>
        <w:tabs>
          <w:tab w:leader="none" w:pos="6620" w:val="left"/>
        </w:tabs>
        <w:rPr>
          <w:sz w:val="20"/>
          <w:szCs w:val="20"/>
          <w:color w:val="auto"/>
        </w:rPr>
      </w:pPr>
      <w:r>
        <w:rPr>
          <w:rFonts w:ascii="Arial" w:cs="Arial" w:eastAsia="Arial" w:hAnsi="Arial"/>
          <w:sz w:val="18"/>
          <w:szCs w:val="18"/>
          <w:color w:val="auto"/>
        </w:rPr>
        <w:t>June 30, 2010</w:t>
      </w:r>
      <w:r>
        <w:rPr>
          <w:sz w:val="20"/>
          <w:szCs w:val="20"/>
          <w:color w:val="auto"/>
        </w:rPr>
        <w:tab/>
      </w:r>
      <w:r>
        <w:rPr>
          <w:rFonts w:ascii="Arial" w:cs="Arial" w:eastAsia="Arial" w:hAnsi="Arial"/>
          <w:sz w:val="16"/>
          <w:szCs w:val="16"/>
          <w:u w:val="single" w:color="auto"/>
          <w:color w:val="auto"/>
        </w:rPr>
        <w:t>December 31, 200</w:t>
      </w: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3281045</wp:posOffset>
            </wp:positionH>
            <wp:positionV relativeFrom="paragraph">
              <wp:posOffset>14605</wp:posOffset>
            </wp:positionV>
            <wp:extent cx="86614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66140" cy="17145"/>
                    </a:xfrm>
                    <a:prstGeom prst="rect">
                      <a:avLst/>
                    </a:prstGeom>
                    <a:noFill/>
                  </pic:spPr>
                </pic:pic>
              </a:graphicData>
            </a:graphic>
          </wp:anchor>
        </w:drawing>
      </w:r>
    </w:p>
    <w:p>
      <w:pPr>
        <w:spacing w:after="0" w:line="16"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Deferred tax asset</w:t>
      </w:r>
    </w:p>
    <w:p>
      <w:pPr>
        <w:spacing w:after="0" w:line="23"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attributable to:</w:t>
      </w:r>
    </w:p>
    <w:p>
      <w:pPr>
        <w:spacing w:after="0" w:line="4" w:lineRule="exact"/>
        <w:rPr>
          <w:sz w:val="20"/>
          <w:szCs w:val="20"/>
          <w:color w:val="auto"/>
        </w:rPr>
      </w:pPr>
    </w:p>
    <w:tbl>
      <w:tblPr>
        <w:tblLayout w:type="fixed"/>
        <w:tblInd w:w="3440" w:type="dxa"/>
        <w:tblCellMar>
          <w:top w:w="0" w:type="dxa"/>
          <w:left w:w="0" w:type="dxa"/>
          <w:bottom w:w="0" w:type="dxa"/>
          <w:right w:w="0" w:type="dxa"/>
        </w:tblCellMar>
      </w:tblPr>
      <w:tr>
        <w:trPr>
          <w:trHeight w:val="207"/>
        </w:trPr>
        <w:tc>
          <w:tcPr>
            <w:tcW w:w="1640" w:type="dxa"/>
            <w:vAlign w:val="bottom"/>
            <w:shd w:val="clear" w:color="auto" w:fill="CBDBD1"/>
          </w:tcPr>
          <w:p>
            <w:pPr>
              <w:ind w:left="80"/>
              <w:spacing w:after="0"/>
              <w:rPr>
                <w:sz w:val="20"/>
                <w:szCs w:val="20"/>
                <w:color w:val="auto"/>
              </w:rPr>
            </w:pPr>
            <w:r>
              <w:rPr>
                <w:rFonts w:ascii="Arial" w:cs="Arial" w:eastAsia="Arial" w:hAnsi="Arial"/>
                <w:sz w:val="18"/>
                <w:szCs w:val="18"/>
                <w:color w:val="auto"/>
              </w:rPr>
              <w:t>Net operating loss</w:t>
            </w:r>
          </w:p>
        </w:tc>
        <w:tc>
          <w:tcPr>
            <w:tcW w:w="80" w:type="dxa"/>
            <w:vAlign w:val="bottom"/>
            <w:shd w:val="clear" w:color="auto" w:fill="CBDBD1"/>
          </w:tcPr>
          <w:p>
            <w:pPr>
              <w:spacing w:after="0"/>
              <w:rPr>
                <w:sz w:val="17"/>
                <w:szCs w:val="17"/>
                <w:color w:val="auto"/>
              </w:rPr>
            </w:pPr>
          </w:p>
        </w:tc>
        <w:tc>
          <w:tcPr>
            <w:tcW w:w="300" w:type="dxa"/>
            <w:vAlign w:val="bottom"/>
            <w:shd w:val="clear" w:color="auto" w:fill="CBDBD1"/>
          </w:tcPr>
          <w:p>
            <w:pPr>
              <w:spacing w:after="0"/>
              <w:rPr>
                <w:sz w:val="17"/>
                <w:szCs w:val="17"/>
                <w:color w:val="auto"/>
              </w:rPr>
            </w:pPr>
          </w:p>
        </w:tc>
        <w:tc>
          <w:tcPr>
            <w:tcW w:w="10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320" w:type="dxa"/>
            <w:vAlign w:val="bottom"/>
            <w:shd w:val="clear" w:color="auto" w:fill="CBDBD1"/>
          </w:tcPr>
          <w:p>
            <w:pPr>
              <w:spacing w:after="0"/>
              <w:rPr>
                <w:sz w:val="17"/>
                <w:szCs w:val="17"/>
                <w:color w:val="auto"/>
              </w:rPr>
            </w:pPr>
          </w:p>
        </w:tc>
        <w:tc>
          <w:tcPr>
            <w:tcW w:w="1060" w:type="dxa"/>
            <w:vAlign w:val="bottom"/>
            <w:shd w:val="clear" w:color="auto" w:fill="CBDBD1"/>
          </w:tcPr>
          <w:p>
            <w:pPr>
              <w:spacing w:after="0"/>
              <w:rPr>
                <w:sz w:val="17"/>
                <w:szCs w:val="17"/>
                <w:color w:val="auto"/>
              </w:rPr>
            </w:pPr>
          </w:p>
        </w:tc>
      </w:tr>
      <w:tr>
        <w:trPr>
          <w:trHeight w:val="230"/>
        </w:trPr>
        <w:tc>
          <w:tcPr>
            <w:tcW w:w="1640" w:type="dxa"/>
            <w:vAlign w:val="bottom"/>
            <w:shd w:val="clear" w:color="auto" w:fill="CBDBD1"/>
          </w:tcPr>
          <w:p>
            <w:pPr>
              <w:spacing w:after="0"/>
              <w:rPr>
                <w:sz w:val="20"/>
                <w:szCs w:val="20"/>
                <w:color w:val="auto"/>
              </w:rPr>
            </w:pPr>
            <w:r>
              <w:rPr>
                <w:rFonts w:ascii="Arial" w:cs="Arial" w:eastAsia="Arial" w:hAnsi="Arial"/>
                <w:sz w:val="18"/>
                <w:szCs w:val="18"/>
                <w:color w:val="auto"/>
              </w:rPr>
              <w:t>carryover</w:t>
            </w:r>
          </w:p>
        </w:tc>
        <w:tc>
          <w:tcPr>
            <w:tcW w:w="380" w:type="dxa"/>
            <w:vAlign w:val="bottom"/>
            <w:gridSpan w:val="2"/>
            <w:shd w:val="clear" w:color="auto" w:fill="CBDBD1"/>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4,174,000</w:t>
            </w:r>
          </w:p>
        </w:tc>
        <w:tc>
          <w:tcPr>
            <w:tcW w:w="400" w:type="dxa"/>
            <w:vAlign w:val="bottom"/>
            <w:gridSpan w:val="2"/>
            <w:shd w:val="clear" w:color="auto" w:fill="CBDBD1"/>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3,788,000</w:t>
            </w:r>
          </w:p>
        </w:tc>
      </w:tr>
      <w:tr>
        <w:trPr>
          <w:trHeight w:val="223"/>
        </w:trPr>
        <w:tc>
          <w:tcPr>
            <w:tcW w:w="1640" w:type="dxa"/>
            <w:vAlign w:val="bottom"/>
          </w:tcPr>
          <w:p>
            <w:pPr>
              <w:ind w:left="80"/>
              <w:spacing w:after="0"/>
              <w:rPr>
                <w:sz w:val="20"/>
                <w:szCs w:val="20"/>
                <w:color w:val="auto"/>
              </w:rPr>
            </w:pPr>
            <w:r>
              <w:rPr>
                <w:rFonts w:ascii="Arial" w:cs="Arial" w:eastAsia="Arial" w:hAnsi="Arial"/>
                <w:sz w:val="18"/>
                <w:szCs w:val="18"/>
                <w:color w:val="auto"/>
                <w:w w:val="96"/>
              </w:rPr>
              <w:t>Valuation allowance</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(4,174,000)</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(3,788,000)</w:t>
            </w:r>
          </w:p>
        </w:tc>
      </w:tr>
      <w:tr>
        <w:trPr>
          <w:trHeight w:val="202"/>
        </w:trPr>
        <w:tc>
          <w:tcPr>
            <w:tcW w:w="1640" w:type="dxa"/>
            <w:vAlign w:val="bottom"/>
            <w:shd w:val="clear" w:color="auto" w:fill="CBDBD1"/>
          </w:tcPr>
          <w:p>
            <w:pPr>
              <w:ind w:left="260"/>
              <w:spacing w:after="0" w:line="201" w:lineRule="exact"/>
              <w:rPr>
                <w:sz w:val="20"/>
                <w:szCs w:val="20"/>
                <w:color w:val="auto"/>
              </w:rPr>
            </w:pPr>
            <w:r>
              <w:rPr>
                <w:rFonts w:ascii="Arial" w:cs="Arial" w:eastAsia="Arial" w:hAnsi="Arial"/>
                <w:sz w:val="18"/>
                <w:szCs w:val="18"/>
                <w:color w:val="auto"/>
              </w:rPr>
              <w:t>Net deferred tax</w:t>
            </w:r>
          </w:p>
        </w:tc>
        <w:tc>
          <w:tcPr>
            <w:tcW w:w="80" w:type="dxa"/>
            <w:vAlign w:val="bottom"/>
            <w:shd w:val="clear" w:color="auto" w:fill="CBDBD1"/>
          </w:tcPr>
          <w:p>
            <w:pPr>
              <w:spacing w:after="0"/>
              <w:rPr>
                <w:sz w:val="17"/>
                <w:szCs w:val="17"/>
                <w:color w:val="auto"/>
              </w:rPr>
            </w:pPr>
          </w:p>
        </w:tc>
        <w:tc>
          <w:tcPr>
            <w:tcW w:w="300" w:type="dxa"/>
            <w:vAlign w:val="bottom"/>
            <w:shd w:val="clear" w:color="auto" w:fill="CBDBD1"/>
          </w:tcPr>
          <w:p>
            <w:pPr>
              <w:spacing w:after="0"/>
              <w:rPr>
                <w:sz w:val="17"/>
                <w:szCs w:val="17"/>
                <w:color w:val="auto"/>
              </w:rPr>
            </w:pPr>
          </w:p>
        </w:tc>
        <w:tc>
          <w:tcPr>
            <w:tcW w:w="10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320" w:type="dxa"/>
            <w:vAlign w:val="bottom"/>
            <w:shd w:val="clear" w:color="auto" w:fill="CBDBD1"/>
          </w:tcPr>
          <w:p>
            <w:pPr>
              <w:spacing w:after="0"/>
              <w:rPr>
                <w:sz w:val="17"/>
                <w:szCs w:val="17"/>
                <w:color w:val="auto"/>
              </w:rPr>
            </w:pPr>
          </w:p>
        </w:tc>
        <w:tc>
          <w:tcPr>
            <w:tcW w:w="1060" w:type="dxa"/>
            <w:vAlign w:val="bottom"/>
            <w:shd w:val="clear" w:color="auto" w:fill="CBDBD1"/>
          </w:tcPr>
          <w:p>
            <w:pPr>
              <w:spacing w:after="0"/>
              <w:rPr>
                <w:sz w:val="17"/>
                <w:szCs w:val="17"/>
                <w:color w:val="auto"/>
              </w:rPr>
            </w:pPr>
          </w:p>
        </w:tc>
      </w:tr>
      <w:tr>
        <w:trPr>
          <w:trHeight w:val="251"/>
        </w:trPr>
        <w:tc>
          <w:tcPr>
            <w:tcW w:w="1640" w:type="dxa"/>
            <w:vAlign w:val="bottom"/>
            <w:shd w:val="clear" w:color="auto" w:fill="CBDBD1"/>
          </w:tcPr>
          <w:p>
            <w:pPr>
              <w:spacing w:after="0"/>
              <w:rPr>
                <w:sz w:val="20"/>
                <w:szCs w:val="20"/>
                <w:color w:val="auto"/>
              </w:rPr>
            </w:pPr>
            <w:r>
              <w:rPr>
                <w:rFonts w:ascii="Arial" w:cs="Arial" w:eastAsia="Arial" w:hAnsi="Arial"/>
                <w:sz w:val="18"/>
                <w:szCs w:val="18"/>
                <w:color w:val="auto"/>
              </w:rPr>
              <w:t>asset</w:t>
            </w:r>
          </w:p>
        </w:tc>
        <w:tc>
          <w:tcPr>
            <w:tcW w:w="80" w:type="dxa"/>
            <w:vAlign w:val="bottom"/>
            <w:shd w:val="clear" w:color="auto" w:fill="CBDBD1"/>
          </w:tcPr>
          <w:p>
            <w:pPr>
              <w:spacing w:after="0"/>
              <w:rPr>
                <w:sz w:val="21"/>
                <w:szCs w:val="21"/>
                <w:color w:val="auto"/>
              </w:rPr>
            </w:pPr>
          </w:p>
        </w:tc>
        <w:tc>
          <w:tcPr>
            <w:tcW w:w="300" w:type="dxa"/>
            <w:vAlign w:val="bottom"/>
            <w:shd w:val="clear" w:color="auto" w:fill="CBDBD1"/>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400" w:type="dxa"/>
            <w:vAlign w:val="bottom"/>
            <w:gridSpan w:val="2"/>
            <w:shd w:val="clear" w:color="auto" w:fill="CBDBD1"/>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r>
      <w:tr>
        <w:trPr>
          <w:trHeight w:val="20"/>
        </w:trPr>
        <w:tc>
          <w:tcPr>
            <w:tcW w:w="1640" w:type="dxa"/>
            <w:vAlign w:val="bottom"/>
            <w:tcBorders>
              <w:top w:val="single" w:sz="8" w:color="CBDBD1"/>
            </w:tcBorders>
            <w:shd w:val="clear" w:color="auto" w:fill="CBDBD1"/>
          </w:tcPr>
          <w:p>
            <w:pPr>
              <w:spacing w:after="0" w:line="20" w:lineRule="exact"/>
              <w:rPr>
                <w:sz w:val="1"/>
                <w:szCs w:val="1"/>
                <w:color w:val="auto"/>
              </w:rPr>
            </w:pPr>
          </w:p>
        </w:tc>
        <w:tc>
          <w:tcPr>
            <w:tcW w:w="80" w:type="dxa"/>
            <w:vAlign w:val="bottom"/>
            <w:tcBorders>
              <w:top w:val="single" w:sz="8" w:color="CBDBD1"/>
            </w:tcBorders>
            <w:shd w:val="clear" w:color="auto" w:fill="CBDBD1"/>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BDBD1"/>
            </w:tcBorders>
            <w:shd w:val="clear" w:color="auto" w:fill="CBDBD1"/>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GOING CONCERN</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The Company has sustained substantial losses since inception.</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view of this matter, the ability of the Company to continue as a going concern is dependent upon growth of revenues and the ability of the Company to raise additional capital. Management believes that its successful ability to raise capital and their plans for increases in revenues will provide the opportunity for the Company to continue as a going concern.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SUBSEQUENT EVENTS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has analyzed its operations subsequent to June 30, 2010 to August 16, 2010, the date these financial statements were issued, and has determined that it does not have any material subsequent events to disclose in these financial statements.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Certain statements,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and Section 21E of the Securities Exchange Act of 1934. These forward-looking statements generally are identified by the words “believes,” “project,” “expects,” “anticipates,” “estimates,” “intends,” “strategy,” “plan,” “may,” “will,” “would,” “will be,” “will cont inue,” “will likely result,” and similar expressions. We intend such forward-looking statements to be covered by the safe-harbor provisions for forward-looking statements contained in the Private Securities Litigation Reform Act of 1995, and are including this statement for purposes of complying with those safe-harbor provisions. Forward-looking statements are based on current expectations and assumptions that are subject to risks and uncertainties which may cause actual results to differ materially from the forward-looking statements. Our ability to predict results or the actual effect of future plans or strategies is inherently uncertain. Factors which could have a material adverse affect on our operations and future prospects on a consolidated basis include, but are not limited to: changes in economic conditions, legislative/regulatory changes, availability of capital, interest rates, competition, and generally accepted accounting principles. These risks and uncertainties should also be considered in evaluating forward-looking statements and undue reliance should not be placed on such statements. We undertake no obligation to update or revise publicly any forward-looking statements, whether as a result of new information, future events or otherwise. Further information concerning our business, including additional factors that could materially affect our financial results, is included herein and in our other filings with the SEC.</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Since our formation, our initial concentration had been on developing our direct to consumer business strategy and obtaining financing. We planned to expand awareness, traffic and database to our patient savings portal OPTIMIZERx.com, as well as the launch of our offer development systems OFFERx™ and ADHERxE. The primary components of our direct to consumer business are:</w:t>
      </w:r>
    </w:p>
    <w:p>
      <w:pPr>
        <w:spacing w:after="0" w:line="200" w:lineRule="exact"/>
        <w:rPr>
          <w:sz w:val="20"/>
          <w:szCs w:val="20"/>
          <w:color w:val="auto"/>
        </w:rPr>
      </w:pPr>
    </w:p>
    <w:p>
      <w:pPr>
        <w:spacing w:after="0" w:line="224" w:lineRule="exact"/>
        <w:rPr>
          <w:sz w:val="20"/>
          <w:szCs w:val="20"/>
          <w:color w:val="auto"/>
        </w:rPr>
      </w:pPr>
    </w:p>
    <w:p>
      <w:pPr>
        <w:ind w:left="760" w:hanging="284"/>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online patient savings portal OPTIMIZERx.com and our network affiliates</w:t>
      </w:r>
    </w:p>
    <w:p>
      <w:pPr>
        <w:spacing w:after="0" w:line="23" w:lineRule="exact"/>
        <w:rPr>
          <w:rFonts w:ascii="Arial" w:cs="Arial" w:eastAsia="Arial" w:hAnsi="Arial"/>
          <w:sz w:val="18"/>
          <w:szCs w:val="18"/>
          <w:color w:val="auto"/>
        </w:rPr>
      </w:pPr>
    </w:p>
    <w:p>
      <w:pPr>
        <w:ind w:left="760" w:hanging="284"/>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OFFERx to develop, promote and fulfill new offers from pharmaceutical and healthcare manufactures</w:t>
      </w:r>
    </w:p>
    <w:p>
      <w:pPr>
        <w:spacing w:after="0" w:line="9" w:lineRule="exact"/>
        <w:rPr>
          <w:rFonts w:ascii="Arial" w:cs="Arial" w:eastAsia="Arial" w:hAnsi="Arial"/>
          <w:sz w:val="18"/>
          <w:szCs w:val="18"/>
          <w:color w:val="auto"/>
        </w:rPr>
      </w:pPr>
    </w:p>
    <w:p>
      <w:pPr>
        <w:ind w:left="800" w:hanging="324"/>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ADHERxE to allow manufacturers to re-engage their customers through the activation of new savings each month</w:t>
      </w:r>
    </w:p>
    <w:p>
      <w:pPr>
        <w:spacing w:after="0" w:line="238" w:lineRule="exact"/>
        <w:rPr>
          <w:sz w:val="20"/>
          <w:szCs w:val="20"/>
          <w:color w:val="auto"/>
        </w:rPr>
      </w:pPr>
    </w:p>
    <w:p>
      <w:pPr>
        <w:ind w:left="60"/>
        <w:spacing w:after="0"/>
        <w:rPr>
          <w:sz w:val="20"/>
          <w:szCs w:val="20"/>
          <w:color w:val="auto"/>
        </w:rPr>
      </w:pPr>
      <w:r>
        <w:rPr>
          <w:rFonts w:ascii="Arial" w:cs="Arial" w:eastAsia="Arial" w:hAnsi="Arial"/>
          <w:sz w:val="16"/>
          <w:szCs w:val="16"/>
          <w:color w:val="auto"/>
        </w:rPr>
        <w:t>We plan to generate revenues through: (i) advertising sales from our Site and affiliate network; (ii) its database; (iii) direct marketing and sponsorships, and</w:t>
      </w:r>
    </w:p>
    <w:p>
      <w:pPr>
        <w:spacing w:after="0" w:line="46" w:lineRule="exact"/>
        <w:rPr>
          <w:sz w:val="20"/>
          <w:szCs w:val="20"/>
          <w:color w:val="auto"/>
        </w:rPr>
      </w:pPr>
    </w:p>
    <w:p>
      <w:pPr>
        <w:ind w:left="5660" w:right="4900" w:hanging="5652"/>
        <w:spacing w:after="0" w:line="771" w:lineRule="auto"/>
        <w:tabs>
          <w:tab w:leader="none" w:pos="304"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platforms to create, promote and manage new savings offers for additional clients.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-207010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acquired over two million members to date. Upon this, management has been preparing and addressing all key issues to successfully serve and monetize the membership database, including: content, procurement of advertising sponsorships, technology and distribution. We originally planned to extend our reach and visibility through increased online, print and broadcast marketing to increase traffic and our database of qualified health care consumers. However, with our current membership base, along with the short period of time since acquiring the majority of our members and the sales cycle of attaining sponsorship and industry advertising programs to this new asset, we have minimally engaged in marketing to our database.</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Management continues to believe the OPTIMIZERx database will be a very significant, on-going revenue stream over time. Management has also learned through this process and client engagement, that both the health care providers and pharmaceutical manufacturers are focused on the redemption and fulfillment of prescribed medications and savings programs. Conversion rates of patients redeeming co-pay programs and staying on medications continues to be very low and expensive. Our clients have challenged us in finding a way to bring the prescribing process together with the available savings programs – at at the point where the doctor provides the patient both the prescription and voucher or co-pay offering.</w:t>
      </w:r>
    </w:p>
    <w:p>
      <w:pPr>
        <w:spacing w:after="0" w:line="20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To meet this challenge, during the past year, the company had also invested in the development of its Direct to Physician solution ‘SampleMD. Today, almost 2/3 of doctors’ offices ban or limit drug representative and samples. Although samples are still valuable in validating prescribed therapies, many healthcare systems and doctors are looking for an easier, more effective way to both administer and distribute samples while increasing affordable access and adherence to their prescribed branded medications. Based on this we have built SampleMD, a solution targeting at providing a new way to administer and distribute samples and co-pays direct from the physician and benefiting the patient consumer.</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SampleMD was announced to the marketplace in October 2009 with great interest from the physician groups, IDN’s and GPO’s as well as the pharmaceutical manufacturers. With ease of use for the physicians, samples can again be prescribed to validate treatment of patients, and with greater reporting capabilities, the manufacturers now gain greater transparency to information relative to sample distribution and utilization.</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second quarter of 2010 has been very busy for SampleMD. On July 16, 2010, we entered into a Master Services Agreement with Walgreens Health Initiatives in order to promote Walgreens product savings and special offers within the SampleMD platform. In turn for our promotional services, our primary compensation will be based on the number of Walgreens offer transactions are generated by physicians using the SampleMD platform to help their patients better afford the medicines and healthcare products they need.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and Six Months Ended June 30, 2010 and 2009</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Our total revenue reported for three months ended June 30, 2010 was $16,720, a nominal increase from $3,449 for the three months ended June 30, 2009.</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color w:val="auto"/>
        </w:rPr>
        <w:t>Our total revenue reported for six months ended June 30, 2010 was $18,003, a nominal increase from $4,720 for the six months ended June 30, 2009.</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Operating expenses increased to $892,083 for the three months ended June 30, 2010 from $355,462 for the same period ended 2009. Our operating expenses for the three months ended June 30, 2010 consisted mainly of advertising expenses of $57,160, consulting fees of $369,828, consulting fees for officers of $130,680, legal and accounting expenses of $52,751, and payroll of $161,557. Our operating expenses for the three months ended June 30, 2009 consisted mainly of administrative expenses of $27,014, development costs of $41,992, payroll of $128,427, and public and investor relation expenses of $30,678.</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expenses decreased to $1,155,177 for the six months ended June 30, 2010 from $1,731,766 for the same period ended 2009. Our operating expenses for the six months ended June 30, 2010 consisted mainly of advertising expenses of $91,265, consulting fees of $401,472, consulting fees for officers of $130,680, employee benefits of $35,908, legal and accounting expenses of $69,354, and payroll of $282,277. Our operating expenses for the six months ended June 30, 2009 consisted mainly of advertising expenses of $316,853, auto expenses of $33,271, consulting fees of $890,993, development costs of $41,992, payroll of $230,077, and public and investor relation expenses of $30,923.</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We have incurred operating expenses of $6,061,267 from January 31, 2006 (Inception) to June 30,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income was $460 for the three months ended June 30, 2010 a decrease from other income of $9,868 for same period ended 2009. The other income for both periods is mostly attributable to interest income.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was $1,304 for six months ended June 30, 2010 a decrease from other income of $24,178 for same period ended 2009. The other income for both periods is mostly attributable to interest income.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incurred other expenses of $4,653,652 from January 31, 2006 (Inception) to June 30, 2010. Stock based compensation accounted for $4,684,537 of our total other expenses for this period.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Net loss for the three months ended June 30, 2010 was $874,903, compared to net loss of $342,145 for the same period 2009.</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loss for the six months ended June 30, 2010 was $1,135,870, compared to net loss of $1,702,868 for the same period 2009. We incurred a net loss of $10,486,189 for the period from January 31, 2006 (Inception) to June 30, 2010.</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2010, we had total current assets of $1,152,511 and total assets in the amount of $2,451,866. Our total current liabilities as of June 30, 2010 were $620,772. We had working capital of $531,739 as of June 30, 2010.</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activities used $902,556 in cash for the six months ended June 30, 2010. Our net loss of $1,135,870 was the primary component of our negative operating cash flow, offset mainly by $201,140 in stock issued for services. Investing activities used $129,660 during the six months ended June 30, 2010 as a result of website development costs and license fees. Financing activities provided $1,508,750 for the six months ended June 30, 2010 largely as a result of the sale of our Series B Preferred Stock.</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June 4, 2010, we entered into a Securities Purchase Agreement with Vicis Capital Master Fund, a sub-trust of Vicis Capital Series Master Trust, a unit trust organized and existing under the laws of the Cayman Islands, whereby in exchange for $1,500,000, we issued 15 shares of Series B Preferred Stock and a Warrant to purchase up to 3,000,000 shares of our common stock with an exercise price of $3.00 per share.</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purchase agreement provides that we have a right to sell (and the Purchaser has agreed to buy, if the right is exercised) up to an additional 15 shares of Series B Preferred Stock at $1.00 per share. The foregoing right is triggered upon the satisfaction and achievement by our company of certain goals identified in the purchase agreement. If we exercise the right, Vicis will also receive a Warrant to purchase up to 1,000,000 of our shares of common stock with an exercise price of $3.00 per share.</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June 30, 2010, we have insufficient cash to operate our business at the current level for the next twelve months and insufficient cash to achieve our business goals. The success of our business plan beyond the next 12 months is contingent upon us obtaining additional financing. We intend to fund operations through debt and/or equity financing arrangements, which may be insufficient to fund our capital expenditures, working capital, or other cash requirements. There can be no assurance that such additional financing will be available to us on acceptable terms, or at all.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2010, there were no off balance sheet arrangements.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smaller reporting company is not required to provide the information required by this Item.</w:t>
      </w:r>
    </w:p>
    <w:p>
      <w:pPr>
        <w:spacing w:after="0" w:line="22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4T.</w:t>
      </w:r>
      <w:r>
        <w:rPr>
          <w:sz w:val="20"/>
          <w:szCs w:val="20"/>
          <w:color w:val="auto"/>
        </w:rPr>
        <w:tab/>
      </w:r>
      <w:r>
        <w:rPr>
          <w:rFonts w:ascii="Arial" w:cs="Arial" w:eastAsia="Arial" w:hAnsi="Arial"/>
          <w:sz w:val="15"/>
          <w:szCs w:val="15"/>
          <w:b w:val="1"/>
          <w:bCs w:val="1"/>
          <w:color w:val="auto"/>
        </w:rPr>
        <w:t>Controls and Procedures</w:t>
      </w:r>
    </w:p>
    <w:p>
      <w:pPr>
        <w:spacing w:after="0" w:line="25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carried out an evaluation of the effectiveness of the design and operation of our disclosure controls and procedures (as defined in Exchange Act Rules 13a-15(e) and 15d-15(e)) as of June 30, 2010. This evaluation was carried out under the supervision and with the participation of our Chief Executive Officer and Chief Financial Officer, Mr. David Lester. Based upon that evaluation, our Chief Executive Officer and Chief Financial Officer concluded that, as of June 30, 2010, our disclosure controls and procedures are effective. There have been no significant changes in our internal controls over financial reporting during the quarter ended June 30, 2010 that have materially affected or are reasonably likely to materially affect such controls.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Disclosure controls and procedures are controls and other procedures that are designed to ensure that information required to be disclosed in our reports filed or submitted under the Exchange Act are recorded, processed, summarized and reported, within the time periods specified in the SEC's rules and forms. Disclosure controls and procedures include, without limitation,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Limitations on the Effectiveness of Internal Controls</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management does not expect that our disclosure controls and procedures or our internal control over financial reporting will necessarily prevent all fraud and material error. An internal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 eakdowns can occur because of simple error or mistake. Additionally, controls can be circumvented by the individual acts of some persons, by collusion of two or more people, or by management override of the internal control. The design of any system of controls also is based in part upon certain assumptions about the likelihood of future events, and there can be no assurance that any design will succeed in achieving its stated goals under all potential future conditions. Over time, control may become inadequate because of changes in conditions, or the degree of compliance with the policies or procedures may deteriorate.</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not a party to any pending legal proceeding. We are not aware of any pending legal proceeding to which any of our officers, directors, or any beneficial holders of 5% or more of our voting securities are adverse to us or have a material interest adverse to 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smaller reporting company is not required to provide the information required by this Item.</w:t>
      </w:r>
    </w:p>
    <w:p>
      <w:pPr>
        <w:spacing w:after="0" w:line="24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During the current reporting period, we issued the following securities: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acquired from Mr. David Harrell the technical contributions and assignment of all exclusive rights to and for the Sample MD patent currently in process in exchange for 200,000 stock options valued at $404,762 and a payable of 300,000 shares of common stock to be granted at a later date. These shares were valued at the date of the assignment for $570,000 and have been recorded as a related party payable.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We also issued Mr. Harrell 24,000 shares of our common stock for services rendered as a member of the board of directors.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issued Mr. Terry Hamilton 24,000 shares of our common stock for services rendered as a member of the board of directors.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issued Mr. David Lester 18,000 shares of our common stock for services rendered as a member of the board of directors.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issued 37,000 shares of our common stock for services rendered.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issued 25,000 shares of our common stock upon the exercise of a warrant at a strike price of $0.35 per share.</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We issued Vicis Capital Master Fund 236,598 shares of our common stock as a dividend payment under the terms of our Series A Preferred Stock.</w:t>
      </w:r>
    </w:p>
    <w:p>
      <w:pPr>
        <w:spacing w:after="0" w:line="2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issued Vicis Capital Master Fund 15 shares of Series B Preferred Stock and a Warrant to purchase up to 3,000,000 shares of our common stock with an exercise price of $3.00 per share. The terms of the financing and features of the Series B Preferred Stock are set forth in our Current Report on Form 8-K filed with the Securities and Exchange Commission on June 11, 2010.</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issuances were deemed to be exempt under rule 506 of Regulation D and Section 4(2) of the Securities Act of 1933, as amended, since, among other things, the transactions did not involve a public offering, the investors were accredited investors and / or qualified institutional buyers, the investors had access to information about the Company and their investment, the investors took the securities for investment and not resale, and the Company took appropriate measures to restrict the transfer of the securities.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gridSpan w:val="4"/>
          </w:tcPr>
          <w:p>
            <w:pPr>
              <w:spacing w:after="0"/>
              <w:rPr>
                <w:sz w:val="20"/>
                <w:szCs w:val="20"/>
                <w:color w:val="auto"/>
              </w:rPr>
            </w:pPr>
            <w:r>
              <w:rPr>
                <w:rFonts w:ascii="Arial" w:cs="Arial" w:eastAsia="Arial" w:hAnsi="Arial"/>
                <w:sz w:val="18"/>
                <w:szCs w:val="18"/>
                <w:b w:val="1"/>
                <w:bCs w:val="1"/>
                <w:color w:val="auto"/>
              </w:rPr>
              <w:t>Item 3.</w:t>
            </w:r>
          </w:p>
        </w:tc>
        <w:tc>
          <w:tcPr>
            <w:tcW w:w="10620" w:type="dxa"/>
            <w:vAlign w:val="bottom"/>
            <w:gridSpan w:val="7"/>
          </w:tcPr>
          <w:p>
            <w:pPr>
              <w:ind w:left="60"/>
              <w:spacing w:after="0"/>
              <w:rPr>
                <w:sz w:val="20"/>
                <w:szCs w:val="20"/>
                <w:color w:val="auto"/>
              </w:rPr>
            </w:pPr>
            <w:r>
              <w:rPr>
                <w:rFonts w:ascii="Arial" w:cs="Arial" w:eastAsia="Arial" w:hAnsi="Arial"/>
                <w:sz w:val="18"/>
                <w:szCs w:val="18"/>
                <w:b w:val="1"/>
                <w:bCs w:val="1"/>
                <w:color w:val="auto"/>
              </w:rPr>
              <w:t>Defaults upon Senior Securities</w:t>
            </w:r>
          </w:p>
        </w:tc>
      </w:tr>
      <w:tr>
        <w:trPr>
          <w:trHeight w:val="459"/>
        </w:trPr>
        <w:tc>
          <w:tcPr>
            <w:tcW w:w="720" w:type="dxa"/>
            <w:vAlign w:val="bottom"/>
            <w:gridSpan w:val="4"/>
          </w:tcPr>
          <w:p>
            <w:pPr>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11340" w:type="dxa"/>
            <w:vAlign w:val="bottom"/>
            <w:gridSpan w:val="11"/>
          </w:tcPr>
          <w:p>
            <w:pPr>
              <w:spacing w:after="0"/>
              <w:rPr>
                <w:sz w:val="20"/>
                <w:szCs w:val="20"/>
                <w:color w:val="auto"/>
              </w:rPr>
            </w:pPr>
            <w:r>
              <w:rPr>
                <w:rFonts w:ascii="Arial" w:cs="Arial" w:eastAsia="Arial" w:hAnsi="Arial"/>
                <w:sz w:val="18"/>
                <w:szCs w:val="18"/>
                <w:b w:val="1"/>
                <w:bCs w:val="1"/>
                <w:color w:val="auto"/>
              </w:rPr>
              <w:t>Item 4.   Removed and Reserved</w:t>
            </w:r>
          </w:p>
        </w:tc>
      </w:tr>
      <w:tr>
        <w:trPr>
          <w:trHeight w:val="459"/>
        </w:trPr>
        <w:tc>
          <w:tcPr>
            <w:tcW w:w="720" w:type="dxa"/>
            <w:vAlign w:val="bottom"/>
            <w:gridSpan w:val="4"/>
          </w:tcPr>
          <w:p>
            <w:pPr>
              <w:spacing w:after="0"/>
              <w:rPr>
                <w:sz w:val="20"/>
                <w:szCs w:val="20"/>
                <w:color w:val="auto"/>
              </w:rPr>
            </w:pPr>
            <w:r>
              <w:rPr>
                <w:rFonts w:ascii="Arial" w:cs="Arial" w:eastAsia="Arial" w:hAnsi="Arial"/>
                <w:sz w:val="18"/>
                <w:szCs w:val="18"/>
                <w:b w:val="1"/>
                <w:bCs w:val="1"/>
                <w:color w:val="auto"/>
              </w:rPr>
              <w:t>Item 5.</w:t>
            </w:r>
          </w:p>
        </w:tc>
        <w:tc>
          <w:tcPr>
            <w:tcW w:w="10620" w:type="dxa"/>
            <w:vAlign w:val="bottom"/>
            <w:gridSpan w:val="7"/>
          </w:tcPr>
          <w:p>
            <w:pPr>
              <w:ind w:left="60"/>
              <w:spacing w:after="0"/>
              <w:rPr>
                <w:sz w:val="20"/>
                <w:szCs w:val="20"/>
                <w:color w:val="auto"/>
              </w:rPr>
            </w:pPr>
            <w:r>
              <w:rPr>
                <w:rFonts w:ascii="Arial" w:cs="Arial" w:eastAsia="Arial" w:hAnsi="Arial"/>
                <w:sz w:val="18"/>
                <w:szCs w:val="18"/>
                <w:b w:val="1"/>
                <w:bCs w:val="1"/>
                <w:color w:val="auto"/>
              </w:rPr>
              <w:t>Other Information</w:t>
            </w:r>
          </w:p>
        </w:tc>
      </w:tr>
      <w:tr>
        <w:trPr>
          <w:trHeight w:val="459"/>
        </w:trPr>
        <w:tc>
          <w:tcPr>
            <w:tcW w:w="720" w:type="dxa"/>
            <w:vAlign w:val="bottom"/>
            <w:gridSpan w:val="4"/>
          </w:tcPr>
          <w:p>
            <w:pPr>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720" w:type="dxa"/>
            <w:vAlign w:val="bottom"/>
            <w:gridSpan w:val="4"/>
          </w:tcPr>
          <w:p>
            <w:pPr>
              <w:spacing w:after="0"/>
              <w:rPr>
                <w:sz w:val="20"/>
                <w:szCs w:val="20"/>
                <w:color w:val="auto"/>
              </w:rPr>
            </w:pPr>
            <w:r>
              <w:rPr>
                <w:rFonts w:ascii="Arial" w:cs="Arial" w:eastAsia="Arial" w:hAnsi="Arial"/>
                <w:sz w:val="18"/>
                <w:szCs w:val="18"/>
                <w:b w:val="1"/>
                <w:bCs w:val="1"/>
                <w:color w:val="auto"/>
              </w:rPr>
              <w:t>Item 6.</w:t>
            </w:r>
          </w:p>
        </w:tc>
        <w:tc>
          <w:tcPr>
            <w:tcW w:w="10620" w:type="dxa"/>
            <w:vAlign w:val="bottom"/>
            <w:gridSpan w:val="7"/>
          </w:tcPr>
          <w:p>
            <w:pPr>
              <w:ind w:left="100"/>
              <w:spacing w:after="0"/>
              <w:rPr>
                <w:sz w:val="20"/>
                <w:szCs w:val="20"/>
                <w:color w:val="auto"/>
              </w:rPr>
            </w:pPr>
            <w:r>
              <w:rPr>
                <w:rFonts w:ascii="Arial" w:cs="Arial" w:eastAsia="Arial" w:hAnsi="Arial"/>
                <w:sz w:val="18"/>
                <w:szCs w:val="18"/>
                <w:b w:val="1"/>
                <w:bCs w:val="1"/>
                <w:color w:val="auto"/>
              </w:rPr>
              <w:t>Exhibits</w:t>
            </w:r>
          </w:p>
        </w:tc>
      </w:tr>
      <w:tr>
        <w:trPr>
          <w:trHeight w:val="419"/>
        </w:trPr>
        <w:tc>
          <w:tcPr>
            <w:tcW w:w="580" w:type="dxa"/>
            <w:vAlign w:val="bottom"/>
            <w:gridSpan w:val="2"/>
          </w:tcPr>
          <w:p>
            <w:pPr>
              <w:spacing w:after="0"/>
              <w:rPr>
                <w:sz w:val="20"/>
                <w:szCs w:val="20"/>
                <w:color w:val="auto"/>
              </w:rPr>
            </w:pPr>
            <w:r>
              <w:rPr>
                <w:rFonts w:ascii="Arial" w:cs="Arial" w:eastAsia="Arial" w:hAnsi="Arial"/>
                <w:sz w:val="18"/>
                <w:szCs w:val="18"/>
                <w:b w:val="1"/>
                <w:bCs w:val="1"/>
                <w:color w:val="auto"/>
                <w:w w:val="93"/>
              </w:rPr>
              <w:t>Exhibit</w:t>
            </w:r>
          </w:p>
        </w:tc>
        <w:tc>
          <w:tcPr>
            <w:tcW w:w="140" w:type="dxa"/>
            <w:vAlign w:val="bottom"/>
            <w:gridSpan w:val="2"/>
          </w:tcPr>
          <w:p>
            <w:pPr>
              <w:spacing w:after="0"/>
              <w:rPr>
                <w:sz w:val="24"/>
                <w:szCs w:val="24"/>
                <w:color w:val="auto"/>
              </w:rPr>
            </w:pPr>
          </w:p>
        </w:tc>
        <w:tc>
          <w:tcPr>
            <w:tcW w:w="320" w:type="dxa"/>
            <w:vAlign w:val="bottom"/>
          </w:tcPr>
          <w:p>
            <w:pPr>
              <w:spacing w:after="0"/>
              <w:rPr>
                <w:sz w:val="24"/>
                <w:szCs w:val="24"/>
                <w:color w:val="auto"/>
              </w:rPr>
            </w:pPr>
          </w:p>
        </w:tc>
        <w:tc>
          <w:tcPr>
            <w:tcW w:w="10300" w:type="dxa"/>
            <w:vAlign w:val="bottom"/>
            <w:gridSpan w:val="6"/>
          </w:tcPr>
          <w:p>
            <w:pPr>
              <w:spacing w:after="0"/>
              <w:rPr>
                <w:sz w:val="20"/>
                <w:szCs w:val="20"/>
                <w:color w:val="auto"/>
              </w:rPr>
            </w:pPr>
            <w:r>
              <w:rPr>
                <w:rFonts w:ascii="Arial" w:cs="Arial" w:eastAsia="Arial" w:hAnsi="Arial"/>
                <w:sz w:val="18"/>
                <w:szCs w:val="18"/>
                <w:b w:val="1"/>
                <w:bCs w:val="1"/>
                <w:color w:val="auto"/>
              </w:rPr>
              <w:t>Description of Exhibit</w:t>
            </w:r>
          </w:p>
        </w:tc>
      </w:tr>
      <w:tr>
        <w:trPr>
          <w:trHeight w:val="20"/>
        </w:trPr>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720" w:type="dxa"/>
            <w:vAlign w:val="bottom"/>
            <w:gridSpan w:val="4"/>
          </w:tcPr>
          <w:p>
            <w:pPr>
              <w:spacing w:after="0" w:line="196" w:lineRule="exact"/>
              <w:rPr>
                <w:sz w:val="20"/>
                <w:szCs w:val="20"/>
                <w:color w:val="auto"/>
              </w:rPr>
            </w:pPr>
            <w:r>
              <w:rPr>
                <w:rFonts w:ascii="Arial" w:cs="Arial" w:eastAsia="Arial" w:hAnsi="Arial"/>
                <w:sz w:val="18"/>
                <w:szCs w:val="18"/>
                <w:b w:val="1"/>
                <w:bCs w:val="1"/>
                <w:color w:val="auto"/>
              </w:rPr>
              <w:t>Number</w:t>
            </w: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58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1</w:t>
            </w:r>
          </w:p>
        </w:tc>
        <w:tc>
          <w:tcPr>
            <w:tcW w:w="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300" w:type="dxa"/>
            <w:vAlign w:val="bottom"/>
            <w:gridSpan w:val="6"/>
          </w:tcPr>
          <w:p>
            <w:pPr>
              <w:spacing w:after="0" w:line="196" w:lineRule="exact"/>
              <w:rPr>
                <w:sz w:val="20"/>
                <w:szCs w:val="20"/>
                <w:color w:val="auto"/>
              </w:rPr>
            </w:pPr>
            <w:r>
              <w:rPr>
                <w:rFonts w:ascii="Arial" w:cs="Arial" w:eastAsia="Arial" w:hAnsi="Arial"/>
                <w:sz w:val="18"/>
                <w:szCs w:val="18"/>
                <w:color w:val="0000EE"/>
                <w:w w:val="91"/>
              </w:rPr>
              <w:t>Certification of Chief Executive Officer pursuant to 18 U.S.C. Section 1350, as adopted pursuant to Section 302 of the Sarbanes-Oxley Act of</w:t>
            </w:r>
          </w:p>
        </w:tc>
      </w:tr>
      <w:tr>
        <w:trPr>
          <w:trHeight w:val="196"/>
        </w:trPr>
        <w:tc>
          <w:tcPr>
            <w:tcW w:w="32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84"/>
              </w:rPr>
              <w:t>2002</w:t>
            </w:r>
          </w:p>
        </w:tc>
        <w:tc>
          <w:tcPr>
            <w:tcW w:w="134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78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580" w:type="dxa"/>
            <w:vAlign w:val="bottom"/>
            <w:gridSpan w:val="2"/>
          </w:tcPr>
          <w:p>
            <w:pPr>
              <w:spacing w:after="0" w:line="196" w:lineRule="exact"/>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2</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300" w:type="dxa"/>
            <w:vAlign w:val="bottom"/>
            <w:gridSpan w:val="6"/>
          </w:tcPr>
          <w:p>
            <w:pPr>
              <w:spacing w:after="0" w:line="196" w:lineRule="exact"/>
              <w:rPr>
                <w:sz w:val="20"/>
                <w:szCs w:val="20"/>
                <w:color w:val="auto"/>
              </w:rPr>
            </w:pPr>
            <w:r>
              <w:rPr>
                <w:rFonts w:ascii="Arial" w:cs="Arial" w:eastAsia="Arial" w:hAnsi="Arial"/>
                <w:sz w:val="18"/>
                <w:szCs w:val="18"/>
                <w:color w:val="0000EE"/>
                <w:w w:val="92"/>
              </w:rPr>
              <w:t>Certification of Chief Financial Officer pursuant to 18 U.S.C. Section 1350, as adopted pursuant to Section 302 of the Sarbanes-Oxley Act of</w:t>
            </w:r>
          </w:p>
        </w:tc>
      </w:tr>
      <w:tr>
        <w:trPr>
          <w:trHeight w:val="196"/>
        </w:trPr>
        <w:tc>
          <w:tcPr>
            <w:tcW w:w="32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84"/>
              </w:rPr>
              <w:t>2002</w:t>
            </w:r>
          </w:p>
        </w:tc>
        <w:tc>
          <w:tcPr>
            <w:tcW w:w="134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78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580" w:type="dxa"/>
            <w:vAlign w:val="bottom"/>
            <w:gridSpan w:val="2"/>
          </w:tcPr>
          <w:p>
            <w:pPr>
              <w:spacing w:after="0" w:line="196" w:lineRule="exact"/>
              <w:rPr>
                <w:sz w:val="20"/>
                <w:szCs w:val="20"/>
                <w:color w:val="auto"/>
              </w:rPr>
            </w:pPr>
            <w:r>
              <w:rPr>
                <w:rFonts w:ascii="Arial" w:cs="Arial" w:eastAsia="Arial" w:hAnsi="Arial"/>
                <w:sz w:val="18"/>
                <w:szCs w:val="18"/>
                <w:color w:val="0000EE"/>
              </w:rPr>
              <w:t>32.</w:t>
            </w:r>
            <w:r>
              <w:rPr>
                <w:rFonts w:ascii="Arial" w:cs="Arial" w:eastAsia="Arial" w:hAnsi="Arial"/>
                <w:sz w:val="18"/>
                <w:szCs w:val="18"/>
                <w:u w:val="single" w:color="auto"/>
                <w:color w:val="0000EE"/>
              </w:rPr>
              <w:t>1</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300" w:type="dxa"/>
            <w:vAlign w:val="bottom"/>
            <w:gridSpan w:val="6"/>
          </w:tcPr>
          <w:p>
            <w:pPr>
              <w:spacing w:after="0" w:line="196" w:lineRule="exact"/>
              <w:rPr>
                <w:sz w:val="20"/>
                <w:szCs w:val="20"/>
                <w:color w:val="auto"/>
              </w:rPr>
            </w:pPr>
            <w:r>
              <w:rPr>
                <w:rFonts w:ascii="Arial" w:cs="Arial" w:eastAsia="Arial" w:hAnsi="Arial"/>
                <w:sz w:val="18"/>
                <w:szCs w:val="18"/>
                <w:color w:val="0000EE"/>
                <w:w w:val="91"/>
              </w:rPr>
              <w:t>Certification of Chief Executive Officer and Chief Financial Officer pursuant to 18 U.S.C. Section 1350, as adopted pursuant to Section 906 of</w:t>
            </w:r>
          </w:p>
        </w:tc>
      </w:tr>
      <w:tr>
        <w:trPr>
          <w:trHeight w:val="196"/>
        </w:trPr>
        <w:tc>
          <w:tcPr>
            <w:tcW w:w="32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30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rPr>
              <w:t>the Sarbanes-Oxley Act of 2002</w:t>
            </w:r>
          </w:p>
        </w:tc>
      </w:tr>
      <w:tr>
        <w:trPr>
          <w:trHeight w:val="20"/>
        </w:trPr>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the requirements of the Securities and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5600" w:type="dxa"/>
            <w:vAlign w:val="bottom"/>
            <w:gridSpan w:val="4"/>
          </w:tcPr>
          <w:p>
            <w:pPr>
              <w:ind w:left="320"/>
              <w:spacing w:after="0"/>
              <w:rPr>
                <w:sz w:val="20"/>
                <w:szCs w:val="20"/>
                <w:color w:val="auto"/>
              </w:rPr>
            </w:pPr>
            <w:r>
              <w:rPr>
                <w:rFonts w:ascii="Arial" w:cs="Arial" w:eastAsia="Arial" w:hAnsi="Arial"/>
                <w:sz w:val="18"/>
                <w:szCs w:val="18"/>
                <w:b w:val="1"/>
                <w:bCs w:val="1"/>
                <w:color w:val="auto"/>
              </w:rPr>
              <w:t>OptimizeRx Corporation</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5600" w:type="dxa"/>
            <w:vAlign w:val="bottom"/>
            <w:gridSpan w:val="4"/>
          </w:tcPr>
          <w:p>
            <w:pPr>
              <w:ind w:left="320"/>
              <w:spacing w:after="0"/>
              <w:rPr>
                <w:sz w:val="20"/>
                <w:szCs w:val="20"/>
                <w:color w:val="auto"/>
              </w:rPr>
            </w:pPr>
            <w:r>
              <w:rPr>
                <w:rFonts w:ascii="Arial" w:cs="Arial" w:eastAsia="Arial" w:hAnsi="Arial"/>
                <w:sz w:val="18"/>
                <w:szCs w:val="18"/>
                <w:color w:val="auto"/>
              </w:rPr>
              <w:t>August 16, 2010</w:t>
            </w:r>
          </w:p>
        </w:tc>
      </w:tr>
      <w:tr>
        <w:trPr>
          <w:trHeight w:val="392"/>
        </w:trPr>
        <w:tc>
          <w:tcPr>
            <w:tcW w:w="700" w:type="dxa"/>
            <w:vAlign w:val="bottom"/>
          </w:tcPr>
          <w:p>
            <w:pPr>
              <w:spacing w:after="0"/>
              <w:rPr>
                <w:sz w:val="24"/>
                <w:szCs w:val="24"/>
                <w:color w:val="auto"/>
              </w:rPr>
            </w:pPr>
          </w:p>
        </w:tc>
        <w:tc>
          <w:tcPr>
            <w:tcW w:w="800" w:type="dxa"/>
            <w:vAlign w:val="bottom"/>
          </w:tcPr>
          <w:p>
            <w:pPr>
              <w:ind w:left="320"/>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/s/ David Lester</w:t>
            </w:r>
          </w:p>
        </w:tc>
      </w:tr>
      <w:tr>
        <w:trPr>
          <w:trHeight w:val="218"/>
        </w:trPr>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David Lester</w:t>
            </w:r>
          </w:p>
        </w:tc>
        <w:tc>
          <w:tcPr>
            <w:tcW w:w="3560" w:type="dxa"/>
            <w:vAlign w:val="bottom"/>
          </w:tcPr>
          <w:p>
            <w:pPr>
              <w:spacing w:after="0"/>
              <w:rPr>
                <w:sz w:val="18"/>
                <w:szCs w:val="18"/>
                <w:color w:val="auto"/>
              </w:rPr>
            </w:pPr>
          </w:p>
        </w:tc>
      </w:tr>
      <w:tr>
        <w:trPr>
          <w:trHeight w:val="234"/>
        </w:trPr>
        <w:tc>
          <w:tcPr>
            <w:tcW w:w="700" w:type="dxa"/>
            <w:vAlign w:val="bottom"/>
          </w:tcPr>
          <w:p>
            <w:pPr>
              <w:spacing w:after="0"/>
              <w:rPr>
                <w:sz w:val="20"/>
                <w:szCs w:val="20"/>
                <w:color w:val="auto"/>
              </w:rPr>
            </w:pPr>
          </w:p>
        </w:tc>
        <w:tc>
          <w:tcPr>
            <w:tcW w:w="800" w:type="dxa"/>
            <w:vAlign w:val="bottom"/>
          </w:tcPr>
          <w:p>
            <w:pPr>
              <w:ind w:left="320"/>
              <w:spacing w:after="0"/>
              <w:rPr>
                <w:sz w:val="20"/>
                <w:szCs w:val="20"/>
                <w:color w:val="auto"/>
              </w:rPr>
            </w:pPr>
            <w:r>
              <w:rPr>
                <w:rFonts w:ascii="Arial" w:cs="Arial" w:eastAsia="Arial" w:hAnsi="Arial"/>
                <w:sz w:val="18"/>
                <w:szCs w:val="18"/>
                <w:color w:val="auto"/>
              </w:rPr>
              <w:t>Title:</w:t>
            </w:r>
          </w:p>
        </w:tc>
        <w:tc>
          <w:tcPr>
            <w:tcW w:w="4800" w:type="dxa"/>
            <w:vAlign w:val="bottom"/>
            <w:gridSpan w:val="3"/>
          </w:tcPr>
          <w:p>
            <w:pPr>
              <w:ind w:left="80"/>
              <w:spacing w:after="0"/>
              <w:rPr>
                <w:sz w:val="20"/>
                <w:szCs w:val="20"/>
                <w:color w:val="auto"/>
              </w:rPr>
            </w:pPr>
            <w:r>
              <w:rPr>
                <w:rFonts w:ascii="Arial" w:cs="Arial" w:eastAsia="Arial" w:hAnsi="Arial"/>
                <w:sz w:val="18"/>
                <w:szCs w:val="18"/>
                <w:b w:val="1"/>
                <w:bCs w:val="1"/>
                <w:color w:val="auto"/>
                <w:w w:val="91"/>
              </w:rPr>
              <w:t>Chief Executive Officer, Chief Financial Officer, and Director</w:t>
            </w:r>
          </w:p>
        </w:tc>
      </w:tr>
    </w:tbl>
    <w:p>
      <w:pPr>
        <w:sectPr>
          <w:pgSz w:w="11900" w:h="16838" w:orient="portrait"/>
          <w:cols w:equalWidth="0" w:num="1">
            <w:col w:w="11400"/>
          </w:cols>
          <w:pgMar w:left="240" w:top="121" w:right="25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I, H. David Lester, certify that;</w:t>
      </w:r>
    </w:p>
    <w:p>
      <w:pPr>
        <w:spacing w:after="0" w:line="252" w:lineRule="exact"/>
        <w:rPr>
          <w:sz w:val="20"/>
          <w:szCs w:val="20"/>
          <w:color w:val="auto"/>
        </w:rPr>
      </w:pPr>
    </w:p>
    <w:p>
      <w:pPr>
        <w:ind w:left="500" w:hanging="231"/>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2010 of OPTIMIZERx Corp (the “registrant”);</w:t>
      </w:r>
    </w:p>
    <w:p>
      <w:pPr>
        <w:spacing w:after="0" w:line="252" w:lineRule="exact"/>
        <w:rPr>
          <w:rFonts w:ascii="Arial" w:cs="Arial" w:eastAsia="Arial" w:hAnsi="Arial"/>
          <w:sz w:val="18"/>
          <w:szCs w:val="18"/>
          <w:color w:val="auto"/>
        </w:rPr>
      </w:pPr>
    </w:p>
    <w:p>
      <w:pPr>
        <w:jc w:val="both"/>
        <w:ind w:left="500" w:hanging="231"/>
        <w:spacing w:after="0" w:line="264"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500" w:hanging="231"/>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500" w:hanging="231"/>
        <w:spacing w:after="0" w:line="264"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1300" w:hanging="210"/>
        <w:spacing w:after="0" w:line="264" w:lineRule="auto"/>
        <w:tabs>
          <w:tab w:leader="none" w:pos="1300" w:val="left"/>
        </w:tabs>
        <w:numPr>
          <w:ilvl w:val="2"/>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1300" w:hanging="220"/>
        <w:spacing w:after="0" w:line="264" w:lineRule="auto"/>
        <w:tabs>
          <w:tab w:leader="none" w:pos="1300" w:val="left"/>
        </w:tabs>
        <w:numPr>
          <w:ilvl w:val="2"/>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hanging="210"/>
        <w:spacing w:after="0" w:line="342" w:lineRule="auto"/>
        <w:tabs>
          <w:tab w:leader="none" w:pos="1300" w:val="left"/>
        </w:tabs>
        <w:numPr>
          <w:ilvl w:val="2"/>
          <w:numId w:val="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220"/>
        <w:spacing w:after="0" w:line="264" w:lineRule="auto"/>
        <w:tabs>
          <w:tab w:leader="none" w:pos="1300" w:val="left"/>
        </w:tabs>
        <w:numPr>
          <w:ilvl w:val="2"/>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8" w:lineRule="exact"/>
        <w:rPr>
          <w:rFonts w:ascii="Arial" w:cs="Arial" w:eastAsia="Arial" w:hAnsi="Arial"/>
          <w:sz w:val="18"/>
          <w:szCs w:val="18"/>
          <w:color w:val="auto"/>
        </w:rPr>
      </w:pPr>
    </w:p>
    <w:p>
      <w:pPr>
        <w:ind w:left="660" w:hanging="229"/>
        <w:spacing w:after="0" w:line="308" w:lineRule="auto"/>
        <w:tabs>
          <w:tab w:leader="none" w:pos="660" w:val="left"/>
        </w:tabs>
        <w:numPr>
          <w:ilvl w:val="1"/>
          <w:numId w:val="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hanging="210"/>
        <w:spacing w:after="0" w:line="274" w:lineRule="auto"/>
        <w:tabs>
          <w:tab w:leader="none" w:pos="1300" w:val="left"/>
        </w:tabs>
        <w:numPr>
          <w:ilvl w:val="2"/>
          <w:numId w:val="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220"/>
        <w:spacing w:after="0" w:line="261" w:lineRule="auto"/>
        <w:tabs>
          <w:tab w:leader="none" w:pos="1300" w:val="left"/>
        </w:tabs>
        <w:numPr>
          <w:ilvl w:val="2"/>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16,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285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H. David Lester</w:t>
      </w:r>
    </w:p>
    <w:p>
      <w:pPr>
        <w:spacing w:after="0" w:line="2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H. David Lester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121"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I, H. David Lester, certify that;</w:t>
      </w:r>
    </w:p>
    <w:p>
      <w:pPr>
        <w:spacing w:after="0" w:line="252" w:lineRule="exact"/>
        <w:rPr>
          <w:sz w:val="20"/>
          <w:szCs w:val="20"/>
          <w:color w:val="auto"/>
        </w:rPr>
      </w:pPr>
    </w:p>
    <w:p>
      <w:pPr>
        <w:ind w:left="500" w:hanging="231"/>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2010 of OPTIMIZERx Corp (the “registrant”);</w:t>
      </w:r>
    </w:p>
    <w:p>
      <w:pPr>
        <w:spacing w:after="0" w:line="252" w:lineRule="exact"/>
        <w:rPr>
          <w:rFonts w:ascii="Arial" w:cs="Arial" w:eastAsia="Arial" w:hAnsi="Arial"/>
          <w:sz w:val="18"/>
          <w:szCs w:val="18"/>
          <w:color w:val="auto"/>
        </w:rPr>
      </w:pPr>
    </w:p>
    <w:p>
      <w:pPr>
        <w:jc w:val="both"/>
        <w:ind w:left="500" w:hanging="231"/>
        <w:spacing w:after="0" w:line="264"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500" w:hanging="231"/>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500" w:hanging="231"/>
        <w:spacing w:after="0" w:line="264"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1300" w:hanging="210"/>
        <w:spacing w:after="0" w:line="264" w:lineRule="auto"/>
        <w:tabs>
          <w:tab w:leader="none" w:pos="1300" w:val="left"/>
        </w:tabs>
        <w:numPr>
          <w:ilvl w:val="2"/>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1300" w:hanging="220"/>
        <w:spacing w:after="0" w:line="264" w:lineRule="auto"/>
        <w:tabs>
          <w:tab w:leader="none" w:pos="1300" w:val="left"/>
        </w:tabs>
        <w:numPr>
          <w:ilvl w:val="2"/>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hanging="210"/>
        <w:spacing w:after="0" w:line="342" w:lineRule="auto"/>
        <w:tabs>
          <w:tab w:leader="none" w:pos="1300" w:val="left"/>
        </w:tabs>
        <w:numPr>
          <w:ilvl w:val="2"/>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220"/>
        <w:spacing w:after="0" w:line="264" w:lineRule="auto"/>
        <w:tabs>
          <w:tab w:leader="none" w:pos="1300" w:val="left"/>
        </w:tabs>
        <w:numPr>
          <w:ilvl w:val="2"/>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8" w:lineRule="exact"/>
        <w:rPr>
          <w:rFonts w:ascii="Arial" w:cs="Arial" w:eastAsia="Arial" w:hAnsi="Arial"/>
          <w:sz w:val="18"/>
          <w:szCs w:val="18"/>
          <w:color w:val="auto"/>
        </w:rPr>
      </w:pPr>
    </w:p>
    <w:p>
      <w:pPr>
        <w:ind w:left="660" w:hanging="229"/>
        <w:spacing w:after="0" w:line="308" w:lineRule="auto"/>
        <w:tabs>
          <w:tab w:leader="none" w:pos="660" w:val="left"/>
        </w:tabs>
        <w:numPr>
          <w:ilvl w:val="1"/>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hanging="210"/>
        <w:spacing w:after="0" w:line="274" w:lineRule="auto"/>
        <w:tabs>
          <w:tab w:leader="none" w:pos="1300" w:val="left"/>
        </w:tabs>
        <w:numPr>
          <w:ilvl w:val="2"/>
          <w:numId w:val="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220"/>
        <w:spacing w:after="0" w:line="261" w:lineRule="auto"/>
        <w:tabs>
          <w:tab w:leader="none" w:pos="1300" w:val="left"/>
        </w:tabs>
        <w:numPr>
          <w:ilvl w:val="2"/>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16,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285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H. David Lester</w:t>
      </w:r>
    </w:p>
    <w:p>
      <w:pPr>
        <w:spacing w:after="0" w:line="2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H. David Lester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121" w:right="2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color w:val="auto"/>
        </w:rPr>
        <w:t>CERTIFICATION OF CHIEF EXECUTIVE OFFICER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connection with the quarterly Report of OPTIMIZERx Corp (the “Company”) on Form 10-Q for the quarter ended June 30, 2010 filed with the Securities and Exchange Commission (the “Report”), I, H. David Lester, Chief Executive Officer of the Company, certify, pursuant to 18 U.S.C. Section 1350, as adopted pursuant to Section 906 of the Sarbanes-Oxley Act of 2002, that:</w:t>
      </w:r>
    </w:p>
    <w:p>
      <w:pPr>
        <w:spacing w:after="0" w:line="208" w:lineRule="exact"/>
        <w:rPr>
          <w:sz w:val="20"/>
          <w:szCs w:val="20"/>
          <w:color w:val="auto"/>
        </w:rPr>
      </w:pPr>
    </w:p>
    <w:p>
      <w:pPr>
        <w:ind w:left="500" w:hanging="231"/>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52" w:lineRule="exact"/>
        <w:rPr>
          <w:rFonts w:ascii="Arial" w:cs="Arial" w:eastAsia="Arial" w:hAnsi="Arial"/>
          <w:sz w:val="18"/>
          <w:szCs w:val="18"/>
          <w:color w:val="auto"/>
        </w:rPr>
      </w:pPr>
    </w:p>
    <w:p>
      <w:pPr>
        <w:ind w:left="500" w:hanging="231"/>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of the Company as of the dates presented and the consolidated result of operations of the Company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20" w:type="dxa"/>
            <w:vAlign w:val="bottom"/>
          </w:tcPr>
          <w:p>
            <w:pPr>
              <w:ind w:left="6860"/>
              <w:spacing w:after="0"/>
              <w:rPr>
                <w:sz w:val="20"/>
                <w:szCs w:val="20"/>
                <w:color w:val="auto"/>
              </w:rPr>
            </w:pPr>
            <w:r>
              <w:rPr>
                <w:rFonts w:ascii="Arial" w:cs="Arial" w:eastAsia="Arial" w:hAnsi="Arial"/>
                <w:sz w:val="18"/>
                <w:szCs w:val="18"/>
                <w:color w:val="auto"/>
              </w:rPr>
              <w:t>By:</w:t>
            </w:r>
          </w:p>
        </w:tc>
        <w:tc>
          <w:tcPr>
            <w:tcW w:w="2880" w:type="dxa"/>
            <w:vAlign w:val="bottom"/>
            <w:gridSpan w:val="2"/>
          </w:tcPr>
          <w:p>
            <w:pPr>
              <w:spacing w:after="0"/>
              <w:rPr>
                <w:sz w:val="20"/>
                <w:szCs w:val="20"/>
                <w:color w:val="auto"/>
              </w:rPr>
            </w:pPr>
            <w:r>
              <w:rPr>
                <w:rFonts w:ascii="Arial" w:cs="Arial" w:eastAsia="Arial" w:hAnsi="Arial"/>
                <w:sz w:val="18"/>
                <w:szCs w:val="18"/>
                <w:color w:val="auto"/>
              </w:rPr>
              <w:t>/s/ H. David Lester</w:t>
            </w:r>
          </w:p>
        </w:tc>
      </w:tr>
      <w:tr>
        <w:trPr>
          <w:trHeight w:val="453"/>
        </w:trPr>
        <w:tc>
          <w:tcPr>
            <w:tcW w:w="8520" w:type="dxa"/>
            <w:vAlign w:val="bottom"/>
          </w:tcPr>
          <w:p>
            <w:pPr>
              <w:ind w:left="6860"/>
              <w:spacing w:after="0"/>
              <w:rPr>
                <w:sz w:val="20"/>
                <w:szCs w:val="20"/>
                <w:color w:val="auto"/>
              </w:rPr>
            </w:pPr>
            <w:r>
              <w:rPr>
                <w:rFonts w:ascii="Arial" w:cs="Arial" w:eastAsia="Arial" w:hAnsi="Arial"/>
                <w:sz w:val="18"/>
                <w:szCs w:val="18"/>
                <w:color w:val="auto"/>
              </w:rPr>
              <w:t>Name:</w:t>
            </w:r>
          </w:p>
        </w:tc>
        <w:tc>
          <w:tcPr>
            <w:tcW w:w="1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H. David Lester</w:t>
            </w:r>
          </w:p>
        </w:tc>
        <w:tc>
          <w:tcPr>
            <w:tcW w:w="1520" w:type="dxa"/>
            <w:vAlign w:val="bottom"/>
          </w:tcPr>
          <w:p>
            <w:pPr>
              <w:spacing w:after="0"/>
              <w:rPr>
                <w:sz w:val="24"/>
                <w:szCs w:val="24"/>
                <w:color w:val="auto"/>
              </w:rPr>
            </w:pPr>
          </w:p>
        </w:tc>
      </w:tr>
      <w:tr>
        <w:trPr>
          <w:trHeight w:val="418"/>
        </w:trPr>
        <w:tc>
          <w:tcPr>
            <w:tcW w:w="8520" w:type="dxa"/>
            <w:vAlign w:val="bottom"/>
          </w:tcPr>
          <w:p>
            <w:pPr>
              <w:ind w:left="6860"/>
              <w:spacing w:after="0"/>
              <w:rPr>
                <w:sz w:val="20"/>
                <w:szCs w:val="20"/>
                <w:color w:val="auto"/>
              </w:rPr>
            </w:pPr>
            <w:r>
              <w:rPr>
                <w:rFonts w:ascii="Arial" w:cs="Arial" w:eastAsia="Arial" w:hAnsi="Arial"/>
                <w:sz w:val="18"/>
                <w:szCs w:val="18"/>
                <w:color w:val="auto"/>
              </w:rPr>
              <w:t>Title:</w:t>
            </w:r>
          </w:p>
        </w:tc>
        <w:tc>
          <w:tcPr>
            <w:tcW w:w="288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r>
        <w:trPr>
          <w:trHeight w:val="230"/>
        </w:trPr>
        <w:tc>
          <w:tcPr>
            <w:tcW w:w="8520" w:type="dxa"/>
            <w:vAlign w:val="bottom"/>
          </w:tcPr>
          <w:p>
            <w:pPr>
              <w:spacing w:after="0"/>
              <w:rPr>
                <w:sz w:val="20"/>
                <w:szCs w:val="20"/>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w w:val="93"/>
              </w:rPr>
              <w:t>Principal Financial Officer and Director</w:t>
            </w:r>
          </w:p>
        </w:tc>
      </w:tr>
      <w:tr>
        <w:trPr>
          <w:trHeight w:val="432"/>
        </w:trPr>
        <w:tc>
          <w:tcPr>
            <w:tcW w:w="8520" w:type="dxa"/>
            <w:vAlign w:val="bottom"/>
          </w:tcPr>
          <w:p>
            <w:pPr>
              <w:ind w:left="6860"/>
              <w:spacing w:after="0"/>
              <w:rPr>
                <w:sz w:val="20"/>
                <w:szCs w:val="20"/>
                <w:color w:val="auto"/>
              </w:rPr>
            </w:pPr>
            <w:r>
              <w:rPr>
                <w:rFonts w:ascii="Arial" w:cs="Arial" w:eastAsia="Arial" w:hAnsi="Arial"/>
                <w:sz w:val="18"/>
                <w:szCs w:val="18"/>
                <w:color w:val="auto"/>
              </w:rPr>
              <w:t>Date:</w:t>
            </w:r>
          </w:p>
        </w:tc>
        <w:tc>
          <w:tcPr>
            <w:tcW w:w="2880" w:type="dxa"/>
            <w:vAlign w:val="bottom"/>
            <w:gridSpan w:val="2"/>
          </w:tcPr>
          <w:p>
            <w:pPr>
              <w:spacing w:after="0"/>
              <w:rPr>
                <w:sz w:val="20"/>
                <w:szCs w:val="20"/>
                <w:color w:val="auto"/>
              </w:rPr>
            </w:pPr>
            <w:r>
              <w:rPr>
                <w:rFonts w:ascii="Arial" w:cs="Arial" w:eastAsia="Arial" w:hAnsi="Arial"/>
                <w:sz w:val="18"/>
                <w:szCs w:val="18"/>
                <w:color w:val="auto"/>
              </w:rPr>
              <w:t>August 16, 2010</w:t>
            </w:r>
          </w:p>
        </w:tc>
      </w:tr>
      <w:tr>
        <w:trPr>
          <w:trHeight w:val="459"/>
        </w:trPr>
        <w:tc>
          <w:tcPr>
            <w:tcW w:w="8520" w:type="dxa"/>
            <w:vAlign w:val="bottom"/>
          </w:tcPr>
          <w:p>
            <w:pPr>
              <w:spacing w:after="0"/>
              <w:rPr>
                <w:sz w:val="20"/>
                <w:szCs w:val="20"/>
                <w:color w:val="auto"/>
              </w:rPr>
            </w:pPr>
            <w:r>
              <w:rPr>
                <w:rFonts w:ascii="Arial" w:cs="Arial" w:eastAsia="Arial" w:hAnsi="Arial"/>
                <w:sz w:val="18"/>
                <w:szCs w:val="18"/>
                <w:color w:val="auto"/>
              </w:rPr>
              <w:t>This certification has been furnished solely pursuant to Section 906 of the Sarbanes-Oxley Act of 2002.</w:t>
            </w:r>
          </w:p>
        </w:tc>
        <w:tc>
          <w:tcPr>
            <w:tcW w:w="136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4"/>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Roman"/>
      <w:start w:val="4"/>
    </w:lvl>
  </w:abstractNum>
  <w:abstractNum w:abstractNumId="3">
    <w:nsid w:val="46E87CCD"/>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4">
    <w:nsid w:val="3D1B58BA"/>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2019-12-11T07:27:23Z</dcterms:created>
  <dcterms:modified xsi:type="dcterms:W3CDTF">2019-12-11T07:27:23Z</dcterms:modified>
</cp:coreProperties>
</file>