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jc w:val="center"/>
        <w:ind w:left="4080" w:right="1720" w:hanging="2352"/>
        <w:spacing w:after="0" w:line="484" w:lineRule="auto"/>
        <w:tabs>
          <w:tab w:leader="none" w:pos="1941"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ANNUAL REPORT UNDER SECTION 13 OR 15(d) OF THE SECURITIES EXCHANGE ACT OF 1934 For the fiscal year ended </w:t>
      </w:r>
      <w:r>
        <w:rPr>
          <w:rFonts w:ascii="Times New Roman" w:cs="Times New Roman" w:eastAsia="Times New Roman" w:hAnsi="Times New Roman"/>
          <w:sz w:val="18"/>
          <w:szCs w:val="18"/>
          <w:b w:val="1"/>
          <w:bCs w:val="1"/>
          <w:color w:val="auto"/>
        </w:rPr>
        <w:t>December 31, 2016</w:t>
      </w:r>
    </w:p>
    <w:p>
      <w:pPr>
        <w:spacing w:after="0" w:line="29" w:lineRule="exact"/>
        <w:rPr>
          <w:rFonts w:ascii="MS PGothic" w:cs="MS PGothic" w:eastAsia="MS PGothic" w:hAnsi="MS PGothic"/>
          <w:sz w:val="18"/>
          <w:szCs w:val="18"/>
          <w:color w:val="auto"/>
        </w:rPr>
      </w:pPr>
    </w:p>
    <w:p>
      <w:pPr>
        <w:jc w:val="center"/>
        <w:ind w:left="3740" w:right="1560" w:hanging="2172"/>
        <w:spacing w:after="0" w:line="498" w:lineRule="auto"/>
        <w:tabs>
          <w:tab w:leader="none" w:pos="177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UNDER SECTION 13 OR 15(d) OF THE SECURITIES EXCHANGE ACT OF 1934 For the transition period from _________ to ________</w:t>
      </w:r>
    </w:p>
    <w:p>
      <w:pPr>
        <w:spacing w:after="0" w:line="1"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000-53605</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560" w:type="dxa"/>
            <w:vAlign w:val="bottom"/>
          </w:tcPr>
          <w:p>
            <w:pPr>
              <w:spacing w:after="0"/>
              <w:rPr>
                <w:sz w:val="22"/>
                <w:szCs w:val="22"/>
                <w:color w:val="auto"/>
              </w:rPr>
            </w:pPr>
          </w:p>
        </w:tc>
        <w:tc>
          <w:tcPr>
            <w:tcW w:w="2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OptimizeRx Corporation</w:t>
            </w:r>
          </w:p>
        </w:tc>
        <w:tc>
          <w:tcPr>
            <w:tcW w:w="4540" w:type="dxa"/>
            <w:vAlign w:val="bottom"/>
          </w:tcPr>
          <w:p>
            <w:pPr>
              <w:spacing w:after="0"/>
              <w:rPr>
                <w:sz w:val="22"/>
                <w:szCs w:val="22"/>
                <w:color w:val="auto"/>
              </w:rPr>
            </w:pPr>
          </w:p>
        </w:tc>
      </w:tr>
      <w:tr>
        <w:trPr>
          <w:trHeight w:val="237"/>
        </w:trPr>
        <w:tc>
          <w:tcPr>
            <w:tcW w:w="114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26"/>
        </w:trPr>
        <w:tc>
          <w:tcPr>
            <w:tcW w:w="456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6860" w:type="dxa"/>
            <w:vAlign w:val="bottom"/>
            <w:gridSpan w:val="4"/>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4560" w:type="dxa"/>
            <w:vAlign w:val="bottom"/>
            <w:tcBorders>
              <w:top w:val="single" w:sz="8" w:color="auto"/>
            </w:tcBorders>
          </w:tcPr>
          <w:p>
            <w:pPr>
              <w:jc w:val="center"/>
              <w:ind w:left="93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540" w:type="dxa"/>
            <w:vAlign w:val="bottom"/>
            <w:tcBorders>
              <w:top w:val="single" w:sz="8" w:color="auto"/>
            </w:tcBorders>
          </w:tcPr>
          <w:p>
            <w:pPr>
              <w:jc w:val="center"/>
              <w:ind w:right="950"/>
              <w:spacing w:after="0" w:line="198"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96"/>
        </w:trPr>
        <w:tc>
          <w:tcPr>
            <w:tcW w:w="456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400 Water Street, Ste. 200</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45"/>
        </w:trPr>
        <w:tc>
          <w:tcPr>
            <w:tcW w:w="456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Rochester, MI</w:t>
            </w:r>
          </w:p>
        </w:tc>
        <w:tc>
          <w:tcPr>
            <w:tcW w:w="6860" w:type="dxa"/>
            <w:vAlign w:val="bottom"/>
            <w:gridSpan w:val="4"/>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48307</w:t>
            </w:r>
          </w:p>
        </w:tc>
      </w:tr>
      <w:tr>
        <w:trPr>
          <w:trHeight w:val="234"/>
        </w:trPr>
        <w:tc>
          <w:tcPr>
            <w:tcW w:w="4560" w:type="dxa"/>
            <w:vAlign w:val="bottom"/>
            <w:tcBorders>
              <w:top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540" w:type="dxa"/>
            <w:vAlign w:val="bottom"/>
            <w:tcBorders>
              <w:top w:val="single" w:sz="8" w:color="auto"/>
            </w:tcBorders>
          </w:tcPr>
          <w:p>
            <w:pPr>
              <w:jc w:val="center"/>
              <w:ind w:right="9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w:t>
      </w:r>
      <w:r>
        <w:rPr>
          <w:rFonts w:ascii="Times New Roman" w:cs="Times New Roman" w:eastAsia="Times New Roman" w:hAnsi="Times New Roman"/>
          <w:sz w:val="18"/>
          <w:szCs w:val="18"/>
          <w:b w:val="1"/>
          <w:bCs w:val="1"/>
          <w:u w:val="single" w:color="auto"/>
          <w:color w:val="auto"/>
        </w:rPr>
        <w:t>248-651-6568</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under Section 12(b) of the Exchange Act:</w:t>
            </w:r>
          </w:p>
        </w:tc>
        <w:tc>
          <w:tcPr>
            <w:tcW w:w="56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5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8"/>
        </w:trPr>
        <w:tc>
          <w:tcPr>
            <w:tcW w:w="2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 applicable</w:t>
            </w:r>
          </w:p>
        </w:tc>
      </w:tr>
      <w:tr>
        <w:trPr>
          <w:trHeight w:val="437"/>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under Section 12(g) of the Exchange Act:</w:t>
            </w:r>
          </w:p>
        </w:tc>
        <w:tc>
          <w:tcPr>
            <w:tcW w:w="5600" w:type="dxa"/>
            <w:vAlign w:val="bottom"/>
          </w:tcPr>
          <w:p>
            <w:pPr>
              <w:spacing w:after="0"/>
              <w:rPr>
                <w:sz w:val="24"/>
                <w:szCs w:val="24"/>
                <w:color w:val="auto"/>
              </w:rPr>
            </w:pPr>
          </w:p>
        </w:tc>
      </w:tr>
    </w:tbl>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par value of $0.001</w:t>
      </w:r>
    </w:p>
    <w:p>
      <w:pPr>
        <w:spacing w:after="0" w:line="1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509" w:right="239" w:bottom="915" w:gutter="0" w:footer="0" w:header="0"/>
        </w:sectPr>
      </w:pPr>
    </w:p>
    <w:p>
      <w:pPr>
        <w:spacing w:after="0" w:line="197"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Large accelerated filer</w:t>
      </w:r>
    </w:p>
    <w:p>
      <w:pPr>
        <w:spacing w:after="0" w:line="6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Accelerated filer</w:t>
      </w:r>
    </w:p>
    <w:p>
      <w:pPr>
        <w:spacing w:after="0" w:line="58"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Smaller reporting company</w:t>
      </w:r>
    </w:p>
    <w:p>
      <w:pPr>
        <w:spacing w:after="0" w:line="188" w:lineRule="exact"/>
        <w:rPr>
          <w:sz w:val="24"/>
          <w:szCs w:val="24"/>
          <w:color w:val="auto"/>
        </w:rPr>
      </w:pPr>
    </w:p>
    <w:p>
      <w:pPr>
        <w:sectPr>
          <w:pgSz w:w="11900" w:h="16838" w:orient="portrait"/>
          <w:cols w:equalWidth="0" w:num="2">
            <w:col w:w="5000" w:space="720"/>
            <w:col w:w="5700"/>
          </w:cols>
          <w:pgMar w:left="240" w:top="509" w:right="239" w:bottom="915" w:gutter="0" w:footer="0" w:header="0"/>
          <w:type w:val="continuous"/>
        </w:sect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Times New Roman" w:cs="Times New Roman" w:eastAsia="Times New Roman" w:hAnsi="Times New Roman"/>
          <w:sz w:val="18"/>
          <w:szCs w:val="18"/>
          <w:b w:val="1"/>
          <w:bCs w:val="1"/>
          <w:color w:val="auto"/>
        </w:rPr>
        <w:t>$22,330,191</w:t>
      </w:r>
    </w:p>
    <w:p>
      <w:pPr>
        <w:spacing w:after="0" w:line="172"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Indicate the number of shares outstanding of each of the registrant’s classes of common stock, as of the latest practicable date. </w:t>
      </w:r>
      <w:r>
        <w:rPr>
          <w:rFonts w:ascii="Times New Roman" w:cs="Times New Roman" w:eastAsia="Times New Roman" w:hAnsi="Times New Roman"/>
          <w:sz w:val="18"/>
          <w:szCs w:val="18"/>
          <w:b w:val="1"/>
          <w:bCs w:val="1"/>
          <w:color w:val="auto"/>
        </w:rPr>
        <w:t>29,718,867 common shares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March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91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60" w:type="dxa"/>
            <w:vAlign w:val="bottom"/>
            <w:gridSpan w:val="15"/>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300" w:type="dxa"/>
            <w:vAlign w:val="bottom"/>
            <w:gridSpan w:val="10"/>
            <w:shd w:val="clear" w:color="auto" w:fill="CCEEFF"/>
          </w:tcPr>
          <w:p>
            <w:pPr>
              <w:jc w:val="center"/>
              <w:ind w:right="4760"/>
              <w:spacing w:after="0" w:line="176" w:lineRule="exact"/>
              <w:rPr>
                <w:rFonts w:ascii="Times New Roman" w:cs="Times New Roman" w:eastAsia="Times New Roman" w:hAnsi="Times New Roman"/>
                <w:sz w:val="18"/>
                <w:szCs w:val="18"/>
                <w:color w:val="0000EE"/>
                <w:w w:val="95"/>
              </w:rPr>
            </w:pPr>
            <w:hyperlink w:anchor="page3">
              <w:r>
                <w:rPr>
                  <w:rFonts w:ascii="Times New Roman" w:cs="Times New Roman" w:eastAsia="Times New Roman" w:hAnsi="Times New Roman"/>
                  <w:sz w:val="18"/>
                  <w:szCs w:val="18"/>
                  <w:color w:val="0000EE"/>
                  <w:w w:val="95"/>
                </w:rPr>
                <w:t>PART I</w:t>
              </w:r>
            </w:hyperlink>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4"/>
              </w:rPr>
            </w:pPr>
            <w:hyperlink w:anchor="page3">
              <w:r>
                <w:rPr>
                  <w:rFonts w:ascii="Times New Roman" w:cs="Times New Roman" w:eastAsia="Times New Roman" w:hAnsi="Times New Roman"/>
                  <w:sz w:val="18"/>
                  <w:szCs w:val="18"/>
                  <w:color w:val="0000EE"/>
                  <w:w w:val="94"/>
                </w:rPr>
                <w:t>Item 1.</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8940" w:type="dxa"/>
            <w:vAlign w:val="bottom"/>
            <w:tcBorders>
              <w:bottom w:val="single" w:sz="8" w:color="CCEEFF"/>
            </w:tcBorders>
            <w:gridSpan w:val="24"/>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Item 1A.</w:t>
              </w:r>
            </w:hyperlink>
          </w:p>
        </w:tc>
        <w:tc>
          <w:tcPr>
            <w:tcW w:w="9580" w:type="dxa"/>
            <w:vAlign w:val="bottom"/>
            <w:gridSpan w:val="25"/>
          </w:tcPr>
          <w:p>
            <w:pPr>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Risk Factors</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Times New Roman" w:cs="Times New Roman" w:eastAsia="Times New Roman" w:hAnsi="Times New Roman"/>
                <w:sz w:val="18"/>
                <w:szCs w:val="18"/>
                <w:color w:val="0000EE"/>
                <w:w w:val="94"/>
              </w:rPr>
            </w:pPr>
            <w:hyperlink w:anchor="page13">
              <w:r>
                <w:rPr>
                  <w:rFonts w:ascii="Times New Roman" w:cs="Times New Roman" w:eastAsia="Times New Roman" w:hAnsi="Times New Roman"/>
                  <w:sz w:val="18"/>
                  <w:szCs w:val="18"/>
                  <w:color w:val="0000EE"/>
                  <w:w w:val="94"/>
                </w:rPr>
                <w:t>Item 2.</w:t>
              </w:r>
            </w:hyperlink>
          </w:p>
        </w:tc>
        <w:tc>
          <w:tcPr>
            <w:tcW w:w="640" w:type="dxa"/>
            <w:vAlign w:val="bottom"/>
            <w:gridSpan w:val="3"/>
            <w:shd w:val="clear" w:color="auto" w:fill="CCEEFF"/>
          </w:tcPr>
          <w:p>
            <w:pPr>
              <w:spacing w:after="0"/>
              <w:rPr>
                <w:sz w:val="15"/>
                <w:szCs w:val="15"/>
                <w:color w:val="auto"/>
              </w:rPr>
            </w:pPr>
          </w:p>
        </w:tc>
        <w:tc>
          <w:tcPr>
            <w:tcW w:w="95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Properties</w:t>
              </w:r>
            </w:hyperlink>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Times New Roman" w:cs="Times New Roman" w:eastAsia="Times New Roman" w:hAnsi="Times New Roman"/>
                <w:sz w:val="18"/>
                <w:szCs w:val="18"/>
                <w:color w:val="0000EE"/>
                <w:w w:val="94"/>
              </w:rPr>
            </w:pPr>
            <w:hyperlink w:anchor="page13">
              <w:r>
                <w:rPr>
                  <w:rFonts w:ascii="Times New Roman" w:cs="Times New Roman" w:eastAsia="Times New Roman" w:hAnsi="Times New Roman"/>
                  <w:sz w:val="18"/>
                  <w:szCs w:val="18"/>
                  <w:color w:val="0000EE"/>
                  <w:w w:val="94"/>
                </w:rPr>
                <w:t>Item 3.</w:t>
              </w:r>
            </w:hyperlink>
          </w:p>
        </w:tc>
        <w:tc>
          <w:tcPr>
            <w:tcW w:w="640" w:type="dxa"/>
            <w:vAlign w:val="bottom"/>
            <w:gridSpan w:val="3"/>
          </w:tcPr>
          <w:p>
            <w:pPr>
              <w:spacing w:after="0"/>
              <w:rPr>
                <w:sz w:val="15"/>
                <w:szCs w:val="15"/>
                <w:color w:val="auto"/>
              </w:rPr>
            </w:pPr>
          </w:p>
        </w:tc>
        <w:tc>
          <w:tcPr>
            <w:tcW w:w="9580" w:type="dxa"/>
            <w:vAlign w:val="bottom"/>
            <w:gridSpan w:val="25"/>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Legal Proceedings</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Item 4.</w:t>
              </w:r>
            </w:hyperlink>
          </w:p>
        </w:tc>
        <w:tc>
          <w:tcPr>
            <w:tcW w:w="95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Mine Safety Disclosures</w:t>
              </w:r>
            </w:hyperlink>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320" w:type="dxa"/>
            <w:vAlign w:val="bottom"/>
            <w:gridSpan w:val="11"/>
            <w:shd w:val="clear" w:color="auto" w:fill="CCEEFF"/>
          </w:tcPr>
          <w:p>
            <w:pPr>
              <w:jc w:val="center"/>
              <w:ind w:right="4720"/>
              <w:spacing w:after="0" w:line="176" w:lineRule="exact"/>
              <w:rPr>
                <w:rFonts w:ascii="Times New Roman" w:cs="Times New Roman" w:eastAsia="Times New Roman" w:hAnsi="Times New Roman"/>
                <w:sz w:val="18"/>
                <w:szCs w:val="18"/>
                <w:color w:val="0000EE"/>
                <w:w w:val="95"/>
              </w:rPr>
            </w:pPr>
            <w:hyperlink w:anchor="page14">
              <w:r>
                <w:rPr>
                  <w:rFonts w:ascii="Times New Roman" w:cs="Times New Roman" w:eastAsia="Times New Roman" w:hAnsi="Times New Roman"/>
                  <w:sz w:val="18"/>
                  <w:szCs w:val="18"/>
                  <w:color w:val="0000EE"/>
                  <w:w w:val="95"/>
                </w:rPr>
                <w:t>PART II</w:t>
              </w:r>
            </w:hyperlink>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Times New Roman" w:cs="Times New Roman" w:eastAsia="Times New Roman" w:hAnsi="Times New Roman"/>
                <w:sz w:val="18"/>
                <w:szCs w:val="18"/>
                <w:color w:val="0000EE"/>
                <w:w w:val="94"/>
              </w:rPr>
            </w:pPr>
            <w:hyperlink w:anchor="page14">
              <w:r>
                <w:rPr>
                  <w:rFonts w:ascii="Times New Roman" w:cs="Times New Roman" w:eastAsia="Times New Roman" w:hAnsi="Times New Roman"/>
                  <w:sz w:val="18"/>
                  <w:szCs w:val="18"/>
                  <w:color w:val="0000EE"/>
                  <w:w w:val="94"/>
                </w:rPr>
                <w:t>Item 5.</w:t>
              </w:r>
            </w:hyperlink>
          </w:p>
        </w:tc>
        <w:tc>
          <w:tcPr>
            <w:tcW w:w="640" w:type="dxa"/>
            <w:vAlign w:val="bottom"/>
            <w:gridSpan w:val="3"/>
            <w:shd w:val="clear" w:color="auto" w:fill="CCEEFF"/>
          </w:tcPr>
          <w:p>
            <w:pPr>
              <w:spacing w:after="0"/>
              <w:rPr>
                <w:sz w:val="17"/>
                <w:szCs w:val="17"/>
                <w:color w:val="auto"/>
              </w:rPr>
            </w:pPr>
          </w:p>
        </w:tc>
        <w:tc>
          <w:tcPr>
            <w:tcW w:w="95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Market for Registrant’s Common Equity and Related Stockholder Matters and Issuer Purchases of Equity Securities</w:t>
              </w:r>
            </w:hyperlink>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Times New Roman" w:cs="Times New Roman" w:eastAsia="Times New Roman" w:hAnsi="Times New Roman"/>
                <w:sz w:val="18"/>
                <w:szCs w:val="18"/>
                <w:color w:val="0000EE"/>
                <w:w w:val="94"/>
              </w:rPr>
            </w:pPr>
            <w:hyperlink w:anchor="page16">
              <w:r>
                <w:rPr>
                  <w:rFonts w:ascii="Times New Roman" w:cs="Times New Roman" w:eastAsia="Times New Roman" w:hAnsi="Times New Roman"/>
                  <w:sz w:val="18"/>
                  <w:szCs w:val="18"/>
                  <w:color w:val="0000EE"/>
                  <w:w w:val="94"/>
                </w:rPr>
                <w:t>Item 7.</w:t>
              </w:r>
            </w:hyperlink>
          </w:p>
        </w:tc>
        <w:tc>
          <w:tcPr>
            <w:tcW w:w="640" w:type="dxa"/>
            <w:vAlign w:val="bottom"/>
            <w:tcBorders>
              <w:top w:val="single" w:sz="8" w:color="CCEEFF"/>
            </w:tcBorders>
            <w:gridSpan w:val="3"/>
          </w:tcPr>
          <w:p>
            <w:pPr>
              <w:spacing w:after="0"/>
              <w:rPr>
                <w:sz w:val="15"/>
                <w:szCs w:val="15"/>
                <w:color w:val="auto"/>
              </w:rPr>
            </w:pPr>
          </w:p>
        </w:tc>
        <w:tc>
          <w:tcPr>
            <w:tcW w:w="8340" w:type="dxa"/>
            <w:vAlign w:val="bottom"/>
            <w:tcBorders>
              <w:top w:val="single" w:sz="8" w:color="0000EE"/>
            </w:tcBorders>
            <w:gridSpan w:val="24"/>
          </w:tcPr>
          <w:p>
            <w:pPr>
              <w:spacing w:after="0" w:line="17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24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Times New Roman" w:cs="Times New Roman" w:eastAsia="Times New Roman" w:hAnsi="Times New Roman"/>
                <w:sz w:val="18"/>
                <w:szCs w:val="18"/>
                <w:color w:val="0000EE"/>
                <w:w w:val="94"/>
              </w:rPr>
            </w:pPr>
            <w:hyperlink w:anchor="page21">
              <w:r>
                <w:rPr>
                  <w:rFonts w:ascii="Times New Roman" w:cs="Times New Roman" w:eastAsia="Times New Roman" w:hAnsi="Times New Roman"/>
                  <w:sz w:val="18"/>
                  <w:szCs w:val="18"/>
                  <w:color w:val="0000EE"/>
                  <w:w w:val="94"/>
                </w:rPr>
                <w:t>Item 8.</w:t>
              </w:r>
            </w:hyperlink>
          </w:p>
        </w:tc>
        <w:tc>
          <w:tcPr>
            <w:tcW w:w="640" w:type="dxa"/>
            <w:vAlign w:val="bottom"/>
            <w:gridSpan w:val="3"/>
            <w:shd w:val="clear" w:color="auto" w:fill="CCEEFF"/>
          </w:tcPr>
          <w:p>
            <w:pPr>
              <w:spacing w:after="0"/>
              <w:rPr>
                <w:sz w:val="15"/>
                <w:szCs w:val="15"/>
                <w:color w:val="auto"/>
              </w:rPr>
            </w:pPr>
          </w:p>
        </w:tc>
        <w:tc>
          <w:tcPr>
            <w:tcW w:w="95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Financial Statements and Supplementary Data</w:t>
              </w:r>
            </w:hyperlink>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Times New Roman" w:cs="Times New Roman" w:eastAsia="Times New Roman" w:hAnsi="Times New Roman"/>
                <w:sz w:val="18"/>
                <w:szCs w:val="18"/>
                <w:color w:val="0000EE"/>
                <w:w w:val="94"/>
              </w:rPr>
            </w:pPr>
            <w:hyperlink w:anchor="page41">
              <w:r>
                <w:rPr>
                  <w:rFonts w:ascii="Times New Roman" w:cs="Times New Roman" w:eastAsia="Times New Roman" w:hAnsi="Times New Roman"/>
                  <w:sz w:val="18"/>
                  <w:szCs w:val="18"/>
                  <w:color w:val="0000EE"/>
                  <w:w w:val="94"/>
                </w:rPr>
                <w:t>Item 9.</w:t>
              </w:r>
            </w:hyperlink>
          </w:p>
        </w:tc>
        <w:tc>
          <w:tcPr>
            <w:tcW w:w="640" w:type="dxa"/>
            <w:vAlign w:val="bottom"/>
            <w:gridSpan w:val="3"/>
          </w:tcPr>
          <w:p>
            <w:pPr>
              <w:spacing w:after="0"/>
              <w:rPr>
                <w:sz w:val="15"/>
                <w:szCs w:val="15"/>
                <w:color w:val="auto"/>
              </w:rPr>
            </w:pPr>
          </w:p>
        </w:tc>
        <w:tc>
          <w:tcPr>
            <w:tcW w:w="9580" w:type="dxa"/>
            <w:vAlign w:val="bottom"/>
            <w:gridSpan w:val="25"/>
          </w:tcPr>
          <w:p>
            <w:pPr>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Changes In and Disagreements With Accountants on Accounting and Financial Disclosure</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9A.</w:t>
              </w:r>
            </w:hyperlink>
          </w:p>
        </w:tc>
        <w:tc>
          <w:tcPr>
            <w:tcW w:w="95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Controls and Procedures</w:t>
              </w:r>
            </w:hyperlink>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Borders>
              <w:top w:val="single" w:sz="8" w:color="0000EE"/>
            </w:tcBorders>
            <w:gridSpan w:val="3"/>
          </w:tcPr>
          <w:p>
            <w:pPr>
              <w:spacing w:after="0" w:line="176" w:lineRule="exact"/>
              <w:rPr>
                <w:rFonts w:ascii="Times New Roman" w:cs="Times New Roman" w:eastAsia="Times New Roman" w:hAnsi="Times New Roman"/>
                <w:sz w:val="18"/>
                <w:szCs w:val="18"/>
                <w:color w:val="0000EE"/>
                <w:w w:val="95"/>
              </w:rPr>
            </w:pPr>
            <w:hyperlink w:anchor="page42">
              <w:r>
                <w:rPr>
                  <w:rFonts w:ascii="Times New Roman" w:cs="Times New Roman" w:eastAsia="Times New Roman" w:hAnsi="Times New Roman"/>
                  <w:sz w:val="18"/>
                  <w:szCs w:val="18"/>
                  <w:color w:val="0000EE"/>
                  <w:w w:val="95"/>
                </w:rPr>
                <w:t>Item 9B.</w:t>
              </w:r>
            </w:hyperlink>
          </w:p>
        </w:tc>
        <w:tc>
          <w:tcPr>
            <w:tcW w:w="52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gridSpan w:val="6"/>
          </w:tcPr>
          <w:p>
            <w:pPr>
              <w:spacing w:after="0" w:line="17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Other Information</w:t>
              </w:r>
            </w:hyperlink>
          </w:p>
        </w:tc>
        <w:tc>
          <w:tcPr>
            <w:tcW w:w="7820" w:type="dxa"/>
            <w:vAlign w:val="bottom"/>
            <w:tcBorders>
              <w:top w:val="single" w:sz="8" w:color="CCEEFF"/>
            </w:tcBorders>
            <w:gridSpan w:val="19"/>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60" w:type="dxa"/>
            <w:vAlign w:val="bottom"/>
            <w:gridSpan w:val="12"/>
          </w:tcPr>
          <w:p>
            <w:pPr>
              <w:jc w:val="center"/>
              <w:ind w:right="4700"/>
              <w:spacing w:after="0" w:line="176" w:lineRule="exact"/>
              <w:rPr>
                <w:rFonts w:ascii="Times New Roman" w:cs="Times New Roman" w:eastAsia="Times New Roman" w:hAnsi="Times New Roman"/>
                <w:sz w:val="18"/>
                <w:szCs w:val="18"/>
                <w:color w:val="0000EE"/>
                <w:w w:val="96"/>
              </w:rPr>
            </w:pPr>
            <w:hyperlink w:anchor="page42">
              <w:r>
                <w:rPr>
                  <w:rFonts w:ascii="Times New Roman" w:cs="Times New Roman" w:eastAsia="Times New Roman" w:hAnsi="Times New Roman"/>
                  <w:sz w:val="18"/>
                  <w:szCs w:val="18"/>
                  <w:color w:val="0000EE"/>
                  <w:w w:val="96"/>
                </w:rPr>
                <w:t>PART III</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tcPr>
          <w:p>
            <w:pPr>
              <w:spacing w:after="0" w:line="17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10.</w:t>
              </w:r>
            </w:hyperlink>
          </w:p>
        </w:tc>
        <w:tc>
          <w:tcPr>
            <w:tcW w:w="9580" w:type="dxa"/>
            <w:vAlign w:val="bottom"/>
            <w:gridSpan w:val="25"/>
          </w:tcPr>
          <w:p>
            <w:pPr>
              <w:spacing w:after="0" w:line="17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Directors, Executive Officers and Corporate Governance</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Item 11.</w:t>
              </w:r>
            </w:hyperlink>
          </w:p>
        </w:tc>
        <w:tc>
          <w:tcPr>
            <w:tcW w:w="95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Executive Compensation</w:t>
              </w:r>
            </w:hyperlink>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tcPr>
          <w:p>
            <w:pPr>
              <w:spacing w:after="0" w:line="17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12.</w:t>
              </w:r>
            </w:hyperlink>
          </w:p>
        </w:tc>
        <w:tc>
          <w:tcPr>
            <w:tcW w:w="9580" w:type="dxa"/>
            <w:vAlign w:val="bottom"/>
            <w:gridSpan w:val="25"/>
          </w:tcPr>
          <w:p>
            <w:pPr>
              <w:spacing w:after="0" w:line="17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13.</w:t>
              </w:r>
            </w:hyperlink>
          </w:p>
        </w:tc>
        <w:tc>
          <w:tcPr>
            <w:tcW w:w="958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Certain Relationships and Related Transactions, and Director Independence</w:t>
              </w:r>
            </w:hyperlink>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tcPr>
          <w:p>
            <w:pPr>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Item 14.</w:t>
              </w:r>
            </w:hyperlink>
          </w:p>
        </w:tc>
        <w:tc>
          <w:tcPr>
            <w:tcW w:w="9580" w:type="dxa"/>
            <w:vAlign w:val="bottom"/>
            <w:gridSpan w:val="25"/>
          </w:tcPr>
          <w:p>
            <w:pPr>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Principal Accountant Fees and Services</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60" w:type="dxa"/>
            <w:vAlign w:val="bottom"/>
            <w:gridSpan w:val="12"/>
          </w:tcPr>
          <w:p>
            <w:pPr>
              <w:jc w:val="center"/>
              <w:ind w:right="4700"/>
              <w:spacing w:after="0" w:line="176" w:lineRule="exact"/>
              <w:rPr>
                <w:rFonts w:ascii="Times New Roman" w:cs="Times New Roman" w:eastAsia="Times New Roman" w:hAnsi="Times New Roman"/>
                <w:sz w:val="18"/>
                <w:szCs w:val="18"/>
                <w:color w:val="0000EE"/>
                <w:w w:val="94"/>
              </w:rPr>
            </w:pPr>
            <w:hyperlink w:anchor="page56">
              <w:r>
                <w:rPr>
                  <w:rFonts w:ascii="Times New Roman" w:cs="Times New Roman" w:eastAsia="Times New Roman" w:hAnsi="Times New Roman"/>
                  <w:sz w:val="18"/>
                  <w:szCs w:val="18"/>
                  <w:color w:val="0000EE"/>
                  <w:w w:val="94"/>
                </w:rPr>
                <w:t>PART IV</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tcPr>
          <w:p>
            <w:pPr>
              <w:spacing w:after="0" w:line="17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Item 15.</w:t>
              </w:r>
            </w:hyperlink>
          </w:p>
        </w:tc>
        <w:tc>
          <w:tcPr>
            <w:tcW w:w="9580" w:type="dxa"/>
            <w:vAlign w:val="bottom"/>
            <w:gridSpan w:val="25"/>
          </w:tcPr>
          <w:p>
            <w:pPr>
              <w:spacing w:after="0" w:line="17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Exhibits, Financial Statement Schedules</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703"/>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-4278630</wp:posOffset>
            </wp:positionV>
            <wp:extent cx="7246620" cy="3833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83349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Highlights For 2016</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for 2016 were $7.75 million, a 7.5% increase over 2015.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for Q4 2016 were approximately $2.3 million, a 13% increase over the same period in 2015.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we distributed financial messages related to approximately 95 different brands and 25 of the leading pharmaceutical companies.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all available messaging inventory in the Allscripts LogRx messaging platform for Q4 of 2016 and calendar 2017, effectively giving us exclusive sales rights and the opportunity to substantially increase our brand messaging revenue.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integrate with WPP’s companies and saw a considerable increase in activity in Q4 of 2016. We expect this relationship to continue to help us expand into more manufacturers, brands and products, with activity related to approximately 25 brands in 2016.</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expanded our leadership and support teams in 2016 and established a strong base to position ourselves for accelerated revenue growth in 2017 and beyond.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acquire new pharmaceutical manufacturers and brands for distribution through our expanding channel partners, which include, Allscripts, Practice Fusion, Care360, DrFirst and others.</w:t>
      </w:r>
    </w:p>
    <w:p>
      <w:pPr>
        <w:spacing w:after="0" w:line="165"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We doubled our sales force from 2 to 4 in 2016 and added a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sales executive in January 2017 to accelerate revenue growth, brand expansion and new product sales.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prove outstanding Returns on Investment associated with our pharmaceutical promotions through an independent analytics firm with multiple pharmaceutical brands that differentiates our programs as one of the most effective digital tactics available to pharmaceutical firms.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in acquiring, integrating and expanding into new promotional EHR/eRx platforms continues to grow as well.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 Sales and Marketing Updates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sales team continues to expand opportunities within existing clients and close opportunities with new clients. We are focused on adding additional brands for existing clients, expanding the utilization of our network for existing brands, and obtaining new clients.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are expanding our service offerings as follows:</w:t>
      </w:r>
    </w:p>
    <w:p>
      <w:pPr>
        <w:spacing w:after="0" w:line="225" w:lineRule="exact"/>
        <w:rPr>
          <w:sz w:val="20"/>
          <w:szCs w:val="20"/>
          <w:color w:val="auto"/>
        </w:rPr>
      </w:pPr>
    </w:p>
    <w:p>
      <w:pPr>
        <w:jc w:val="both"/>
        <w:ind w:left="660" w:hanging="328"/>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Messaging – we have successfully integrated our new platform with 2 partners and are currently testing. We expect revenue in the second half of 2017. Additionally, we expect our exclusive partnership with Allscripts that allows us to offer LogRx brand messaging to accelerate revenue growth in this area.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Support/New Drug File Integration – we have designed a service to better insure that manufacturers’ brands are available in every ePrescribing platform available and we have incorporated this to an overall program related to launch brands that includes brand awareness messaging and financial messaging.</w:t>
      </w:r>
    </w:p>
    <w:p>
      <w:pPr>
        <w:spacing w:after="0" w:line="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ePrescribe Training – we are pursuing opportunities to leverage our partnership with WPP/Grey to train representatives on understanding and leveraging EHR sales opportunities.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We are also continuing to ramp up our marketing efforts as follows:</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multiple meetings, including some initiated and arranged by pharmaceutical companies, to bring on new Health Systems/ePrescribe Platforms.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 at Coupon and Co-Pay Off-set Strategies Conference.</w:t>
      </w:r>
    </w:p>
    <w:p>
      <w:pPr>
        <w:spacing w:after="0" w:line="27" w:lineRule="exact"/>
        <w:rPr>
          <w:rFonts w:ascii="Times New Roman" w:cs="Times New Roman" w:eastAsia="Times New Roman" w:hAnsi="Times New Roman"/>
          <w:sz w:val="18"/>
          <w:szCs w:val="18"/>
          <w:color w:val="auto"/>
        </w:rPr>
      </w:pPr>
    </w:p>
    <w:p>
      <w:pPr>
        <w:ind w:left="660" w:hanging="328"/>
        <w:spacing w:after="0" w:line="185" w:lineRule="auto"/>
        <w:tabs>
          <w:tab w:leader="none" w:pos="66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Spoke at multiple conferences in 2016, including the Liolios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annual Gateway conference and the 28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annual Roth Investor conference.</w:t>
      </w:r>
    </w:p>
    <w:p>
      <w:pPr>
        <w:spacing w:after="0" w:line="1" w:lineRule="exact"/>
        <w:rPr>
          <w:rFonts w:ascii="Times New Roman" w:cs="Times New Roman" w:eastAsia="Times New Roman" w:hAnsi="Times New Roman"/>
          <w:sz w:val="29"/>
          <w:szCs w:val="29"/>
          <w:color w:val="auto"/>
          <w:vertAlign w:val="superscript"/>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the 4th Annual ePrescribe/EHR Pharmaceutical Conference.</w:t>
      </w:r>
    </w:p>
    <w:p>
      <w:pPr>
        <w:spacing w:after="0" w:line="2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the growth of both the number of our pharmaceutical brands and our distribution network, we expect that our distribution of financial messages will continue to increase substantially in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Update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2017, in addition to expanding our existing network, we plan to intensively focus on increasing physician utilization of our partner networks. We continue to work individually with each of our partners based on their particular situation to improve workflow to increase coupon utilization by those providers that have access, obtain access for those prescribers that currently do not have financial messaging access, and increase overall revenue derived from each channel. We believe there is significant revenue growth available within our existing brands by better utilizing our existing partner networks, in addition to the revenue growth provided by new brands and new network partners.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signed an agreement in 2015 with Allscripts to become their exclusive provider of financial messaging and to obtain access to their Touchworks EHR product, which is used primarily by large health systems. We expect financial messaging activity to commence within Touchworks in the first quarter of 2017 and to continue to ramp up throughout the year. We expect this launch to have a significant impact on our revenue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Updates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support our growth, we have migrated our platform to Oracle database software. Our system can manage up to 1 million rules and return the appropriate content within 1 second. This allows unsurpassed response time to avoid delays, and gives us the ability to meet the upcoming accelerated revenue growth that we expect.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developed our own proprietary brand messaging system that will expand our ability to deliver key clinical messages in addition to financial support and plan to integrate this within EHRs that currently do not offer this valued product to their providers. We are currently testing this system with our first partner and expect to launch this messaging system in the first half of 2017 and then expand to other channels as well.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lengthy sales cycle involved in creating this new financial messaging market, we remain very excited about our core financial messaging business and expect to significantly accelerate revenue growth in 2017 with the launch of additional channels, brands and products. We expect our active network to grow substantially in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products and applications can be summarized as follows: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Messaging – Our integrated financial messaging platform is a revolutionary virtual "Patient Support Center" that allows doctors and staff to access a universe of sample vouchers, co-pay coupons and other patient support through their EMR and/or e-Prescribe systems to search, print or electronically dispense directly to patients and a national network of pharmacies. Our platform eliminates the need for physicians to manage and store physical drug samples by offering a more convenient and efficient way to allocate, administer and track samples and co-pay savings provided to their patients.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both"/>
        <w:ind w:left="660" w:hanging="328"/>
        <w:spacing w:after="0" w:line="25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Messaging – Our brand messaging services include a variety of brand awareness and clinical messaging services that can be tailored to meet the needs of a brand. These messages can include brand awareness messages, reminder ads, clinical messages, and unbranded messages that can be targeted by specialty, diagnostic code, and other criteria. Brand messaging is highly complementary to our core financial messaging product. Historically, we have sold brand messaging based on specific products offered by our EHR partners, but we have developed our own proprietary brand messaging system and expect to roll that product out in 2017. We have also purchased all available 2017 inventory from Allscripts for its LogRx brand messaging product. We believe brand messaging represents a significant growth opportunity for us.</w:t>
      </w:r>
    </w:p>
    <w:p>
      <w:pPr>
        <w:jc w:val="both"/>
        <w:ind w:left="660" w:hanging="328"/>
        <w:spacing w:after="0" w:line="25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Support – Our brand support is focused on educating and working with pharmaceutical manufacturers on identifying, formulating, and implementing new eRx media strategies for promoting their products. Our services include: 1) Drug File Integration - a service designed to better insure that manufacturers’ drugs are present in every ePrescribing platform available; 2) Sales Force Training – a service to educate the extended field sales force on this new integrated solution and what to look for within their client base to insure maximum exposure of their brands; and 3) Strategy Development – a service that assists manufactures in identifying and building a competitive strategy to take advantage of this new digital frontier. Currently, this activity results in less than 10% of our revenue, but represents a significant growth opportunity for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extend our marketing efforts to build both brand and capabilities awareness in the market. As previously discussed, we continue to actively participate in industry and partner events such as exlPharma and the ACE – Allscripts Users Conference, as well as having taken a lead sponsor position in the CBInet eRx and EHR conferences in March of 2016. We are also the named sponsor of the March 2017 conference. During the course of the year, we also initiated and delivered successful email marketing campaigns, which generated viable leads for our sales force.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2016, we completed an update of our corporate branding including updating our website and marketing materials.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continue to focus on the expansion of our strategic partnership with WPP/Grey Health Group, a leading agency within the healthcare marketplace, which included a significant investment by an affiliated entity of WPP in 2015. We plan to continue to increase our marketing efforts with all of our strategic partners, as we intend to continue to promote our platform primarily through the following:</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Partner Events;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Campaigns;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Marketing;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Relations Campaigns;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 Offices;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to Consumer Marketing;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Media Advertising;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Pharmacy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 Organizations and Associations;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Relationships.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platform competes in the highly competitive pharmaceutical and healthcare digital marketing industry that is dominated by large well-known companies with established names, solid market niches, wide arrays of product offerings and marketing networks. Our financial messaging offerings compete for pharmaceutical budgets with a variety of other forms of advertising and promotion.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Despite these overall competitors, we do not have major competition in our specific portion of the financial messaging market. We have been experiencing a growing list of potential partners whom either have content that they want to deliver through our distribution engine and network, or whom have complementary technology and want to integrate our solution as a channel partner, expanding our reach to clinicians. The primary direct competitors in our space of the market are ConnectiveRx and Aptus Health. However, we believe our breadth of brands offered, extensive list of pharmaceutical clients, and the vast reach of our network give us a substantial advantage and allow us to achieve a dominant position in the marketplace.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2012, we were awarded a patent for our innovative solution (US Patent No. 8,341,015). This award was a result of our extensive research and development efforts. The awarded claims cover our ability to electronically process, display and distribute eligible prescription savings on the medications and therapies healthcare providers wish to prescribe for their patients.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a nationally ranked intellectual property law firm to further expand and protect our intellectual property. Through them, we have filed two additional patents on our technology. We believe our current and expanding IP will allow us to continue being the leader in this rapidly growing space. We stand ready to prepare additional filings, as necessary, to protect our intellectual property on any forthcoming solutions that will further assist and support physicians, pharmacists and patients.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and SampleMD are our licensed trademarks.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Anti-Kickback Statutes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False Claims Laws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and Security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2016, we had 19 full-time employees and 1 part-time employee, in addition to contracted programmers, as needed, through our established relationship with Simple eSolutions, a technical and programming resources partner.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 our operations through our wholly-owned subsidiary, OptimizeRx Corporation, a Michigan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Business and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have historically experienced losses, if we are unable to achieve profitability, our financial condition and company could suffer.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inception of our business we have historically incurred losses. While we have increased revenues significantly, we have not yet been able to achieve profitability due to significant investments in our growth and non-cash expenses.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growth may suffer if we are unable to attract and retain key 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depends on the expertise of our executive officers and certain other key technical personnel. It may be difficult to find sufficiently qualified individuals to replace management or other key technical personnel in the event of death, disability or resignation, thus frustrating our ability to implement our business plan, which could negatively affect our operating results.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If we are unable to engage and retain the necessary personnel, our business may be materially and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obtain, retain or attract additional customers could prevent us from successfully executing our business plan.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work with many leading pharmaceutical companies, including Pfizer, Eli Lilly, Actavis, AstraZeneca, Alcon, Daiichi Sankyo, Novartis, Novo Nordisk, Valeant, Shire, and others. Our failure to retain existing customers or expand with new customers could negatively impact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a concentrated group of customers.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are concentrated in approximately 25 customers, primarily large pharmaceutical manufacturers and large advertising agencies. Loss of one or more of our larger customers could have a significant negative impact on our operating results. Our two largest customers represented 12% and 6% of our sales in 2016,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support our technology to further scale our operations successfully.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contracts with electronic prescription platforms, our business will suffer.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reliant upon our contracts with leading electronic prescribing platforms, including Allscripts, Dr. First, Quest Diagnostics, Practice Fusion, and others.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arrangements subject us to a number of risks, including the following:</w:t>
      </w:r>
    </w:p>
    <w:p>
      <w:pPr>
        <w:spacing w:after="0" w:line="207" w:lineRule="exact"/>
        <w:rPr>
          <w:sz w:val="20"/>
          <w:szCs w:val="20"/>
          <w:color w:val="auto"/>
        </w:rPr>
      </w:pPr>
    </w:p>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partners may experience financial, regulatory or operational difficulties, which may impair their ability to focus on and fulfill their contact obligations to us;</w:t>
      </w:r>
    </w:p>
    <w:p>
      <w:pPr>
        <w:ind w:left="660" w:right="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disputes or disagreements, including the ownership of intellectual property, may occur with one or more of our partners and may lead to lengthy and expensive litigation or arbitration;</w:t>
      </w: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a partner’s business strategy may adversely affect a partner’s willingness or ability to satisfy obligations under any such arrangement; and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 could terminate the partnership arrangement, which could negatively impact our ability to sell our products and achieve revenues.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need to maintain these relationships as well as diversify them. The inability to do so could adversely impact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agreements with electronic prescription platforms are subject to audit.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agreements with our electronic prescription platform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completed the development and migration of our on-demand, rule based content delivery platform. 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adhere to the regulatory and competitive climate in which we operate, we could be materially and negatively impacted.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 to the labyrinth of regulations in healthcare space, state and federal, as well as political sensitivity of healthcare delivery, our business model could be negatively impacted or fail.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66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portals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 w:name="page10"/>
    <w:bookmarkEnd w:id="9"/>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the healthcare industry could adversely affect our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prohibiting the use of coupons by patients covered by federally funded health insurance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healthcare industry participants;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governmental funding for healthcare; and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business or economic conditions affecting healthcare payers or providers, pharmaceutical, biotechnology or medical device companies or other healthcare industry participants.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design of health insurance plans;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number of new drugs or medical devices coming to market;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marketing expenditures by pharmaceutical or medical device companies, including as a result of governmental regulation or private initiatives that discourage or prohibit advertising or sponsorship activities by pharmaceutical or medical device companies; and</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pressure to move to generic brands.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embroiled in various lawsuits from time to time with uncertain consequences, the outcome of potential judgments may negatively affect our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involved in litigation and other disputes, as described in Part I, Item 3 of this annual report. As we continue to grow, we can expect to have to deal with lawsuits that affect our business. Lawsuits are uncertain and involve a substantial degree of risk. If we are unable to successfully prosecute or defend these actions, our financial condition and results of operations could suffer.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will suffer if our network systems fail or become unavailable.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growth, our operations could be adversely affected.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changing regulation of corporate governance and public disclosure.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our common stock is publicly traded, we are subject to certain rules and regulations of federal and state entities charged with the protection of investors and the oversight of companies whose securities are publicly traded. These entities have continued to develop additional regulations and requirements in response to laws enacted by Congress, most notably the Sarbanes-Oxley Act of 2002. Complying with these new regulations has resulted in, and is likely to continue to result in, increased general &amp; administrative costs and a diversion of management time and attention from revenue generating and other business activities to compliance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 market for our common stock does not develop, shareholders may be unable to sell their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and could fluctuate widely in price in response to various factors, many of which are beyond our control.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price is subject to a number of factors, including:</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new products and services by us or our competitors;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our products and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partnerships with other healthcare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disputes;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operations, technology, products and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below or exceeding expectations;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achieve profits or not;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addition of any strategic relationship;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 price may fluctuate widely as a result of any of the above. 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are subject to the “Penny Stock” rules, the level of trading activity in our stock may be reduced.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 Any return on investment may be limited to the value of our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we do not own any real estate. Our principal executive offices are located at 400 Water Street, Suite 200, Rochester, Michigan 48307.</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initially signed the lease for our current office space on December 1, 2011. That lease expired on November 30, 2016 and we signed a new lease covering the same space. The new lease is a three-year lease beginning December 1, 2016, with options for up to an additional 6 years. The rent is payable monthly at rates of $6,232, $6,308, and $6,384 per month for years 1, 2, and 3 of the lease, respectively. The monthly rates for the option years range from $6,384 per month to $6,688 per month for the option years 4 through 9 of the lease. If we fail to exercise our option for option years 4 and 5, a lease termination payment of $7,300 will be due at the end of the initial 3-year term.</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have a short-term lease on shared office space in Cambridge Massachusetts expiring May 31, 2017. The lease is a nine-month lease calling for six monthly payments of $2,997 and three free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properties are adequate for our current needs, but growth potential may require larger facilities due to anticipated addition of personnel.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policies regarding investments in real estate, securities or other forms of property.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2015, we initiated litigation in federal court against LDM Group, LLC and PDR Network, LLC. That action was dismissed and later re-initiated in Missouri state court. Our claims are related to the breach by LDM of the settlement agreement signed February 28, 2014 to resolve previous litigation with LDM. Following execution of that agreement, LDM failed to live up to its obligations under that settlement agreement including, but not limited to, not allowing us to distribute our eCoupon programs in the LDM network, not allowing us to distribute the LDM patient education programs, and not providing other information on a timely basis or at all as required under the settlement agreement. In addition, our claims include PDR’s breach of the Master Services Agreement requiring PDR’s exclusive use of our eCoupon solution. We assert that PDR’s acquisition of LDM and the use of the LDM network to distribute coupons by PDR violates the agreement between the parties. We are also claiming that LDM and PDR entered a civil conspiracy to violate their respective agreements with us. We are seeking enforcement of the agreements and we are seeking damages in an amount at least equal to the amounts paid to date to LDM under the settlement agreement, which is in excess of $1.0 million, as well as damages for lost income and business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are currently in the discovery process.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and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range of high and low bid information for our common stock for the each of the periods indicated as reported by the OTCQB. These quotations reflect inter-dealer prices, without retail mark-up, mark-down or commission and may not necessarily represent actual transactions.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Fiscal Year Ending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720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7200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8800" w:type="dxa"/>
            <w:vAlign w:val="bottom"/>
            <w:tcBorders>
              <w:top w:val="single" w:sz="8" w:color="auto"/>
            </w:tcBorders>
            <w:gridSpan w:val="2"/>
          </w:tcPr>
          <w:p>
            <w:pPr>
              <w:ind w:left="3800"/>
              <w:spacing w:after="0"/>
              <w:rPr>
                <w:sz w:val="20"/>
                <w:szCs w:val="20"/>
                <w:color w:val="auto"/>
              </w:rPr>
            </w:pPr>
            <w:r>
              <w:rPr>
                <w:rFonts w:ascii="Times New Roman" w:cs="Times New Roman" w:eastAsia="Times New Roman" w:hAnsi="Times New Roman"/>
                <w:sz w:val="18"/>
                <w:szCs w:val="18"/>
                <w:color w:val="auto"/>
              </w:rPr>
              <w:t>Quarter Ended</w:t>
            </w:r>
          </w:p>
        </w:tc>
        <w:tc>
          <w:tcPr>
            <w:tcW w:w="12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High $</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Low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2015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8800" w:type="dxa"/>
            <w:vAlign w:val="bottom"/>
            <w:tcBorders>
              <w:bottom w:val="single" w:sz="8" w:color="auto"/>
            </w:tcBorders>
            <w:gridSpan w:val="2"/>
          </w:tcPr>
          <w:p>
            <w:pPr>
              <w:ind w:left="4280"/>
              <w:spacing w:after="0"/>
              <w:rPr>
                <w:sz w:val="20"/>
                <w:szCs w:val="20"/>
                <w:color w:val="auto"/>
              </w:rPr>
            </w:pPr>
            <w:r>
              <w:rPr>
                <w:rFonts w:ascii="Times New Roman" w:cs="Times New Roman" w:eastAsia="Times New Roman" w:hAnsi="Times New Roman"/>
                <w:sz w:val="18"/>
                <w:szCs w:val="18"/>
                <w:color w:val="auto"/>
              </w:rPr>
              <w:t>Fiscal Year Ending December 31, 2016</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Quarter Ended</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High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Low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2016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March 31, 2017 (through March 1, 2017)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414"/>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 March 1, 2017, the last sales price per share of our common stock was $0.70.</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-1268730</wp:posOffset>
            </wp:positionV>
            <wp:extent cx="7246620" cy="995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9504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Penny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disclosure requirements may have the effect of reducing the trading activity for our common stock. Therefore, stockholders may have difficulty selling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1, 2017, we had 29,718,867 shares of our common stock issued and outstanding, held by approximately 325 shareholders of record at our transfer agent, with approximately 1,000 additional shareholders holding our shares in street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62"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be able to pay our debts as they become due in the usual course of business;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initial Plan, we were able to issue up to an aggregate total of 1,500,000 incentive or non-qualified options to purchase our common stock, or stock awards. In March, 2016, the Board expanded the number of shares issuable under the plan to 4,000,000.</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as of December 31, 2016</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available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future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Securities to</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issued upon</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w:t>
            </w:r>
          </w:p>
        </w:tc>
      </w:tr>
      <w:tr>
        <w:trPr>
          <w:trHeight w:val="216"/>
        </w:trPr>
        <w:tc>
          <w:tcPr>
            <w:tcW w:w="7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7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Plans Not Approved by</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45"/>
        </w:trPr>
        <w:tc>
          <w:tcPr>
            <w:tcW w:w="7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 Shareholders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23"/>
        </w:trPr>
        <w:tc>
          <w:tcPr>
            <w:tcW w:w="73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(b)</w:t>
            </w:r>
          </w:p>
        </w:tc>
        <w:tc>
          <w:tcPr>
            <w:tcW w:w="2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Borders>
              <w:bottom w:val="single" w:sz="8" w:color="CCEEFF"/>
            </w:tcBorders>
          </w:tcPr>
          <w:p>
            <w:pPr>
              <w:spacing w:after="0"/>
              <w:rPr>
                <w:sz w:val="19"/>
                <w:szCs w:val="19"/>
                <w:color w:val="auto"/>
              </w:rPr>
            </w:pPr>
          </w:p>
        </w:tc>
      </w:tr>
      <w:tr>
        <w:trPr>
          <w:trHeight w:val="23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 Equity Compensation Plan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3,095,000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855,000</w:t>
            </w:r>
          </w:p>
        </w:tc>
        <w:tc>
          <w:tcPr>
            <w:tcW w:w="100" w:type="dxa"/>
            <w:vAlign w:val="bottom"/>
            <w:shd w:val="clear" w:color="auto" w:fill="CCEEFF"/>
          </w:tcPr>
          <w:p>
            <w:pPr>
              <w:spacing w:after="0"/>
              <w:rPr>
                <w:sz w:val="19"/>
                <w:szCs w:val="19"/>
                <w:color w:val="auto"/>
              </w:rPr>
            </w:pPr>
          </w:p>
        </w:tc>
      </w:tr>
      <w:tr>
        <w:trPr>
          <w:trHeight w:val="24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Equity Compensation (includes options and warrants)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2,069,583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5,164,583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-1997710</wp:posOffset>
            </wp:positionV>
            <wp:extent cx="7246620" cy="19983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below relates to our issuances of securities without registration under the Securities Act of 1933 during the reporting period which were not previously included in a Quarterly Report on Form 10-Q or Current Report on Form 8-K.</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December, 2016, we issued 12,500 shares of restricted common stock to our outside Directors as part of our director compensation package for services rendered in the fourth quarter of 2015.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2016, we issued 236,213 shares of restricted common stock in connection with the cashless exercise of stock options.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2016 and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revenue reported for the year ended December 31, 2016 was approximately $7.75 million, an increase of 7% from the year ended December 31, 2015. We expect revenue growth to accelerate in 2017 as a result of the foundations laid in 2016.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pharmaceutical industry is dominated by large companies with multiple brands, our revenue is concentrated in a relatively small number of companies. We have approximately 25 pharmaceutical companies as customers. We have been focusing our efforts on expanding both our customer base and our product offerings and are becoming less dependent on any one customer. In 2015, approximately 32% of our revenues came from our two largest customers, while in 2016 only approximately 18% of our revenues came from those same two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cost of sales, composed primarily of revenue share expense, decreased in the year ended December 31, 2016, from the year ended December 31, 2015 primarily as a result of the product mix. In addition, revenue share expense as a percentage of revenue in 2016 decreased from 2015 from approximately 50% in the year ended December 31, 2015 to approximately 44% in the year ended December 31, 2016.</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decrease in revenue share expense as a percentage of revenue results from a combination of factors, including product mix whereby a larger percentage of overall revenues are not subject to revenue share. In addition, we have signed revenue share agreements with new partners that have the effect of lowering the revenue share percentage, as well as amending certain existing agreements to obtain the same result. We expect revenue share expense as a percentage of revenue in 2017 to continue at levels similar to that of 2016, or even increase slightly, because we expect growth to accelerate in those revenue categories subject to revenue share expense. However, we expect to continue our efforts to lower the revenue share percentages in our agreements. In addition, our comarketing agreement with WPP requires us to pay revenue share to WPP agencies on new brands secured for us by those agencies. If we successfully expand revenue through the WPP relationship, our revenue share percentage will increase.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increased to approximately $5.9 million for the year ended December 31, 2016 from approximately $4.2 million for the year ended December 31, 2015, an increase of approximately 41%. The detail by major category is reflected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Years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Wages, &amp; Benefits</w:t>
            </w:r>
          </w:p>
        </w:tc>
        <w:tc>
          <w:tcPr>
            <w:tcW w:w="5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2,919,809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1,788,471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576,995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Compensation</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Consultants</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213,535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296,997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235,284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and Maintenance</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398,396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Facility, and other</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214,776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151,826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4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279,403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5,312,277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3,614,776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559,301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581,106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Lawsuit settlement</w:t>
            </w:r>
          </w:p>
        </w:tc>
        <w:tc>
          <w:tcPr>
            <w:tcW w:w="4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5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5,921,578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4,195,882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-3343910</wp:posOffset>
            </wp:positionV>
            <wp:extent cx="7246620" cy="2889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88988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The main reasons for the overall increase in operating expenses in 2016 was our focus on staffing and scaling our company to focus on, and be able to support, accelerated revenue growth.</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Within the operating expenses, there were a variety of increases, the largest of which was in salaries, wages and benefits as a result of additional staff in 2016, including related benefits. During 2016, we hired a new CEO, a senior VP of strategy and development, two new VPs of sales, as well as additional supporting positons. Incentive compensation also increased. While bonuses for executive officers in 2016 were similar to, or lower than in 2015, we expanded our incentive compensation programs to cover all staff. We expect compensation expense to increase in 2017 as both the result of the full year impact of 2016 additions, as well as new hires in 2017 to support the expected accelerated revenue growth as it materializes. However, we expect the increase in compensation expense in 2017 to be less than the increase in 2016.</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Professional fees increased as a result of the litigation in process, primarily related to the PDR/LDM lawsuit. We expect a continued similar level of professional fees in 2017 as a result of the ongoing level of activity on our litigation. Advertising and promotion increased as a result of our efforts in rebranding of our company, including updating our marketing materials and website. Since much of that was a one-time cost, we expect advertising and promotion costs to decrease in 2017, however, we still plan an increased focus on marketing as compared with years prior to 2016.</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Development and maintenance of our technology in 2016 decreased from the 2015 level because 2015 included a $250,000 development payment to Allscripts for integration into the Allscripts Touchworks platform. Leaving that payment aside, development and maintenance increased by about 33% as a result of the expansion of our system capacity and capabilities and the move to a more robust Oracle database late in 2015. We expect development and maintenance to increase in 2017 as we continue to expand or product line and capabilities. Depreciation and amortization decreased in 2016 from the 2015 levels because the initial software development capitalized in early years became fully depreciated in 2015. Other increases in operating expenses generally increased as a result of the increased staffing levels.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finished the year ended December 31, 2016 with a loss of approximately $1.5 million, as compared to a loss of approximately $600,000 during the year ended December 31, 2015. The reasons for specific components are discussed above. Overall, we had an increase in revenue and resulting gross margin offset by increased operating expenses to support future growth. In addition, the loss in both periods included significant noncash items. We had approximately $600,000 of stock based compensation in both years and approximately $235,000 of depreciation in 2016 and approximately $235,000 in 2015.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Quarterly Financial Information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Following is our quarterly operating results for 2016 for information purposes.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First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Second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Third</w:t>
            </w:r>
          </w:p>
        </w:tc>
        <w:tc>
          <w:tcPr>
            <w:tcW w:w="20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Fourth</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Quarter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Quarter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Quarter</w:t>
            </w:r>
          </w:p>
        </w:tc>
        <w:tc>
          <w:tcPr>
            <w:tcW w:w="2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Quarter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Year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1,759,528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1,913,299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2,292,498</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7,751,462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Share Expense</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892,793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922,832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723,396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872,375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3,411,396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866,735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990,467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1,420,123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4,340,066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1,228,726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1,592,982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1,311,959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1,787,911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5,921,578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(361,991)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(602,515)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(249,218)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(367,788)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(1,581,512)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(351,915)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(591,933)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(242,585)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(352,770)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(1,539,203)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Taxes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(351,915)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(591,933)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(242,585)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(352,770)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(1,539,203)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-3192780</wp:posOffset>
            </wp:positionV>
            <wp:extent cx="7246620" cy="3181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18135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2016, we had total current assets of approximately $10.2 million, compared with current liabilities of approximately $3.7 million, resulting in working capital of approximately $6.5 million and a current ratio of approximately 2.8 to 1. This compares with the working capital balance of approximately $7.7 million and the current ratio of 3.3 to 1 at December 31, 2015. This decrease in working capital, as discussed in more detail below, is primarily the result of the payout to our previous CEO as well as cash used in investing activities.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flow for the year ended December 31, 2016 was negatively impacted by a one-time payment of $720,415 to our previous CEO in lieu of issuance of approximately 595,000 common shares due to him from previous years. This payment impacts two sections of the statement of cash flows. As discussed in more detail below, a portion of these shares were reflected in accounts payable and payment of that portion affects cash flow from operations. The remaining portion was reflected in stock payable in the equity section and affects cash used in financing activities.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is a table with summary data from the consolidated statement of cash flows for the year ended December 31, 2016, as presented and after removing the effect of this payment.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Adjusted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remove effect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of one-time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As presented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payment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(349,538)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(349,538)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(357,415)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(1,172,918)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(452.503)</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300" w:type="dxa"/>
            <w:vAlign w:val="bottom"/>
            <w:tcBorders>
              <w:top w:val="single" w:sz="8" w:color="CCEEFF"/>
              <w:bottom w:val="single" w:sz="8" w:color="auto"/>
            </w:tcBorders>
          </w:tcPr>
          <w:p>
            <w:pPr>
              <w:spacing w:after="0"/>
              <w:rPr>
                <w:sz w:val="24"/>
                <w:szCs w:val="24"/>
                <w:color w:val="auto"/>
              </w:rPr>
            </w:pPr>
          </w:p>
        </w:tc>
        <w:tc>
          <w:tcPr>
            <w:tcW w:w="4500" w:type="dxa"/>
            <w:vAlign w:val="bottom"/>
            <w:tcBorders>
              <w:top w:val="single" w:sz="8" w:color="CCEEFF"/>
              <w:bottom w:val="single" w:sz="8" w:color="auto"/>
            </w:tcBorders>
          </w:tcPr>
          <w:p>
            <w:pPr>
              <w:jc w:val="right"/>
              <w:ind w:right="29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-1731645</wp:posOffset>
            </wp:positionV>
            <wp:extent cx="7246620" cy="129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29476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activities used approximately $465,000 in the year ended December 31, 2016 as comparted with approximately $500,000 provided by operating activities in the year ended December 31, 2015. The majority of the cash used in operations in 2016 related to a payment to our previous CEO. We had an accounts payable recorded at $570,000 to the previous CEO payable in 300,000 shares of common stock. We paid $363,000 in full settlement of the liability in cash in lieu of issuing shares. The difference between the amount paid and the amount recorded was charged to additional paid in capital.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used approximately $350,000 in investing activities in the year ended December 31, 2016 compared with about $100,000 in the year ended December 31, 2015. These investment activities relate to improvements being implemented in our software platform, protection and expansion of our patent portfolio, and upgrade of our office facilities and computers. These items represent important components of our business strategy moving forward.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Financing activities provided approximately $4.3 million in the year ended December 31, 2015, resulting from the strategic investment of approximately $4.7 million by WPP, net of costs associated with the investment. Financing activities used approximately $357,000 during the year ended December 31, 2016. This results from the previously mentioned payment to our previous CEO. In addition to the accounts payable related party, we also owed shares for previous stock grants. A total payment of approximately $720,000 was made to the previous CEO in 2016, with $363,000 affecting cash flow from operations and $357,000 reflected as cash flow from financing activities. With our cash on hand, we have sufficient cash to operate our business for more than the next twelve months and we do not anticipate the need to raise additional equity for operating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2016, there were no off 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accounting policies are discussed in detail in the footnotes to our financial statements included in this Annual Report on Form 10-K for the year ended December 31, 2016, however we consider our critical accounting policies to be those related to determining the amount of revenue to be billed, the timing of revenue recognition, calculation of revenue share expense, stock-based compensation, capitalization and related amortization of intangible assets, and impairment of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expect the adoption of recently issued accounting pronouncements to have a significant impact on our results of operation, financial position or cash flow.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p>
      <w:pPr>
        <w:spacing w:after="0" w:line="229" w:lineRule="exact"/>
        <w:rPr>
          <w:sz w:val="20"/>
          <w:szCs w:val="20"/>
          <w:color w:val="auto"/>
        </w:rPr>
      </w:pPr>
    </w:p>
    <w:p>
      <w:pPr>
        <w:spacing w:after="0"/>
        <w:tabs>
          <w:tab w:leader="none" w:pos="6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F-1</w:t>
      </w:r>
      <w:r>
        <w:rPr>
          <w:sz w:val="20"/>
          <w:szCs w:val="20"/>
          <w:color w:val="auto"/>
        </w:rPr>
        <w:tab/>
      </w:r>
      <w:hyperlink w:anchor="page22">
        <w:r>
          <w:rPr>
            <w:rFonts w:ascii="Times New Roman" w:cs="Times New Roman" w:eastAsia="Times New Roman" w:hAnsi="Times New Roman"/>
            <w:sz w:val="17"/>
            <w:szCs w:val="17"/>
            <w:u w:val="single" w:color="auto"/>
            <w:color w:val="0000EE"/>
          </w:rPr>
          <w:t>Report of Independent Registered Public Accounting Firm;</w:t>
        </w:r>
      </w:hyperlink>
    </w:p>
    <w:p>
      <w:pPr>
        <w:spacing w:after="0" w:line="225" w:lineRule="exact"/>
        <w:rPr>
          <w:sz w:val="20"/>
          <w:szCs w:val="20"/>
          <w:color w:val="auto"/>
        </w:rPr>
      </w:pPr>
    </w:p>
    <w:p>
      <w:pPr>
        <w:spacing w:after="0"/>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F-2</w:t>
      </w:r>
      <w:r>
        <w:rPr>
          <w:sz w:val="20"/>
          <w:szCs w:val="20"/>
          <w:color w:val="auto"/>
        </w:rPr>
        <w:tab/>
      </w:r>
      <w:hyperlink w:anchor="page23">
        <w:r>
          <w:rPr>
            <w:rFonts w:ascii="Times New Roman" w:cs="Times New Roman" w:eastAsia="Times New Roman" w:hAnsi="Times New Roman"/>
            <w:sz w:val="18"/>
            <w:szCs w:val="18"/>
            <w:u w:val="single" w:color="auto"/>
            <w:color w:val="0000EE"/>
          </w:rPr>
          <w:t>Consolidated Balance Sheets as of December 31, 2016 and 2015;</w:t>
        </w:r>
      </w:hyperlink>
    </w:p>
    <w:p>
      <w:pPr>
        <w:spacing w:after="0" w:line="225" w:lineRule="exact"/>
        <w:rPr>
          <w:sz w:val="20"/>
          <w:szCs w:val="20"/>
          <w:color w:val="auto"/>
        </w:rPr>
      </w:pPr>
    </w:p>
    <w:p>
      <w:pPr>
        <w:spacing w:after="0"/>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F-3</w:t>
      </w:r>
      <w:r>
        <w:rPr>
          <w:sz w:val="20"/>
          <w:szCs w:val="20"/>
          <w:color w:val="auto"/>
        </w:rPr>
        <w:tab/>
      </w:r>
      <w:hyperlink w:anchor="page24">
        <w:r>
          <w:rPr>
            <w:rFonts w:ascii="Times New Roman" w:cs="Times New Roman" w:eastAsia="Times New Roman" w:hAnsi="Times New Roman"/>
            <w:sz w:val="18"/>
            <w:szCs w:val="18"/>
            <w:u w:val="single" w:color="auto"/>
            <w:color w:val="0000EE"/>
          </w:rPr>
          <w:t>Consolidated Statements of Operations for the years ended December 31, 2016 and 2015;</w:t>
        </w:r>
      </w:hyperlink>
    </w:p>
    <w:p>
      <w:pPr>
        <w:spacing w:after="0" w:line="225" w:lineRule="exact"/>
        <w:rPr>
          <w:sz w:val="20"/>
          <w:szCs w:val="20"/>
          <w:color w:val="auto"/>
        </w:rPr>
      </w:pPr>
    </w:p>
    <w:p>
      <w:pPr>
        <w:spacing w:after="0"/>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F-4</w:t>
      </w:r>
      <w:r>
        <w:rPr>
          <w:sz w:val="20"/>
          <w:szCs w:val="20"/>
          <w:color w:val="auto"/>
        </w:rPr>
        <w:tab/>
      </w:r>
      <w:hyperlink w:anchor="page25">
        <w:r>
          <w:rPr>
            <w:rFonts w:ascii="Times New Roman" w:cs="Times New Roman" w:eastAsia="Times New Roman" w:hAnsi="Times New Roman"/>
            <w:sz w:val="18"/>
            <w:szCs w:val="18"/>
            <w:u w:val="single" w:color="auto"/>
            <w:color w:val="0000EE"/>
          </w:rPr>
          <w:t>Consolidated Statement of Stockholders’ Equity for the year ended December 31, 2015;</w:t>
        </w:r>
      </w:hyperlink>
    </w:p>
    <w:p>
      <w:pPr>
        <w:spacing w:after="0" w:line="225" w:lineRule="exact"/>
        <w:rPr>
          <w:sz w:val="20"/>
          <w:szCs w:val="20"/>
          <w:color w:val="auto"/>
        </w:rPr>
      </w:pPr>
    </w:p>
    <w:p>
      <w:pPr>
        <w:spacing w:after="0"/>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F-5</w:t>
      </w:r>
      <w:r>
        <w:rPr>
          <w:sz w:val="20"/>
          <w:szCs w:val="20"/>
          <w:color w:val="auto"/>
        </w:rPr>
        <w:tab/>
      </w:r>
      <w:hyperlink w:anchor="page26">
        <w:r>
          <w:rPr>
            <w:rFonts w:ascii="Times New Roman" w:cs="Times New Roman" w:eastAsia="Times New Roman" w:hAnsi="Times New Roman"/>
            <w:sz w:val="18"/>
            <w:szCs w:val="18"/>
            <w:u w:val="single" w:color="auto"/>
            <w:color w:val="0000EE"/>
          </w:rPr>
          <w:t>Consolidated Statement of Stockholders’ Equity for the year ended December 31, 2016;</w:t>
        </w:r>
      </w:hyperlink>
    </w:p>
    <w:p>
      <w:pPr>
        <w:spacing w:after="0" w:line="225" w:lineRule="exact"/>
        <w:rPr>
          <w:sz w:val="20"/>
          <w:szCs w:val="20"/>
          <w:color w:val="auto"/>
        </w:rPr>
      </w:pPr>
    </w:p>
    <w:p>
      <w:pPr>
        <w:spacing w:after="0"/>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F-6</w:t>
      </w:r>
      <w:r>
        <w:rPr>
          <w:sz w:val="20"/>
          <w:szCs w:val="20"/>
          <w:color w:val="auto"/>
        </w:rPr>
        <w:tab/>
      </w:r>
      <w:hyperlink w:anchor="page27">
        <w:r>
          <w:rPr>
            <w:rFonts w:ascii="Times New Roman" w:cs="Times New Roman" w:eastAsia="Times New Roman" w:hAnsi="Times New Roman"/>
            <w:sz w:val="18"/>
            <w:szCs w:val="18"/>
            <w:u w:val="single" w:color="auto"/>
            <w:color w:val="0000EE"/>
          </w:rPr>
          <w:t>Consolidated Statements of Cash Flows for the years ended December 31, 2016 and 2015; and</w:t>
        </w:r>
      </w:hyperlink>
    </w:p>
    <w:p>
      <w:pPr>
        <w:spacing w:after="0" w:line="225" w:lineRule="exact"/>
        <w:rPr>
          <w:sz w:val="20"/>
          <w:szCs w:val="20"/>
          <w:color w:val="auto"/>
        </w:rPr>
      </w:pPr>
    </w:p>
    <w:p>
      <w:pPr>
        <w:spacing w:after="0"/>
        <w:tabs>
          <w:tab w:leader="none" w:pos="6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F-7</w:t>
      </w:r>
      <w:r>
        <w:rPr>
          <w:sz w:val="20"/>
          <w:szCs w:val="20"/>
          <w:color w:val="auto"/>
        </w:rPr>
        <w:tab/>
      </w:r>
      <w:hyperlink w:anchor="page28">
        <w:r>
          <w:rPr>
            <w:rFonts w:ascii="Times New Roman" w:cs="Times New Roman" w:eastAsia="Times New Roman" w:hAnsi="Times New Roman"/>
            <w:sz w:val="17"/>
            <w:szCs w:val="17"/>
            <w:u w:val="single" w:color="auto"/>
            <w:color w:val="0000EE"/>
          </w:rPr>
          <w:t>Notes to Consolidated Financial Statements</w:t>
        </w:r>
      </w:hyperlink>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0"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KLJ &amp; Associates, LLP</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5201 Eden Ave.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Edina, MN 55436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Office: 630-277-2330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Fax: 763-592-8238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MI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OptimizeRx Corporation as of December 31, 2016 and 2015, and the related consolidated statements of operations, shareholders' equity (deficit), and cash flows for the years then ended. These consolidated financial statements are the responsibility of the Company's management. Our responsibility is to express an opinion on these consolidated financial statements based on our audits.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OptimizeRx Corporation as of December 31, 2016 and 2015 and the results of their operations and their cash flows for years ended December 31, 2016 and 2015, in conformity with U.S. generally accepted accounting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KLJ &amp; Associates,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KLJ &amp; Associates,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Edina, MN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 as 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2016 and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December 31,</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700" w:type="dxa"/>
            <w:vAlign w:val="bottom"/>
          </w:tcPr>
          <w:p>
            <w:pPr>
              <w:ind w:left="402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7,034,647</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8,207,565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3,060,396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80,820</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10,175,863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11,125,638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173,649</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 rights,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772,394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Web development costs,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351,804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deposit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5,049</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1,129,247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11,478,759</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12,314,280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700" w:type="dxa"/>
            <w:vAlign w:val="bottom"/>
            <w:vMerge w:val="restart"/>
          </w:tcPr>
          <w:p>
            <w:pPr>
              <w:ind w:left="24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8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369,214</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288,268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2,622,517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386,581</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3,666,580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3,371,784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 issued and outstanding at December 31, 2016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$.001 par value, 500,000,000 shares authorized, 29,718,867 and 29,030,925 shares issued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2016 and 2015, respectively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29,719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warrants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2,294,416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2,329,508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33,747,137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32,185,499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stock compensation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0" w:type="dxa"/>
            <w:vAlign w:val="bottom"/>
          </w:tcPr>
          <w:p>
            <w:pPr>
              <w:spacing w:after="0"/>
              <w:rPr>
                <w:sz w:val="1"/>
                <w:szCs w:val="1"/>
                <w:color w:val="auto"/>
              </w:rPr>
            </w:pPr>
          </w:p>
        </w:tc>
      </w:tr>
      <w:tr>
        <w:trPr>
          <w:trHeight w:val="255"/>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(28,259,093)</w:t>
            </w:r>
          </w:p>
        </w:tc>
        <w:tc>
          <w:tcPr>
            <w:tcW w:w="1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(26,719,890)</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7,812,179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8,942,496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11,478,759</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12,314,280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for the Years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Ended December 31, 2016 and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For the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For the</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year ended</w:t>
            </w:r>
          </w:p>
        </w:tc>
        <w:tc>
          <w:tcPr>
            <w:tcW w:w="0" w:type="dxa"/>
            <w:vAlign w:val="bottom"/>
          </w:tcPr>
          <w:p>
            <w:pPr>
              <w:spacing w:after="0"/>
              <w:rPr>
                <w:sz w:val="1"/>
                <w:szCs w:val="1"/>
                <w:color w:val="auto"/>
              </w:rPr>
            </w:pPr>
          </w:p>
        </w:tc>
      </w:tr>
      <w:tr>
        <w:trPr>
          <w:trHeight w:val="230"/>
        </w:trPr>
        <w:tc>
          <w:tcPr>
            <w:tcW w:w="8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19"/>
                <w:szCs w:val="19"/>
                <w:color w:val="auto"/>
              </w:rPr>
            </w:pP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41"/>
        </w:trPr>
        <w:tc>
          <w:tcPr>
            <w:tcW w:w="8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REVENUE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7,751,462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7,220,678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EXPENSE</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3,411,396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3,622,203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4,340,066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3,598,475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EXPENSES</w:t>
            </w: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559,301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235,284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Lawsuit settlement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5,076,993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3,280,826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5,921,578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4,195,882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(1,581,512</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(597,407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98"/>
        </w:trPr>
        <w:tc>
          <w:tcPr>
            <w:tcW w:w="8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42,309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4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BEFORE PROVISION FOR INCOME TAXES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(1,539,203)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(595,140)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8420" w:type="dxa"/>
            <w:vAlign w:val="bottom"/>
            <w:vMerge w:val="continue"/>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(1,539,203</w:t>
            </w:r>
          </w:p>
        </w:tc>
        <w:tc>
          <w:tcPr>
            <w:tcW w:w="220" w:type="dxa"/>
            <w:vAlign w:val="bottom"/>
            <w:vMerge w:val="continue"/>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(595,140</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BASIC</w:t>
            </w:r>
          </w:p>
        </w:tc>
        <w:tc>
          <w:tcPr>
            <w:tcW w:w="4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4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29,707,918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24,562,438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(no separate per share amount shown for diluted because loss is antidilutive)</w:t>
            </w: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23"/>
        </w:trPr>
        <w:tc>
          <w:tcPr>
            <w:tcW w:w="84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Borders>
              <w:bottom w:val="single" w:sz="8" w:color="auto"/>
            </w:tcBorders>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w:t>
      </w:r>
    </w:p>
    <w:p>
      <w:pPr>
        <w:spacing w:after="0" w:line="226" w:lineRule="auto"/>
        <w:rPr>
          <w:sz w:val="20"/>
          <w:szCs w:val="20"/>
          <w:color w:val="auto"/>
        </w:rPr>
      </w:pPr>
      <w:r>
        <w:rPr>
          <w:rFonts w:ascii="Times New Roman" w:cs="Times New Roman" w:eastAsia="Times New Roman" w:hAnsi="Times New Roman"/>
          <w:sz w:val="14"/>
          <w:szCs w:val="14"/>
          <w:color w:val="auto"/>
        </w:rPr>
        <w:t>December</w:t>
      </w:r>
    </w:p>
    <w:p>
      <w:pPr>
        <w:spacing w:after="0" w:line="222" w:lineRule="auto"/>
        <w:rPr>
          <w:sz w:val="20"/>
          <w:szCs w:val="20"/>
          <w:color w:val="auto"/>
        </w:rPr>
      </w:pPr>
      <w:r>
        <w:rPr>
          <w:rFonts w:ascii="Times New Roman" w:cs="Times New Roman" w:eastAsia="Times New Roman" w:hAnsi="Times New Roman"/>
          <w:sz w:val="14"/>
          <w:szCs w:val="14"/>
          <w:color w:val="auto"/>
        </w:rPr>
        <w:t>31, 2014</w:t>
      </w:r>
    </w:p>
    <w:p>
      <w:pPr>
        <w:spacing w:after="0" w:line="221" w:lineRule="auto"/>
        <w:rPr>
          <w:sz w:val="20"/>
          <w:szCs w:val="20"/>
          <w:color w:val="auto"/>
        </w:rPr>
      </w:pPr>
      <w:r>
        <w:rPr>
          <w:rFonts w:ascii="Times New Roman" w:cs="Times New Roman" w:eastAsia="Times New Roman" w:hAnsi="Times New Roman"/>
          <w:sz w:val="14"/>
          <w:szCs w:val="14"/>
          <w:color w:val="auto"/>
        </w:rPr>
        <w:t>Issuance</w:t>
      </w:r>
    </w:p>
    <w:p>
      <w:pPr>
        <w:spacing w:after="0" w:line="222" w:lineRule="auto"/>
        <w:rPr>
          <w:sz w:val="20"/>
          <w:szCs w:val="20"/>
          <w:color w:val="auto"/>
        </w:rPr>
      </w:pPr>
      <w:r>
        <w:rPr>
          <w:rFonts w:ascii="Times New Roman" w:cs="Times New Roman" w:eastAsia="Times New Roman" w:hAnsi="Times New Roman"/>
          <w:sz w:val="14"/>
          <w:szCs w:val="14"/>
          <w:color w:val="auto"/>
        </w:rPr>
        <w:t>of stock</w:t>
      </w:r>
    </w:p>
    <w:p>
      <w:pPr>
        <w:spacing w:after="0" w:line="221" w:lineRule="auto"/>
        <w:rPr>
          <w:sz w:val="20"/>
          <w:szCs w:val="20"/>
          <w:color w:val="auto"/>
        </w:rPr>
      </w:pPr>
      <w:r>
        <w:rPr>
          <w:rFonts w:ascii="Times New Roman" w:cs="Times New Roman" w:eastAsia="Times New Roman" w:hAnsi="Times New Roman"/>
          <w:sz w:val="14"/>
          <w:szCs w:val="14"/>
          <w:color w:val="auto"/>
        </w:rPr>
        <w:t>options to</w:t>
      </w:r>
    </w:p>
    <w:p>
      <w:pPr>
        <w:spacing w:after="0" w:line="222" w:lineRule="auto"/>
        <w:rPr>
          <w:sz w:val="20"/>
          <w:szCs w:val="20"/>
          <w:color w:val="auto"/>
        </w:rPr>
      </w:pPr>
      <w:r>
        <w:rPr>
          <w:rFonts w:ascii="Times New Roman" w:cs="Times New Roman" w:eastAsia="Times New Roman" w:hAnsi="Times New Roman"/>
          <w:sz w:val="14"/>
          <w:szCs w:val="14"/>
          <w:color w:val="auto"/>
        </w:rPr>
        <w:t>employees</w:t>
      </w:r>
    </w:p>
    <w:p>
      <w:pPr>
        <w:spacing w:after="0" w:line="221" w:lineRule="auto"/>
        <w:rPr>
          <w:sz w:val="20"/>
          <w:szCs w:val="20"/>
          <w:color w:val="auto"/>
        </w:rPr>
      </w:pPr>
      <w:r>
        <w:rPr>
          <w:rFonts w:ascii="Times New Roman" w:cs="Times New Roman" w:eastAsia="Times New Roman" w:hAnsi="Times New Roman"/>
          <w:sz w:val="14"/>
          <w:szCs w:val="14"/>
          <w:color w:val="auto"/>
        </w:rPr>
        <w:t>Issuance</w:t>
      </w:r>
    </w:p>
    <w:p>
      <w:pPr>
        <w:spacing w:after="0" w:line="222" w:lineRule="auto"/>
        <w:rPr>
          <w:sz w:val="20"/>
          <w:szCs w:val="20"/>
          <w:color w:val="auto"/>
        </w:rPr>
      </w:pPr>
      <w:r>
        <w:rPr>
          <w:rFonts w:ascii="Times New Roman" w:cs="Times New Roman" w:eastAsia="Times New Roman" w:hAnsi="Times New Roman"/>
          <w:sz w:val="14"/>
          <w:szCs w:val="14"/>
          <w:color w:val="auto"/>
        </w:rPr>
        <w:t>of</w:t>
      </w:r>
    </w:p>
    <w:p>
      <w:pPr>
        <w:spacing w:after="0" w:line="221" w:lineRule="auto"/>
        <w:rPr>
          <w:sz w:val="20"/>
          <w:szCs w:val="20"/>
          <w:color w:val="auto"/>
        </w:rPr>
      </w:pPr>
      <w:r>
        <w:rPr>
          <w:rFonts w:ascii="Times New Roman" w:cs="Times New Roman" w:eastAsia="Times New Roman" w:hAnsi="Times New Roman"/>
          <w:sz w:val="14"/>
          <w:szCs w:val="14"/>
          <w:color w:val="auto"/>
        </w:rPr>
        <w:t>common</w:t>
      </w:r>
    </w:p>
    <w:p>
      <w:pPr>
        <w:spacing w:after="0" w:line="222" w:lineRule="auto"/>
        <w:rPr>
          <w:sz w:val="20"/>
          <w:szCs w:val="20"/>
          <w:color w:val="auto"/>
        </w:rPr>
      </w:pPr>
      <w:r>
        <w:rPr>
          <w:rFonts w:ascii="Times New Roman" w:cs="Times New Roman" w:eastAsia="Times New Roman" w:hAnsi="Times New Roman"/>
          <w:sz w:val="14"/>
          <w:szCs w:val="14"/>
          <w:color w:val="auto"/>
        </w:rPr>
        <w:t>stock:</w:t>
      </w:r>
    </w:p>
    <w:p>
      <w:pPr>
        <w:ind w:left="180"/>
        <w:spacing w:after="0" w:line="221" w:lineRule="auto"/>
        <w:rPr>
          <w:sz w:val="20"/>
          <w:szCs w:val="20"/>
          <w:color w:val="auto"/>
        </w:rPr>
      </w:pPr>
      <w:r>
        <w:rPr>
          <w:rFonts w:ascii="Times New Roman" w:cs="Times New Roman" w:eastAsia="Times New Roman" w:hAnsi="Times New Roman"/>
          <w:sz w:val="14"/>
          <w:szCs w:val="14"/>
          <w:color w:val="auto"/>
        </w:rPr>
        <w:t>for</w:t>
      </w:r>
    </w:p>
    <w:p>
      <w:pPr>
        <w:ind w:left="180"/>
        <w:spacing w:after="0" w:line="221" w:lineRule="auto"/>
        <w:rPr>
          <w:sz w:val="20"/>
          <w:szCs w:val="20"/>
          <w:color w:val="auto"/>
        </w:rPr>
      </w:pPr>
      <w:r>
        <w:rPr>
          <w:rFonts w:ascii="Times New Roman" w:cs="Times New Roman" w:eastAsia="Times New Roman" w:hAnsi="Times New Roman"/>
          <w:sz w:val="14"/>
          <w:szCs w:val="14"/>
          <w:color w:val="auto"/>
        </w:rPr>
        <w:t>services</w:t>
      </w:r>
    </w:p>
    <w:p>
      <w:pPr>
        <w:spacing w:after="0" w:line="1" w:lineRule="exact"/>
        <w:rPr>
          <w:sz w:val="20"/>
          <w:szCs w:val="20"/>
          <w:color w:val="auto"/>
        </w:rPr>
      </w:pPr>
    </w:p>
    <w:p>
      <w:pPr>
        <w:ind w:right="20" w:firstLine="180"/>
        <w:spacing w:after="0" w:line="225" w:lineRule="auto"/>
        <w:rPr>
          <w:sz w:val="20"/>
          <w:szCs w:val="20"/>
          <w:color w:val="auto"/>
        </w:rPr>
      </w:pPr>
      <w:r>
        <w:rPr>
          <w:rFonts w:ascii="Times New Roman" w:cs="Times New Roman" w:eastAsia="Times New Roman" w:hAnsi="Times New Roman"/>
          <w:sz w:val="14"/>
          <w:szCs w:val="14"/>
          <w:color w:val="auto"/>
        </w:rPr>
        <w:t>for cash Issue stock rights to officers Expense consulting services Net loss for the year</w:t>
      </w:r>
    </w:p>
    <w:p>
      <w:pPr>
        <w:ind w:right="60"/>
        <w:spacing w:after="0" w:line="234" w:lineRule="auto"/>
        <w:rPr>
          <w:sz w:val="20"/>
          <w:szCs w:val="20"/>
          <w:color w:val="auto"/>
        </w:rPr>
      </w:pPr>
      <w:r>
        <w:rPr>
          <w:rFonts w:ascii="Times New Roman" w:cs="Times New Roman" w:eastAsia="Times New Roman" w:hAnsi="Times New Roman"/>
          <w:sz w:val="14"/>
          <w:szCs w:val="14"/>
          <w:color w:val="auto"/>
        </w:rPr>
        <w:t>Balance, December 31, 2015</w:t>
      </w:r>
    </w:p>
    <w:p>
      <w:pPr>
        <w:spacing w:after="0" w:line="20" w:lineRule="exact"/>
        <w:rPr>
          <w:sz w:val="20"/>
          <w:szCs w:val="20"/>
          <w:color w:val="auto"/>
        </w:rPr>
      </w:pPr>
      <w:r>
        <w:rPr>
          <w:sz w:val="20"/>
          <w:szCs w:val="20"/>
          <w:color w:val="auto"/>
        </w:rPr>
        <w:br w:type="column"/>
      </w: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for the Year</w:t>
      </w:r>
    </w:p>
    <w:p>
      <w:pPr>
        <w:spacing w:after="0" w:line="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Ended December 31, 2015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Preferred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Preferred</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Deferred</w:t>
            </w:r>
          </w:p>
        </w:tc>
        <w:tc>
          <w:tcPr>
            <w:tcW w:w="11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Accumulated</w:t>
            </w:r>
          </w:p>
        </w:tc>
        <w:tc>
          <w:tcPr>
            <w:tcW w:w="18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62"/>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Stock</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Stock</w:t>
            </w:r>
          </w:p>
        </w:tc>
        <w:tc>
          <w:tcPr>
            <w:tcW w:w="1120" w:type="dxa"/>
            <w:vAlign w:val="bottom"/>
            <w:gridSpan w:val="3"/>
            <w:vMerge w:val="continue"/>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Warrants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Payable</w:t>
            </w:r>
          </w:p>
        </w:tc>
        <w:tc>
          <w:tcPr>
            <w:tcW w:w="22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Compensation</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Deficit</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Equity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9"/>
        </w:trPr>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22,867,319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22,867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2,153,295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27,595,609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963,083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(26,124,750)</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4,610,084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253,358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2"/>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152,500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176,213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172,310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(14,688)</w:t>
            </w:r>
          </w:p>
        </w:tc>
        <w:tc>
          <w:tcPr>
            <w:tcW w:w="1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(97,650)</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6,011,106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4,164,222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4,346,446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6"/>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183,773</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83,850</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(595,140)</w:t>
            </w:r>
          </w:p>
        </w:tc>
        <w:tc>
          <w:tcPr>
            <w:tcW w:w="1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(595,140)</w:t>
            </w:r>
          </w:p>
        </w:tc>
        <w:tc>
          <w:tcPr>
            <w:tcW w:w="0" w:type="dxa"/>
            <w:vAlign w:val="bottom"/>
          </w:tcPr>
          <w:p>
            <w:pPr>
              <w:spacing w:after="0"/>
              <w:rPr>
                <w:sz w:val="1"/>
                <w:szCs w:val="1"/>
                <w:color w:val="auto"/>
              </w:rPr>
            </w:pPr>
          </w:p>
        </w:tc>
      </w:tr>
      <w:tr>
        <w:trPr>
          <w:trHeight w:val="27"/>
        </w:trPr>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29,030,925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29,031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2,329,508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32,185,499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1,132,168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(13,800</w:t>
            </w:r>
            <w:r>
              <w:rPr>
                <w:rFonts w:ascii="Times New Roman" w:cs="Times New Roman" w:eastAsia="Times New Roman" w:hAnsi="Times New Roman"/>
                <w:sz w:val="28"/>
                <w:szCs w:val="28"/>
                <w:color w:val="auto"/>
                <w:vertAlign w:val="super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(26,719,890</w:t>
            </w:r>
            <w:r>
              <w:rPr>
                <w:rFonts w:ascii="Times New Roman" w:cs="Times New Roman" w:eastAsia="Times New Roman" w:hAnsi="Times New Roman"/>
                <w:sz w:val="28"/>
                <w:szCs w:val="28"/>
                <w:color w:val="auto"/>
                <w:vertAlign w:val="superscript"/>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8,942,496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17145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660" w:space="80"/>
            <w:col w:w="10620"/>
          </w:cols>
          <w:pgMar w:left="240" w:top="900" w:right="29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4"/>
          <w:szCs w:val="14"/>
          <w:color w:val="auto"/>
        </w:rPr>
        <w:t>Balance, December 31, 2015 Issuance of stock options to employees Issuance of common stock:</w:t>
      </w:r>
    </w:p>
    <w:p>
      <w:pPr>
        <w:ind w:left="180"/>
        <w:spacing w:after="0" w:line="222" w:lineRule="auto"/>
        <w:rPr>
          <w:sz w:val="20"/>
          <w:szCs w:val="20"/>
          <w:color w:val="auto"/>
        </w:rPr>
      </w:pPr>
      <w:r>
        <w:rPr>
          <w:rFonts w:ascii="Times New Roman" w:cs="Times New Roman" w:eastAsia="Times New Roman" w:hAnsi="Times New Roman"/>
          <w:sz w:val="14"/>
          <w:szCs w:val="14"/>
          <w:color w:val="auto"/>
        </w:rPr>
        <w:t>for</w:t>
      </w:r>
    </w:p>
    <w:p>
      <w:pPr>
        <w:ind w:left="180"/>
        <w:spacing w:after="0" w:line="222" w:lineRule="auto"/>
        <w:rPr>
          <w:sz w:val="20"/>
          <w:szCs w:val="20"/>
          <w:color w:val="auto"/>
        </w:rPr>
      </w:pPr>
      <w:r>
        <w:rPr>
          <w:rFonts w:ascii="Times New Roman" w:cs="Times New Roman" w:eastAsia="Times New Roman" w:hAnsi="Times New Roman"/>
          <w:sz w:val="14"/>
          <w:szCs w:val="14"/>
          <w:color w:val="auto"/>
        </w:rPr>
        <w:t>services</w:t>
      </w:r>
    </w:p>
    <w:p>
      <w:pPr>
        <w:ind w:left="180"/>
        <w:spacing w:after="0" w:line="221" w:lineRule="auto"/>
        <w:rPr>
          <w:sz w:val="20"/>
          <w:szCs w:val="20"/>
          <w:color w:val="auto"/>
        </w:rPr>
      </w:pPr>
      <w:r>
        <w:rPr>
          <w:rFonts w:ascii="Times New Roman" w:cs="Times New Roman" w:eastAsia="Times New Roman" w:hAnsi="Times New Roman"/>
          <w:sz w:val="14"/>
          <w:szCs w:val="14"/>
          <w:color w:val="auto"/>
        </w:rPr>
        <w:t>for cash</w:t>
      </w:r>
    </w:p>
    <w:p>
      <w:pPr>
        <w:ind w:left="180"/>
        <w:spacing w:after="0" w:line="221" w:lineRule="auto"/>
        <w:rPr>
          <w:sz w:val="20"/>
          <w:szCs w:val="20"/>
          <w:color w:val="auto"/>
        </w:rPr>
      </w:pPr>
      <w:r>
        <w:rPr>
          <w:rFonts w:ascii="Times New Roman" w:cs="Times New Roman" w:eastAsia="Times New Roman" w:hAnsi="Times New Roman"/>
          <w:sz w:val="14"/>
          <w:szCs w:val="14"/>
          <w:color w:val="auto"/>
        </w:rPr>
        <w:t>for</w:t>
      </w:r>
    </w:p>
    <w:p>
      <w:pPr>
        <w:ind w:left="180"/>
        <w:spacing w:after="0" w:line="222" w:lineRule="auto"/>
        <w:rPr>
          <w:sz w:val="20"/>
          <w:szCs w:val="20"/>
          <w:color w:val="auto"/>
        </w:rPr>
      </w:pPr>
      <w:r>
        <w:rPr>
          <w:rFonts w:ascii="Times New Roman" w:cs="Times New Roman" w:eastAsia="Times New Roman" w:hAnsi="Times New Roman"/>
          <w:sz w:val="14"/>
          <w:szCs w:val="14"/>
          <w:color w:val="auto"/>
        </w:rPr>
        <w:t>options</w:t>
      </w:r>
    </w:p>
    <w:p>
      <w:pPr>
        <w:ind w:left="180"/>
        <w:spacing w:after="0" w:line="221" w:lineRule="auto"/>
        <w:rPr>
          <w:sz w:val="20"/>
          <w:szCs w:val="20"/>
          <w:color w:val="auto"/>
        </w:rPr>
      </w:pPr>
      <w:r>
        <w:rPr>
          <w:rFonts w:ascii="Times New Roman" w:cs="Times New Roman" w:eastAsia="Times New Roman" w:hAnsi="Times New Roman"/>
          <w:sz w:val="14"/>
          <w:szCs w:val="14"/>
          <w:color w:val="auto"/>
        </w:rPr>
        <w:t>for</w:t>
      </w:r>
    </w:p>
    <w:p>
      <w:pPr>
        <w:ind w:left="180"/>
        <w:spacing w:after="0" w:line="222" w:lineRule="auto"/>
        <w:rPr>
          <w:sz w:val="20"/>
          <w:szCs w:val="20"/>
          <w:color w:val="auto"/>
        </w:rPr>
      </w:pPr>
      <w:r>
        <w:rPr>
          <w:rFonts w:ascii="Times New Roman" w:cs="Times New Roman" w:eastAsia="Times New Roman" w:hAnsi="Times New Roman"/>
          <w:sz w:val="14"/>
          <w:szCs w:val="14"/>
          <w:color w:val="auto"/>
        </w:rPr>
        <w:t>litigation</w:t>
      </w:r>
    </w:p>
    <w:p>
      <w:pPr>
        <w:ind w:left="180"/>
        <w:spacing w:after="0" w:line="221" w:lineRule="auto"/>
        <w:rPr>
          <w:sz w:val="20"/>
          <w:szCs w:val="20"/>
          <w:color w:val="auto"/>
        </w:rPr>
      </w:pPr>
      <w:r>
        <w:rPr>
          <w:rFonts w:ascii="Times New Roman" w:cs="Times New Roman" w:eastAsia="Times New Roman" w:hAnsi="Times New Roman"/>
          <w:sz w:val="14"/>
          <w:szCs w:val="14"/>
          <w:color w:val="auto"/>
        </w:rPr>
        <w:t>settlement</w:t>
      </w:r>
    </w:p>
    <w:p>
      <w:pPr>
        <w:spacing w:after="0" w:line="222" w:lineRule="auto"/>
        <w:rPr>
          <w:sz w:val="20"/>
          <w:szCs w:val="20"/>
          <w:color w:val="auto"/>
        </w:rPr>
      </w:pPr>
      <w:r>
        <w:rPr>
          <w:rFonts w:ascii="Times New Roman" w:cs="Times New Roman" w:eastAsia="Times New Roman" w:hAnsi="Times New Roman"/>
          <w:sz w:val="14"/>
          <w:szCs w:val="14"/>
          <w:color w:val="auto"/>
        </w:rPr>
        <w:t>Issue shares</w:t>
      </w:r>
    </w:p>
    <w:p>
      <w:pPr>
        <w:spacing w:after="0" w:line="221" w:lineRule="auto"/>
        <w:rPr>
          <w:sz w:val="20"/>
          <w:szCs w:val="20"/>
          <w:color w:val="auto"/>
        </w:rPr>
      </w:pPr>
      <w:r>
        <w:rPr>
          <w:rFonts w:ascii="Times New Roman" w:cs="Times New Roman" w:eastAsia="Times New Roman" w:hAnsi="Times New Roman"/>
          <w:sz w:val="14"/>
          <w:szCs w:val="14"/>
          <w:color w:val="auto"/>
        </w:rPr>
        <w:t>for stock</w:t>
      </w:r>
    </w:p>
    <w:p>
      <w:pPr>
        <w:spacing w:after="0" w:line="222" w:lineRule="auto"/>
        <w:rPr>
          <w:sz w:val="20"/>
          <w:szCs w:val="20"/>
          <w:color w:val="auto"/>
        </w:rPr>
      </w:pPr>
      <w:r>
        <w:rPr>
          <w:rFonts w:ascii="Times New Roman" w:cs="Times New Roman" w:eastAsia="Times New Roman" w:hAnsi="Times New Roman"/>
          <w:sz w:val="14"/>
          <w:szCs w:val="14"/>
          <w:color w:val="auto"/>
        </w:rPr>
        <w:t>payable</w:t>
      </w:r>
    </w:p>
    <w:p>
      <w:pPr>
        <w:spacing w:after="0" w:line="221" w:lineRule="auto"/>
        <w:rPr>
          <w:sz w:val="20"/>
          <w:szCs w:val="20"/>
          <w:color w:val="auto"/>
        </w:rPr>
      </w:pPr>
      <w:r>
        <w:rPr>
          <w:rFonts w:ascii="Times New Roman" w:cs="Times New Roman" w:eastAsia="Times New Roman" w:hAnsi="Times New Roman"/>
          <w:sz w:val="14"/>
          <w:szCs w:val="14"/>
          <w:color w:val="auto"/>
        </w:rPr>
        <w:t>Shares</w:t>
      </w:r>
    </w:p>
    <w:p>
      <w:pPr>
        <w:spacing w:after="0" w:line="222" w:lineRule="auto"/>
        <w:rPr>
          <w:sz w:val="20"/>
          <w:szCs w:val="20"/>
          <w:color w:val="auto"/>
        </w:rPr>
      </w:pPr>
      <w:r>
        <w:rPr>
          <w:rFonts w:ascii="Times New Roman" w:cs="Times New Roman" w:eastAsia="Times New Roman" w:hAnsi="Times New Roman"/>
          <w:sz w:val="14"/>
          <w:szCs w:val="14"/>
          <w:color w:val="auto"/>
        </w:rPr>
        <w:t>payable</w:t>
      </w:r>
    </w:p>
    <w:p>
      <w:pPr>
        <w:spacing w:after="0" w:line="221" w:lineRule="auto"/>
        <w:rPr>
          <w:sz w:val="20"/>
          <w:szCs w:val="20"/>
          <w:color w:val="auto"/>
        </w:rPr>
      </w:pPr>
      <w:r>
        <w:rPr>
          <w:rFonts w:ascii="Times New Roman" w:cs="Times New Roman" w:eastAsia="Times New Roman" w:hAnsi="Times New Roman"/>
          <w:sz w:val="14"/>
          <w:szCs w:val="14"/>
          <w:color w:val="auto"/>
        </w:rPr>
        <w:t>redeemed for</w:t>
      </w:r>
    </w:p>
    <w:p>
      <w:pPr>
        <w:spacing w:after="0" w:line="222" w:lineRule="auto"/>
        <w:rPr>
          <w:sz w:val="20"/>
          <w:szCs w:val="20"/>
          <w:color w:val="auto"/>
        </w:rPr>
      </w:pPr>
      <w:r>
        <w:rPr>
          <w:rFonts w:ascii="Times New Roman" w:cs="Times New Roman" w:eastAsia="Times New Roman" w:hAnsi="Times New Roman"/>
          <w:sz w:val="14"/>
          <w:szCs w:val="14"/>
          <w:color w:val="auto"/>
        </w:rPr>
        <w:t>cash</w:t>
      </w:r>
    </w:p>
    <w:p>
      <w:pPr>
        <w:spacing w:after="0" w:line="221" w:lineRule="auto"/>
        <w:rPr>
          <w:sz w:val="20"/>
          <w:szCs w:val="20"/>
          <w:color w:val="auto"/>
        </w:rPr>
      </w:pPr>
      <w:r>
        <w:rPr>
          <w:rFonts w:ascii="Times New Roman" w:cs="Times New Roman" w:eastAsia="Times New Roman" w:hAnsi="Times New Roman"/>
          <w:sz w:val="14"/>
          <w:szCs w:val="14"/>
          <w:color w:val="auto"/>
        </w:rPr>
        <w:t>Expiration of</w:t>
      </w:r>
    </w:p>
    <w:p>
      <w:pPr>
        <w:spacing w:after="0" w:line="222" w:lineRule="auto"/>
        <w:rPr>
          <w:sz w:val="20"/>
          <w:szCs w:val="20"/>
          <w:color w:val="auto"/>
        </w:rPr>
      </w:pPr>
      <w:r>
        <w:rPr>
          <w:rFonts w:ascii="Times New Roman" w:cs="Times New Roman" w:eastAsia="Times New Roman" w:hAnsi="Times New Roman"/>
          <w:sz w:val="14"/>
          <w:szCs w:val="14"/>
          <w:color w:val="auto"/>
        </w:rPr>
        <w:t>Warrants</w:t>
      </w:r>
    </w:p>
    <w:p>
      <w:pPr>
        <w:spacing w:after="0" w:line="221" w:lineRule="auto"/>
        <w:rPr>
          <w:sz w:val="20"/>
          <w:szCs w:val="20"/>
          <w:color w:val="auto"/>
        </w:rPr>
      </w:pPr>
      <w:r>
        <w:rPr>
          <w:rFonts w:ascii="Times New Roman" w:cs="Times New Roman" w:eastAsia="Times New Roman" w:hAnsi="Times New Roman"/>
          <w:sz w:val="14"/>
          <w:szCs w:val="14"/>
          <w:color w:val="auto"/>
        </w:rPr>
        <w:t>Expense</w:t>
      </w:r>
    </w:p>
    <w:p>
      <w:pPr>
        <w:spacing w:after="0" w:line="222" w:lineRule="auto"/>
        <w:rPr>
          <w:sz w:val="20"/>
          <w:szCs w:val="20"/>
          <w:color w:val="auto"/>
        </w:rPr>
      </w:pPr>
      <w:r>
        <w:rPr>
          <w:rFonts w:ascii="Times New Roman" w:cs="Times New Roman" w:eastAsia="Times New Roman" w:hAnsi="Times New Roman"/>
          <w:sz w:val="14"/>
          <w:szCs w:val="14"/>
          <w:color w:val="auto"/>
        </w:rPr>
        <w:t>consulting</w:t>
      </w:r>
    </w:p>
    <w:p>
      <w:pPr>
        <w:spacing w:after="0" w:line="221" w:lineRule="auto"/>
        <w:rPr>
          <w:sz w:val="20"/>
          <w:szCs w:val="20"/>
          <w:color w:val="auto"/>
        </w:rPr>
      </w:pPr>
      <w:r>
        <w:rPr>
          <w:rFonts w:ascii="Times New Roman" w:cs="Times New Roman" w:eastAsia="Times New Roman" w:hAnsi="Times New Roman"/>
          <w:sz w:val="14"/>
          <w:szCs w:val="14"/>
          <w:color w:val="auto"/>
        </w:rPr>
        <w:t>services</w:t>
      </w:r>
    </w:p>
    <w:p>
      <w:pPr>
        <w:spacing w:after="0" w:line="222" w:lineRule="auto"/>
        <w:rPr>
          <w:sz w:val="20"/>
          <w:szCs w:val="20"/>
          <w:color w:val="auto"/>
        </w:rPr>
      </w:pPr>
      <w:r>
        <w:rPr>
          <w:rFonts w:ascii="Times New Roman" w:cs="Times New Roman" w:eastAsia="Times New Roman" w:hAnsi="Times New Roman"/>
          <w:sz w:val="14"/>
          <w:szCs w:val="14"/>
          <w:color w:val="auto"/>
        </w:rPr>
        <w:t>Net loss for</w:t>
      </w:r>
    </w:p>
    <w:p>
      <w:pPr>
        <w:spacing w:after="0"/>
        <w:rPr>
          <w:sz w:val="20"/>
          <w:szCs w:val="20"/>
          <w:color w:val="auto"/>
        </w:rPr>
      </w:pPr>
      <w:r>
        <w:rPr>
          <w:rFonts w:ascii="Times New Roman" w:cs="Times New Roman" w:eastAsia="Times New Roman" w:hAnsi="Times New Roman"/>
          <w:sz w:val="14"/>
          <w:szCs w:val="14"/>
          <w:color w:val="auto"/>
        </w:rPr>
        <w:t>the year</w:t>
      </w:r>
    </w:p>
    <w:p>
      <w:pPr>
        <w:spacing w:after="0" w:line="11"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14"/>
          <w:szCs w:val="14"/>
          <w:color w:val="auto"/>
        </w:rPr>
        <w:t>Balance, December 31, 2016</w:t>
      </w:r>
    </w:p>
    <w:p>
      <w:pPr>
        <w:spacing w:after="0" w:line="20" w:lineRule="exact"/>
        <w:rPr>
          <w:sz w:val="20"/>
          <w:szCs w:val="20"/>
          <w:color w:val="auto"/>
        </w:rPr>
      </w:pPr>
      <w:r>
        <w:rPr>
          <w:sz w:val="20"/>
          <w:szCs w:val="20"/>
          <w:color w:val="auto"/>
        </w:rPr>
        <w:br w:type="column"/>
      </w: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for the Year</w:t>
      </w:r>
    </w:p>
    <w:p>
      <w:pPr>
        <w:spacing w:after="0" w:line="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Ended December 31, 2016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Preferred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Preferred</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Common</w:t>
            </w:r>
          </w:p>
        </w:tc>
        <w:tc>
          <w:tcPr>
            <w:tcW w:w="120" w:type="dxa"/>
            <w:vAlign w:val="bottom"/>
          </w:tcPr>
          <w:p>
            <w:pPr>
              <w:spacing w:after="0"/>
              <w:rPr>
                <w:sz w:val="13"/>
                <w:szCs w:val="13"/>
                <w:color w:val="auto"/>
              </w:rPr>
            </w:pPr>
          </w:p>
        </w:tc>
        <w:tc>
          <w:tcPr>
            <w:tcW w:w="8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Stock</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Additional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Deferred</w:t>
            </w:r>
          </w:p>
        </w:tc>
        <w:tc>
          <w:tcPr>
            <w:tcW w:w="11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2"/>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Stock</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Paid-in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Stock</w:t>
            </w:r>
          </w:p>
        </w:tc>
        <w:tc>
          <w:tcPr>
            <w:tcW w:w="1100" w:type="dxa"/>
            <w:vAlign w:val="bottom"/>
            <w:gridSpan w:val="3"/>
            <w:vMerge w:val="continue"/>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Warrants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Payable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Compensation</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Deficit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Equity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9"/>
        </w:trPr>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29,030,925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29,031</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2,329,508</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32,185,499</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1,132,168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(13,800)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(26,719,890)</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8,942,496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384,126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3"/>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51,325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384,188</w:t>
            </w:r>
          </w:p>
        </w:tc>
        <w:tc>
          <w:tcPr>
            <w:tcW w:w="10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449,116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449,500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103,754</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109,900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94,450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(94,500)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437,733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(1,037,648)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(599,915)</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(35,092)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35,092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13,800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(1,539,203)</w:t>
            </w: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(1,539,203)</w:t>
            </w:r>
          </w:p>
        </w:tc>
        <w:tc>
          <w:tcPr>
            <w:tcW w:w="0" w:type="dxa"/>
            <w:vAlign w:val="bottom"/>
          </w:tcPr>
          <w:p>
            <w:pPr>
              <w:spacing w:after="0"/>
              <w:rPr>
                <w:sz w:val="1"/>
                <w:szCs w:val="1"/>
                <w:color w:val="auto"/>
              </w:rPr>
            </w:pPr>
          </w:p>
        </w:tc>
      </w:tr>
      <w:tr>
        <w:trPr>
          <w:trHeight w:val="27"/>
        </w:trPr>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29,718,867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29,719</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2,294,416</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33,747,137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(28,259,093</w:t>
            </w:r>
            <w:r>
              <w:rPr>
                <w:rFonts w:ascii="Times New Roman" w:cs="Times New Roman" w:eastAsia="Times New Roman" w:hAnsi="Times New Roman"/>
                <w:sz w:val="28"/>
                <w:szCs w:val="28"/>
                <w:color w:val="auto"/>
                <w:vertAlign w:val="superscript"/>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7,812,179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17145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780" w:space="100"/>
            <w:col w:w="10480"/>
          </w:cols>
          <w:pgMar w:left="240" w:top="900" w:right="299" w:bottom="1440" w:gutter="0" w:footer="0" w:header="0"/>
        </w:sectPr>
      </w:pPr>
    </w:p>
    <w:bookmarkStart w:id="26" w:name="page27"/>
    <w:bookmarkEnd w:id="26"/>
    <w:p>
      <w:pPr>
        <w:jc w:val="center"/>
        <w:ind w:left="304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for the Years</w:t>
      </w:r>
    </w:p>
    <w:p>
      <w:pPr>
        <w:spacing w:after="0" w:line="9"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8"/>
          <w:szCs w:val="18"/>
          <w:b w:val="1"/>
          <w:bCs w:val="1"/>
          <w:color w:val="auto"/>
        </w:rPr>
        <w:t>Ended December 31, 2016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 for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options issued for services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 share payable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revenue</w:t>
      </w:r>
    </w:p>
    <w:p>
      <w:pPr>
        <w:spacing w:after="0" w:line="14" w:lineRule="exact"/>
        <w:rPr>
          <w:sz w:val="20"/>
          <w:szCs w:val="20"/>
          <w:color w:val="auto"/>
        </w:rPr>
      </w:pPr>
    </w:p>
    <w:p>
      <w:pPr>
        <w:ind w:right="3040"/>
        <w:spacing w:after="0" w:line="286" w:lineRule="auto"/>
        <w:rPr>
          <w:sz w:val="20"/>
          <w:szCs w:val="20"/>
          <w:color w:val="auto"/>
        </w:rPr>
      </w:pPr>
      <w:r>
        <w:rPr>
          <w:rFonts w:ascii="Times New Roman" w:cs="Times New Roman" w:eastAsia="Times New Roman" w:hAnsi="Times New Roman"/>
          <w:sz w:val="18"/>
          <w:szCs w:val="18"/>
          <w:b w:val="1"/>
          <w:bCs w:val="1"/>
          <w:color w:val="auto"/>
        </w:rPr>
        <w:t>NET CASH PROVIDED BY (USED IN) OPERATING ACTIVITIES CASH FLOWS FROM INVESTING ACTIVITIES:</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Patent rights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Web development costs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Redemption of common and preferred stock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p>
      <w:pPr>
        <w:spacing w:after="0" w:line="31" w:lineRule="exact"/>
        <w:rPr>
          <w:sz w:val="20"/>
          <w:szCs w:val="20"/>
          <w:color w:val="auto"/>
        </w:rPr>
      </w:pPr>
    </w:p>
    <w:p>
      <w:pPr>
        <w:ind w:right="3320"/>
        <w:spacing w:after="0" w:line="323" w:lineRule="auto"/>
        <w:rPr>
          <w:sz w:val="20"/>
          <w:szCs w:val="20"/>
          <w:color w:val="auto"/>
        </w:rPr>
      </w:pPr>
      <w:r>
        <w:rPr>
          <w:rFonts w:ascii="Times New Roman" w:cs="Times New Roman" w:eastAsia="Times New Roman" w:hAnsi="Times New Roman"/>
          <w:sz w:val="17"/>
          <w:szCs w:val="17"/>
          <w:b w:val="1"/>
          <w:bCs w:val="1"/>
          <w:color w:val="auto"/>
        </w:rPr>
        <w:t>CASH AND CASH EQUIVALENTS - BEGINNING OF PERIOD CASH AND CASH EQUIVALENTS - END OF PERIOD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paid for interest</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Common stock issued for future services</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For the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For the</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year ended</w:t>
            </w:r>
          </w:p>
        </w:tc>
      </w:tr>
      <w:tr>
        <w:trPr>
          <w:trHeight w:val="230"/>
        </w:trPr>
        <w:tc>
          <w:tcPr>
            <w:tcW w:w="20" w:type="dxa"/>
            <w:vAlign w:val="bottom"/>
          </w:tcPr>
          <w:p>
            <w:pPr>
              <w:spacing w:after="0"/>
              <w:rPr>
                <w:sz w:val="19"/>
                <w:szCs w:val="19"/>
                <w:color w:val="auto"/>
              </w:rPr>
            </w:pP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19"/>
                <w:szCs w:val="19"/>
                <w:color w:val="auto"/>
              </w:rPr>
            </w:pP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1"/>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(1,539,203)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(595,140)</w:t>
            </w: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235,284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333,950</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31,731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384,126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253,358</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175,175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327,748</w:t>
            </w:r>
          </w:p>
        </w:tc>
        <w:tc>
          <w:tcPr>
            <w:tcW w:w="4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(212,946)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(747,069)</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(42,530)</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(205,977)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11,819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266,909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852,847</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281,285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(18,476)</w:t>
            </w: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159,579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106,872</w:t>
            </w: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(465,965</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515,110</w:t>
            </w:r>
          </w:p>
        </w:tc>
        <w:tc>
          <w:tcPr>
            <w:tcW w:w="4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(178,434)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(2,046)</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(163,836)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(97,399)</w:t>
            </w: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(349,538</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(100,964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4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449,500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4,346,446</w:t>
            </w:r>
          </w:p>
        </w:tc>
        <w:tc>
          <w:tcPr>
            <w:tcW w:w="4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(806,915)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(357,415</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4,346,446</w:t>
            </w:r>
          </w:p>
        </w:tc>
        <w:tc>
          <w:tcPr>
            <w:tcW w:w="4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4,760,592</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8,207,565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3,446,973</w:t>
            </w:r>
          </w:p>
        </w:tc>
        <w:tc>
          <w:tcPr>
            <w:tcW w:w="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7,034,647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8,207,565</w:t>
            </w:r>
          </w:p>
        </w:tc>
        <w:tc>
          <w:tcPr>
            <w:tcW w:w="4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gridSpan w:val="2"/>
          </w:tcPr>
          <w:p>
            <w:pPr>
              <w:spacing w:after="0" w:line="20" w:lineRule="exact"/>
              <w:rPr>
                <w:sz w:val="1"/>
                <w:szCs w:val="1"/>
                <w:color w:val="auto"/>
              </w:rPr>
            </w:pPr>
          </w:p>
        </w:tc>
        <w:tc>
          <w:tcPr>
            <w:tcW w:w="104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2">
            <w:col w:w="8380" w:space="440"/>
            <w:col w:w="2560"/>
          </w:cols>
          <w:pgMar w:left="240" w:top="900" w:right="27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NATURE OF BUSINESS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OptimizeRx Corporation is a technology solutions company serving the healthcare industry by aggregating pharma services for the electronic health records (“EHR”) industry. Our objective is to bring better solutions to better healthcare outcomes through connecting patients, physicians and pharmaceutical manufacturers through technology. We are a technology solutions provider with a direct to physician solution through our EHR partners. Our platform allows physicians to search, print and send available sample trial vouchers and/or co-pay coupons on behalf of their patients. Our solution is integrated into the physician’s ePrescribing or EHR applications, but can also be a stand-alone desktop application. OptimizeRx solutions provide pharmaceutical manufacturers a direct to physician channel for communicating and promoting their products. It allows healthcare providers a means to provide sampling and coupons without having to physically store samples on site, and it provides better access and affordability to patients.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was originally formed as Optimizer Systems, LLC in the State of Michigan on January 31, 2006. It converted its form to a corporation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its wholly-owned subsidiary (together, "OptimizeRx" and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Company have been prepared in accordance with generally accepted accounting principles in the United States of America and are presented in US dollars.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Basis</w:t>
      </w:r>
    </w:p>
    <w:p>
      <w:pPr>
        <w:spacing w:after="0" w:line="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uses the accrual basis of accounting and accounting principles generally accepted in the United States of America (“GAAP” accounting). The Company has adopted a December 31 fiscal year-end.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the accompanying financial statements, the Company considers all highly liquid instruments with an initial maturity of three months or less to be cash equivalents.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cash, accounts receivable, prepaid expenses, accounts payable, accounts payable – related party, accrued expenses and deferred revenue approximates the carrying amount of these financial instruments due to their short-term nature.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and Allowance for Doubtful Accounts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 Bad debt expense was $0 for each of the years ended December 31, 2016 and 2015. The allowance for doubtful accounts was $0 as of both December 31, 2016 and 2015.</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assets are being depreciated over their estimated useful lives of three to seven years using the straight-line method of depreciation for book purposes.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and Revenue Share Expense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is recognized when it is earned. Revenues are primarily generated from our content delivery activities in which we deliver financial messaging through a distribution network of ePrescribers and Electronic Health Record technology providers (channel partners), or from reselling services that complement our business for other of our partners.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setup fees that are required for integrating client offerings and campaigns into our rule-based content delivery system and network upon completion of the setup when the client’s campaign is ready to launch within our system. As the messaging is distributed through our platform and network of channel partners (a transaction), these transactions are recorded and revenue is recognized at the time of distribution. Revenue for transactions can be realized based on a price per distribution, a price per redemption, or as a flat fee over a period of time,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charged monthly and recognized as recurring monthly revenue.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instances, we also resell products and or services that are available through our channel partners on a commission basis, and that are complementary to our core business and client base. In these instances, net revenue is recognized based on the commission based revenue split that the Company receives. In instances where we resell services and have all financial risk and significant operation input and risk, we record the revenue gross.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volume of transactions that are delivered through our channel partner network, we provide a revenue share to compensate the partner for their promotion of the campaign. Revenue shares are a negotiated percentage of the transaction fees and can also be specific to special considerations and campaigns. In addition, we pay revenue share to ConnectiveRx (formerly LDM/PDR) as a result of a 2014 legal settlement in an amount equal to the greater of 10% of financial messaging distribution revenues generated or $0.37 per financial message distributed. The contractual amount due to our channel partners is recorded as an expense at the time the eCoupon is distributed.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amount of revenue to be billed, and the timing of revenue recognition and related revenue share expenses. Actual results could differ from these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 of Credit Risks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expenses research and development expenses as incurred. Our research efforts are focused on understanding the market dynamics that have the potential to affect the business and increase revenue in both the short and long term. Our primary goal is to increase revenue by helping patients better afford and access the medicines their doctors prescribe, as well as other healthcare products and services they need. Based on this, the Company continually seeks ways to improve its technology to enhance user experiences, and to develop new services and solutions for its customers.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Payments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 free rate used is based on the U.S. Treasury yield curve in effect at the time of the grant using a time period equal to the expected option term. The Company has never paid dividends and does not expect to pay any dividends in the future.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7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20"/>
                <w:szCs w:val="20"/>
                <w:color w:val="auto"/>
              </w:rPr>
            </w:pPr>
          </w:p>
        </w:tc>
      </w:tr>
      <w:tr>
        <w:trPr>
          <w:trHeight w:val="41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0.86%-1.15%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0.24%-0.93%</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 years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2.5 - 3.5 years</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Turnover/forfeiture rate</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 - 99%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- 85%</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OptimizeRx’s stock options have characteristics significantly different from those of traded options, and changes in the subjective input assumptions could materially affect the fair value estimate.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Per Common and Common Equivalent Share</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have not been included in the diluted earnings per share calculation for either year since their effect is anti-dilutive in all years presented.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Guidance</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expect the adoption of recently issued accounting pronouncements to have a significant impact on the Company’s results of operations, financial position or cash flow.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 3 – PREPAID EXPENSES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consisted of the following as of December 31, 2016 and 2015: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Insurance</w:t>
            </w:r>
          </w:p>
        </w:tc>
        <w:tc>
          <w:tcPr>
            <w:tcW w:w="140" w:type="dxa"/>
            <w:vAlign w:val="bottom"/>
          </w:tcPr>
          <w:p>
            <w:pPr>
              <w:spacing w:after="0"/>
              <w:rPr>
                <w:sz w:val="17"/>
                <w:szCs w:val="17"/>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43,608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30,623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Legal</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prepaid expenses</w:t>
            </w: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80,820</w:t>
            </w:r>
          </w:p>
        </w:tc>
        <w:tc>
          <w:tcPr>
            <w:tcW w:w="240" w:type="dxa"/>
            <w:vAlign w:val="bottom"/>
            <w:gridSpan w:val="2"/>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 4 – PROPERTY AND EQUIPMENT</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owned equipment recorded at cost which consisted of the following as of December 31, 2016 and 2015: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Computer equipment</w:t>
            </w:r>
          </w:p>
        </w:tc>
        <w:tc>
          <w:tcPr>
            <w:tcW w:w="140" w:type="dxa"/>
            <w:vAlign w:val="bottom"/>
          </w:tcPr>
          <w:p>
            <w:pPr>
              <w:spacing w:after="0"/>
              <w:rPr>
                <w:sz w:val="17"/>
                <w:szCs w:val="17"/>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66,433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21,565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132,905</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11,088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199,338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32,653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(25,689)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(22,414)</w:t>
            </w:r>
          </w:p>
        </w:tc>
        <w:tc>
          <w:tcPr>
            <w:tcW w:w="0" w:type="dxa"/>
            <w:vAlign w:val="bottom"/>
          </w:tcPr>
          <w:p>
            <w:pPr>
              <w:spacing w:after="0"/>
              <w:rPr>
                <w:sz w:val="1"/>
                <w:szCs w:val="1"/>
                <w:color w:val="auto"/>
              </w:rPr>
            </w:pPr>
          </w:p>
        </w:tc>
      </w:tr>
      <w:tr>
        <w:trPr>
          <w:trHeight w:val="27"/>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173,649</w:t>
            </w:r>
          </w:p>
        </w:tc>
        <w:tc>
          <w:tcPr>
            <w:tcW w:w="240" w:type="dxa"/>
            <w:vAlign w:val="bottom"/>
            <w:gridSpan w:val="2"/>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$22,414 and $4,620 for the years ended December 31, 2016 and 2015,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capitalized costs in developing its technology, which consisted of the following as of December 31, 2016 and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OptimizeRx consumer web-based technology</w:t>
            </w:r>
          </w:p>
        </w:tc>
        <w:tc>
          <w:tcPr>
            <w:tcW w:w="276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154,133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154,133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OptimizeRx EHR integrated technology</w:t>
            </w:r>
          </w:p>
        </w:tc>
        <w:tc>
          <w:tcPr>
            <w:tcW w:w="2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1,304,230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1,140,394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0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Subtotal</w:t>
            </w:r>
          </w:p>
        </w:tc>
        <w:tc>
          <w:tcPr>
            <w:tcW w:w="27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1,458,363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1,294,527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(1,106,559)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(954,057)</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Web-based technology, net</w:t>
            </w:r>
          </w:p>
        </w:tc>
        <w:tc>
          <w:tcPr>
            <w:tcW w:w="2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vMerge w:val="continue"/>
          </w:tcPr>
          <w:p>
            <w:pPr>
              <w:spacing w:after="0"/>
              <w:rPr>
                <w:sz w:val="21"/>
                <w:szCs w:val="21"/>
                <w:color w:val="auto"/>
              </w:rPr>
            </w:pPr>
          </w:p>
        </w:tc>
        <w:tc>
          <w:tcPr>
            <w:tcW w:w="29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351,804</w:t>
            </w:r>
          </w:p>
        </w:tc>
        <w:tc>
          <w:tcPr>
            <w:tcW w:w="240" w:type="dxa"/>
            <w:vAlign w:val="bottom"/>
            <w:gridSpan w:val="2"/>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340,470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is recorded using the straight-line method over a period of up to five years. All remaining carrying value at December 31, 2015 and 2016 relates to the EHR integrated technology. Amortization expense for the technology costs was $152,502 and $261,572 for the years ended December 31, 2016 and 2015,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PATENT AND TRADEMARKS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2010, the Company acquired the technical contributions and assignment of all exclusive rights to and for a key patent from the former CEO of the Company in exchange for 300,000 shares of common stock to be granted at the discretion of the seller and 200,000 stock options, valued at $360,000. The shares were valued on the grant date at $570,000 and were recorded as a payable to the related party. The obligation to deliver those shares was redeemed in 2016 for a cash payment of $363,000.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capitalized costs in purchasing and defending its patent, which consisted of the following as of December 31, 2016 and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Patent rights and intangible assets</w:t>
            </w:r>
          </w:p>
        </w:tc>
        <w:tc>
          <w:tcPr>
            <w:tcW w:w="2940" w:type="dxa"/>
            <w:vAlign w:val="bottom"/>
          </w:tcPr>
          <w:p>
            <w:pPr>
              <w:spacing w:after="0"/>
              <w:rPr>
                <w:sz w:val="17"/>
                <w:szCs w:val="17"/>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930,000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930,000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Patent defense costs</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172,457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New patents and trademarks</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65,738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58,469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(395,801)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(328,042)</w:t>
            </w:r>
          </w:p>
        </w:tc>
        <w:tc>
          <w:tcPr>
            <w:tcW w:w="0" w:type="dxa"/>
            <w:vAlign w:val="bottom"/>
          </w:tcPr>
          <w:p>
            <w:pPr>
              <w:spacing w:after="0"/>
              <w:rPr>
                <w:sz w:val="1"/>
                <w:szCs w:val="1"/>
                <w:color w:val="auto"/>
              </w:rPr>
            </w:pPr>
          </w:p>
        </w:tc>
      </w:tr>
      <w:tr>
        <w:trPr>
          <w:trHeight w:val="27"/>
        </w:trPr>
        <w:tc>
          <w:tcPr>
            <w:tcW w:w="58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Patent rights and intangible assets, net</w:t>
            </w:r>
          </w:p>
        </w:tc>
        <w:tc>
          <w:tcPr>
            <w:tcW w:w="2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vMerge w:val="continue"/>
          </w:tcPr>
          <w:p>
            <w:pPr>
              <w:spacing w:after="0"/>
              <w:rPr>
                <w:sz w:val="21"/>
                <w:szCs w:val="21"/>
                <w:color w:val="auto"/>
              </w:rPr>
            </w:pPr>
          </w:p>
        </w:tc>
        <w:tc>
          <w:tcPr>
            <w:tcW w:w="31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772,394</w:t>
            </w:r>
          </w:p>
        </w:tc>
        <w:tc>
          <w:tcPr>
            <w:tcW w:w="240" w:type="dxa"/>
            <w:vAlign w:val="bottom"/>
            <w:gridSpan w:val="2"/>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832,884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$67,758 for both of the years ended December 31, 2016 and 2015.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DEFERRED REVENUE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several signed contracts with customers for the distribution of financial messaging, or other services, which include payment in advance. The payments are not recorded as revenue until the revenue is earned under its revenue recognition policy discussed in Note 2. Deferred revenue was $386,581 and $227,002 as of December 31, 2016 and 2015,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RELATED PARTY TRANSACTIONS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2010, the Company acquired the technical contributions and assignment of all exclusive rights to and for a key patent in process at the time from a former CEO in exchange for 300,000 shares of common stock to be granted at the discretion of the seller and 200,000 stock options, valued at $360,000, which expired in April 2015. The shares were valued on the grant date at $570,000 and were recorded as a payable to the related party. In 2016 the obligation to issue those shares was redeemed for a payment of $363,000 in cash.</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2015, WPP made a strategic investment in the Company and is a shareholder that owns approximately 20% of the shares of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2016, we had billings of $2,613,942 to agencies that are part of the WPP group and recognized revenue of $1,542,411 related to those billings. As of December 31, 2016, we have receivables included in trade receivables on the balance sheet of $1,108,585 from WPP agencies and amounts due to WPP agencies included in revenue share payable of $127,458 as of December 31, 2016. In addition, we purchased of $190,686 from WPP agencies in 2016 and had amounts owed related to those services of $12,600 in accounts payable at December 31, 2016.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2015, we had billings of $420,503 to agencies that are part of the WPP group and recognized revenue of $178,855 related to those billings. As of December 31, 2015, we have receivables included in trade receivables on the balance sheet of $381,125 from WPP agencies and amounts due to WPP agencies included in revenue share payable of $37,803 as of December 31,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PREFERRED STOCK</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has 10,000,000 shares of preferred stock, $.001 par value per share, authorized as of December 31, 2016. There were no shares outstanding at any time during the periods covered by these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COMMON STOCK</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had 500,000,000 shares of common stock, $.001 par value per share, authorized as of December 31, 2016. There were 29,718,867 and 29,030,925 shares of common stock issued and outstanding at December 31, 2016 and 2015,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July 2016, we issued 384,118 shares of common stock to an unrelated party in a private transaction, the proceeds of which were used to redeem shares of common stock payable to an executive officer.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a Director Compensation plan covering its independent non-employee Directors. A total of 50,000 shares were granted and issued in each of the years ended December 31, 2016 and 2015 in connection with this compensation plan. These shares were valued at $51,375 and $60,125, respectively.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issued 100,000 shares of common stock, valued at $110,000, to Shadron Stastney in connection with the settlement of litigation described in greater detail in Note 16.</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COMMON STOCK (CONTINUED)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issued 103,754 shares of common stock in 2016 in connection with the cashless exercise of stock options granted in prior years that were about to expire in 2016.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2015, the Company entered into a capital markets advisory agreement covering a one-year period, which called for 90,000 shares of common stock to be issued as compensation. These shares were valued at $112,500 and were amortized to expense over the period of service. 45,000 of these shares were issued in March 2015. The agreement was terminated in July 2015, effective in August, and the remaining 45,000 shares were not issued. The total expense recognized was $56,250.</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2015, the Company agreed to grant 197,605 fully vested shares of its common stock to two executive officers as bonuses. These shares were not issued at the time, but were recorded as stock payable. The obligation to issue these shares was redeemed for cash in 2016 for a total payment of $232,602.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2015, the Company entered into a new capital markets advisory agreement covering a one-year period, which called for 90,000 shares of common stock to be issued as compensation. The first 45,000 shares were issued in September 2015 and valued at $41,400. These shares were amortized over a six-month period. The agreement was cancelled in February 2016 and the remaining 45,000 shares were not issued.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2014, the Company agreed to grant 337,500 shares of common stock, half of which vested immediately and half of which vested in August 2014, to two executive officers as bonuses based on their efforts to recapitalize the Company. Stock-based compensation related to these bonuses of $570,375 was recorded during the year ended December 31, 2014. These shares were not issued at the time and were recorded as stock payable. The obligation to issue these shares was redeemed in 2016 for cash payments of $397,038. Also in 2014, as part of a capital raise, the Company agreed to grant 200,000 shares of common stock to three executive officers. The shares were part of an equity raise and the issuance was recorded as part of equity issuance costs, so no expense was recorded. In 2016, a total of 150,000 of those shares were redeemed for a cash payment of $177,275 and the remaining 50,000 shares were issued to a former executive officer.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2015, the Company entered into a securities purchase agreement pursuant to which the Company sold 6,011,106 shares of its common stock for $0.7875 per share, or gross proceeds of $4,733,746. The shares were issue to a subsidiary of WPP, the world’s largest marketing services company, as part of a strategic investment by WPP. Placement agents in the offering received commissions and expenses of $387,300, or approximately 8.2% of the gross proceeds. The net proceeds received were $4,346,446. Placement agents also received warrants to purchase up to 240,444 shares of our common stock with an exercise price of $0.7875 per share and a term of 5 years. The warrants were valued at $176,213 and have been recorded as equity issuance costs.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STOCK OPTIONS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sponsors a stock-based incentive compensation plan known as the 2013 Equity Compensation Plan (the “Plan”), which was established by the Board of Directors of the Company in June 2013. A total of 1,500,000 shares were initially reserved for issuance under the Plan. The Plan was amended in 2016 to increase the authorized shares to 4,000,000 shares. A total of 3,095,000 options have been granted and remain outstanding at December 31, 2016. In addition, a total of 735,105 restricted shares were granted in 2014 and 2015, but not issued at the time. A total 685,015 of these shares were redeemed for cash in 2016 and 50,000 of these shares were issued in 2016. As of December 31, 2016, the Company has no remaining restricted shares owed. The Company has 855,000 shares available to grant under the Plan at December 31, 2016.</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Plan allows the Company to grant incentive stock options, non-qualified stock options, stock appreciation right, or restricted stock.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Non-qualified options may be granted to any person, including, but not limited to, employees, independent agents, consultants and attorneys, who the Company’s Board or Compensation Committee believes have contributed, or will contribute, to the success of the Company. Non-qualified options may be issued at option prices of less than fair market value on the date of grant and may be exercisable for up to ten years from date of grant. The option vesting schedule for options granted is determined by the Compensation Committee of the Board of Directors at the time of the grant. The Plan provides for accelerated vesting of unvested options if there is a change in control, as defined in the Plan.</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establishment of the Plan, the Board granted options under terms similar to those described in the preceding paragraphs. A total of 25,000 options are outstanding at December 31, 2016 that were granted prior to the establishment of the 2013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cost that has been charged against income related to options for the years ended December 31, 2016 and 2015, was $384,126 and $253,358, respectively. No income tax benefit was recognized in the income statement and no compensation was capitalized in any of the years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option activity during the years ended December 31, 2016 and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average</w:t>
            </w:r>
          </w:p>
        </w:tc>
        <w:tc>
          <w:tcPr>
            <w:tcW w:w="0" w:type="dxa"/>
            <w:vAlign w:val="bottom"/>
          </w:tcPr>
          <w:p>
            <w:pPr>
              <w:spacing w:after="0"/>
              <w:rPr>
                <w:sz w:val="1"/>
                <w:szCs w:val="1"/>
                <w:color w:val="auto"/>
              </w:rPr>
            </w:pPr>
          </w:p>
        </w:tc>
      </w:tr>
      <w:tr>
        <w:trPr>
          <w:trHeight w:val="241"/>
        </w:trPr>
        <w:tc>
          <w:tcPr>
            <w:tcW w:w="39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Options</w:t>
            </w:r>
          </w:p>
        </w:tc>
        <w:tc>
          <w:tcPr>
            <w:tcW w:w="80" w:type="dxa"/>
            <w:vAlign w:val="bottom"/>
          </w:tcPr>
          <w:p>
            <w:pPr>
              <w:spacing w:after="0"/>
              <w:rPr>
                <w:sz w:val="20"/>
                <w:szCs w:val="20"/>
                <w:color w:val="auto"/>
              </w:rPr>
            </w:pPr>
          </w:p>
        </w:tc>
        <w:tc>
          <w:tcPr>
            <w:tcW w:w="12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198"/>
        </w:trPr>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Outstanding, January 1, 2015</w:t>
            </w:r>
          </w:p>
        </w:tc>
        <w:tc>
          <w:tcPr>
            <w:tcW w:w="4900" w:type="dxa"/>
            <w:vAlign w:val="bottom"/>
          </w:tcPr>
          <w:p>
            <w:pPr>
              <w:spacing w:after="0"/>
              <w:rPr>
                <w:sz w:val="17"/>
                <w:szCs w:val="17"/>
                <w:color w:val="auto"/>
              </w:rPr>
            </w:pPr>
          </w:p>
        </w:tc>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1,307,500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Granted - 2015</w:t>
            </w:r>
          </w:p>
        </w:tc>
        <w:tc>
          <w:tcPr>
            <w:tcW w:w="6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Exercised - 2015</w:t>
            </w:r>
          </w:p>
        </w:tc>
        <w:tc>
          <w:tcPr>
            <w:tcW w:w="6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Expired – 2015</w:t>
            </w:r>
          </w:p>
        </w:tc>
        <w:tc>
          <w:tcPr>
            <w:tcW w:w="6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(242,500)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198"/>
        </w:trPr>
        <w:tc>
          <w:tcPr>
            <w:tcW w:w="39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Balance, December 31, 2015</w:t>
            </w:r>
          </w:p>
        </w:tc>
        <w:tc>
          <w:tcPr>
            <w:tcW w:w="4900" w:type="dxa"/>
            <w:vAlign w:val="bottom"/>
          </w:tcPr>
          <w:p>
            <w:pPr>
              <w:spacing w:after="0"/>
              <w:rPr>
                <w:sz w:val="17"/>
                <w:szCs w:val="17"/>
                <w:color w:val="auto"/>
              </w:rPr>
            </w:pPr>
          </w:p>
        </w:tc>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1,615,000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Granted – 2016</w:t>
            </w:r>
          </w:p>
        </w:tc>
        <w:tc>
          <w:tcPr>
            <w:tcW w:w="6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2,040,000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Exercised – 2016</w:t>
            </w:r>
          </w:p>
        </w:tc>
        <w:tc>
          <w:tcPr>
            <w:tcW w:w="6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(485,000)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Expired – 2016</w:t>
            </w:r>
          </w:p>
        </w:tc>
        <w:tc>
          <w:tcPr>
            <w:tcW w:w="49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Balance, December 31, 2016</w:t>
            </w:r>
          </w:p>
        </w:tc>
        <w:tc>
          <w:tcPr>
            <w:tcW w:w="49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vMerge w:val="continue"/>
          </w:tcPr>
          <w:p>
            <w:pPr>
              <w:spacing w:after="0"/>
              <w:rPr>
                <w:sz w:val="21"/>
                <w:szCs w:val="21"/>
                <w:color w:val="auto"/>
              </w:rPr>
            </w:pPr>
          </w:p>
        </w:tc>
        <w:tc>
          <w:tcPr>
            <w:tcW w:w="49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jc w:val="right"/>
              <w:ind w:right="4200"/>
              <w:spacing w:after="0"/>
              <w:rPr>
                <w:sz w:val="20"/>
                <w:szCs w:val="20"/>
                <w:color w:val="auto"/>
              </w:rPr>
            </w:pPr>
            <w:r>
              <w:rPr>
                <w:rFonts w:ascii="Times New Roman" w:cs="Times New Roman" w:eastAsia="Times New Roman" w:hAnsi="Times New Roman"/>
                <w:sz w:val="18"/>
                <w:szCs w:val="18"/>
                <w:color w:val="auto"/>
              </w:rPr>
              <w:t>F-15</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WARRANTS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issued warrants to purchase common stock, primarily in connection with capital raising activities. As discussed in Note 10, in 2015, the Company issued warrants to purchase 240,444 shares of common stock, with an exercise price of $0.7875 per share in connection with the strategic investment by WPP.</w:t>
      </w:r>
    </w:p>
    <w:p>
      <w:pPr>
        <w:sectPr>
          <w:pgSz w:w="11900" w:h="16838" w:orient="portrait"/>
          <w:cols w:equalWidth="0" w:num="1">
            <w:col w:w="11420"/>
          </w:cols>
          <w:pgMar w:left="240" w:top="900" w:right="2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warrants outstanding as of December 31, 2016:</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Number of Shares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1"/>
        </w:trPr>
        <w:tc>
          <w:tcPr>
            <w:tcW w:w="2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Underlying Warrants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Exercise Price</w:t>
            </w:r>
          </w:p>
        </w:tc>
        <w:tc>
          <w:tcPr>
            <w:tcW w:w="320" w:type="dxa"/>
            <w:vAlign w:val="bottom"/>
          </w:tcPr>
          <w:p>
            <w:pPr>
              <w:spacing w:after="0"/>
              <w:rPr>
                <w:sz w:val="20"/>
                <w:szCs w:val="20"/>
                <w:color w:val="auto"/>
              </w:rPr>
            </w:pPr>
          </w:p>
        </w:tc>
        <w:tc>
          <w:tcPr>
            <w:tcW w:w="14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Expiration Date</w:t>
            </w:r>
          </w:p>
        </w:tc>
      </w:tr>
      <w:tr>
        <w:trPr>
          <w:trHeight w:val="414"/>
        </w:trPr>
        <w:tc>
          <w:tcPr>
            <w:tcW w:w="2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1,000,000</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2.25</w:t>
            </w:r>
          </w:p>
        </w:tc>
        <w:tc>
          <w:tcPr>
            <w:tcW w:w="14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10/5/2017</w:t>
            </w:r>
          </w:p>
        </w:tc>
      </w:tr>
      <w:tr>
        <w:trPr>
          <w:trHeight w:val="216"/>
        </w:trPr>
        <w:tc>
          <w:tcPr>
            <w:tcW w:w="2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804,139</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14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3/17/2019</w:t>
            </w:r>
          </w:p>
        </w:tc>
      </w:tr>
      <w:tr>
        <w:trPr>
          <w:trHeight w:val="234"/>
        </w:trPr>
        <w:tc>
          <w:tcPr>
            <w:tcW w:w="2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240,444</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0.7875</w:t>
            </w:r>
          </w:p>
        </w:tc>
        <w:tc>
          <w:tcPr>
            <w:tcW w:w="14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9/24/2020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-565150</wp:posOffset>
            </wp:positionV>
            <wp:extent cx="13893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89380" cy="171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warrant activity during the years ended December 31, 2016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January 1,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Expired</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December 31,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Expired</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December 31, 2016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OPERATING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Number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Underlying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average</w:t>
            </w:r>
          </w:p>
        </w:tc>
      </w:tr>
      <w:tr>
        <w:trPr>
          <w:trHeight w:val="241"/>
        </w:trPr>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w:t>
            </w:r>
          </w:p>
        </w:tc>
        <w:tc>
          <w:tcPr>
            <w:tcW w:w="20" w:type="dxa"/>
            <w:vAlign w:val="bottom"/>
          </w:tcPr>
          <w:p>
            <w:pPr>
              <w:spacing w:after="0"/>
              <w:rPr>
                <w:sz w:val="20"/>
                <w:szCs w:val="20"/>
                <w:color w:val="auto"/>
              </w:rPr>
            </w:pP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198"/>
        </w:trPr>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1,854,139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7"/>
                <w:szCs w:val="17"/>
                <w:color w:val="auto"/>
              </w:rPr>
            </w:pPr>
          </w:p>
        </w:tc>
      </w:tr>
      <w:tr>
        <w:trPr>
          <w:trHeight w:val="230"/>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240,444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0.7875</w:t>
            </w:r>
          </w:p>
        </w:tc>
      </w:tr>
      <w:tr>
        <w:trPr>
          <w:trHeight w:val="241"/>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2,094,583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1.65</w:t>
            </w:r>
          </w:p>
        </w:tc>
      </w:tr>
      <w:tr>
        <w:trPr>
          <w:trHeight w:val="21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0.89</w:t>
            </w:r>
          </w:p>
        </w:tc>
      </w:tr>
      <w:tr>
        <w:trPr>
          <w:trHeight w:val="27"/>
        </w:trPr>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r>
      <w:tr>
        <w:trPr>
          <w:trHeight w:val="250"/>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2,044,583</w:t>
            </w:r>
          </w:p>
        </w:tc>
        <w:tc>
          <w:tcPr>
            <w:tcW w:w="160" w:type="dxa"/>
            <w:vAlign w:val="bottom"/>
            <w:gridSpan w:val="2"/>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8620" w:space="200"/>
            <w:col w:w="2600"/>
          </w:cols>
          <w:pgMar w:left="240" w:top="900" w:right="239" w:bottom="1440" w:gutter="0" w:footer="0" w:header="0"/>
          <w:type w:val="continuous"/>
        </w:sectPr>
      </w:pP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initially signed the lease for its current office space located in Rochester Michigan on December 1, 2011. That lease expired November 30, 2016 and the Company signed a new lease for the same space. The new lease is a three-year lease beginning December 1, 2016, with options for up to an additional 6 years. The rent is payable monthly at rates of $6,232, $6,308, and $6,384 per month for years 1, 2, and 3 of the lease, respectively. The monthly rates for the option years range from $6,384 per month to $6,688 per month for the option years 4 through 9 of the lease. If the Company fails to exercise its option for option years 4 and 5, a least termination payment of $7,300 will be due at the end of the initial 3-year term.</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has a short-term lease on shared office space in Cambridge Massachusetts expiring May 31, 2017. The lease is a nine-month lease calling for six monthly payments of $2,997 and three free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annual rent payments are as follows for the remaining term of the leases: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Year ended December 31:</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514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2017</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77,857</w:t>
            </w:r>
          </w:p>
        </w:tc>
        <w:tc>
          <w:tcPr>
            <w:tcW w:w="2900" w:type="dxa"/>
            <w:vAlign w:val="bottom"/>
          </w:tcPr>
          <w:p>
            <w:pPr>
              <w:spacing w:after="0"/>
              <w:rPr>
                <w:sz w:val="18"/>
                <w:szCs w:val="18"/>
                <w:color w:val="auto"/>
              </w:rPr>
            </w:pPr>
          </w:p>
        </w:tc>
      </w:tr>
      <w:tr>
        <w:trPr>
          <w:trHeight w:val="216"/>
        </w:trPr>
        <w:tc>
          <w:tcPr>
            <w:tcW w:w="514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2018</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75,772</w:t>
            </w:r>
          </w:p>
        </w:tc>
        <w:tc>
          <w:tcPr>
            <w:tcW w:w="2900" w:type="dxa"/>
            <w:vAlign w:val="bottom"/>
          </w:tcPr>
          <w:p>
            <w:pPr>
              <w:spacing w:after="0"/>
              <w:rPr>
                <w:sz w:val="18"/>
                <w:szCs w:val="18"/>
                <w:color w:val="auto"/>
              </w:rPr>
            </w:pPr>
          </w:p>
        </w:tc>
      </w:tr>
      <w:tr>
        <w:trPr>
          <w:trHeight w:val="255"/>
        </w:trPr>
        <w:tc>
          <w:tcPr>
            <w:tcW w:w="514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2019</w:t>
            </w:r>
          </w:p>
        </w:tc>
        <w:tc>
          <w:tcPr>
            <w:tcW w:w="26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70,224</w:t>
            </w:r>
          </w:p>
        </w:tc>
        <w:tc>
          <w:tcPr>
            <w:tcW w:w="2900" w:type="dxa"/>
            <w:vAlign w:val="bottom"/>
          </w:tcPr>
          <w:p>
            <w:pPr>
              <w:spacing w:after="0"/>
              <w:rPr>
                <w:sz w:val="22"/>
                <w:szCs w:val="22"/>
                <w:color w:val="auto"/>
              </w:rPr>
            </w:pPr>
          </w:p>
        </w:tc>
      </w:tr>
      <w:tr>
        <w:trPr>
          <w:trHeight w:val="250"/>
        </w:trPr>
        <w:tc>
          <w:tcPr>
            <w:tcW w:w="514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Total lease commitment</w:t>
            </w:r>
          </w:p>
        </w:tc>
        <w:tc>
          <w:tcPr>
            <w:tcW w:w="26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223,853</w:t>
            </w:r>
          </w:p>
        </w:tc>
        <w:tc>
          <w:tcPr>
            <w:tcW w:w="2900" w:type="dxa"/>
            <w:vAlign w:val="bottom"/>
          </w:tcPr>
          <w:p>
            <w:pPr>
              <w:spacing w:after="0"/>
              <w:rPr>
                <w:sz w:val="21"/>
                <w:szCs w:val="21"/>
                <w:color w:val="auto"/>
              </w:rPr>
            </w:pPr>
          </w:p>
        </w:tc>
      </w:tr>
      <w:tr>
        <w:trPr>
          <w:trHeight w:val="21"/>
        </w:trPr>
        <w:tc>
          <w:tcPr>
            <w:tcW w:w="5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655"/>
        </w:trPr>
        <w:tc>
          <w:tcPr>
            <w:tcW w:w="5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right"/>
              <w:ind w:right="1930"/>
              <w:spacing w:after="0"/>
              <w:rPr>
                <w:sz w:val="20"/>
                <w:szCs w:val="20"/>
                <w:color w:val="auto"/>
              </w:rPr>
            </w:pPr>
            <w:r>
              <w:rPr>
                <w:rFonts w:ascii="Times New Roman" w:cs="Times New Roman" w:eastAsia="Times New Roman" w:hAnsi="Times New Roman"/>
                <w:sz w:val="18"/>
                <w:szCs w:val="18"/>
                <w:color w:val="auto"/>
              </w:rPr>
              <w:t>F-16</w:t>
            </w:r>
          </w:p>
        </w:tc>
        <w:tc>
          <w:tcPr>
            <w:tcW w:w="6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MAJOR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major customers that individually accounted for 10% or more of revenue in any one of the years presented: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Percentage</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Percentage</w:t>
            </w:r>
          </w:p>
        </w:tc>
        <w:tc>
          <w:tcPr>
            <w:tcW w:w="140" w:type="dxa"/>
            <w:vAlign w:val="bottom"/>
          </w:tcPr>
          <w:p>
            <w:pPr>
              <w:spacing w:after="0"/>
              <w:rPr>
                <w:sz w:val="20"/>
                <w:szCs w:val="20"/>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Customer A</w:t>
            </w:r>
          </w:p>
        </w:tc>
        <w:tc>
          <w:tcPr>
            <w:tcW w:w="1900" w:type="dxa"/>
            <w:vAlign w:val="bottom"/>
          </w:tcPr>
          <w:p>
            <w:pPr>
              <w:spacing w:after="0"/>
              <w:rPr>
                <w:sz w:val="17"/>
                <w:szCs w:val="17"/>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899,299</w:t>
            </w:r>
          </w:p>
        </w:tc>
        <w:tc>
          <w:tcPr>
            <w:tcW w:w="200" w:type="dxa"/>
            <w:vAlign w:val="bottom"/>
          </w:tcPr>
          <w:p>
            <w:pPr>
              <w:spacing w:after="0"/>
              <w:rPr>
                <w:sz w:val="17"/>
                <w:szCs w:val="17"/>
                <w:color w:val="auto"/>
              </w:rPr>
            </w:pPr>
          </w:p>
        </w:tc>
        <w:tc>
          <w:tcPr>
            <w:tcW w:w="142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w w:val="97"/>
              </w:rPr>
              <w:t>1,409,720</w:t>
            </w:r>
          </w:p>
        </w:tc>
        <w:tc>
          <w:tcPr>
            <w:tcW w:w="220" w:type="dxa"/>
            <w:vAlign w:val="bottom"/>
          </w:tcPr>
          <w:p>
            <w:pPr>
              <w:spacing w:after="0"/>
              <w:rPr>
                <w:sz w:val="17"/>
                <w:szCs w:val="17"/>
                <w:color w:val="auto"/>
              </w:rPr>
            </w:pPr>
          </w:p>
        </w:tc>
        <w:tc>
          <w:tcPr>
            <w:tcW w:w="1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20%</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449,322</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958,653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1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7,751,462</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7,220,678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NOTE 15 – INCOME TAXES</w:t>
            </w: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2016, the Company had net operating loss carry forwards of approximately $9.1 million that expire from 2027 through 2036 that are available to offset future taxable income. The Company was formed in 2006 as a limited liability company and changed to a corporation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Federal income tax consists of the following for the years ended December 31, 2016 and 2015:</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Federal income tax benefit attributable to:</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operations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523,000</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Permanent and Timing Differences (net)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133,000</w:t>
            </w: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(218,000)</w:t>
            </w:r>
          </w:p>
        </w:tc>
        <w:tc>
          <w:tcPr>
            <w:tcW w:w="0" w:type="dxa"/>
            <w:vAlign w:val="bottom"/>
          </w:tcPr>
          <w:p>
            <w:pPr>
              <w:spacing w:after="0"/>
              <w:rPr>
                <w:sz w:val="1"/>
                <w:szCs w:val="1"/>
                <w:color w:val="auto"/>
              </w:rPr>
            </w:pPr>
          </w:p>
        </w:tc>
      </w:tr>
      <w:tr>
        <w:trPr>
          <w:trHeight w:val="248"/>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(656,000)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provision for federal income tax</w:t>
            </w: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vMerge w:val="continue"/>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cumulative tax effect at the expected rate of 34% of significant items comprising our net deferred tax amount is as follows as of December 31, 2016 and 2015: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tax asset attributable to:</w:t>
            </w:r>
          </w:p>
        </w:tc>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w:t>
            </w:r>
          </w:p>
        </w:tc>
        <w:tc>
          <w:tcPr>
            <w:tcW w:w="3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3,766,000</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(3,766,000)</w:t>
            </w:r>
          </w:p>
        </w:tc>
        <w:tc>
          <w:tcPr>
            <w:tcW w:w="2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(3,110,000)</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deferred tax asset</w:t>
            </w:r>
          </w:p>
        </w:tc>
        <w:tc>
          <w:tcPr>
            <w:tcW w:w="3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vMerge w:val="continue"/>
          </w:tcPr>
          <w:p>
            <w:pPr>
              <w:spacing w:after="0"/>
              <w:rPr>
                <w:sz w:val="21"/>
                <w:szCs w:val="21"/>
                <w:color w:val="auto"/>
              </w:rPr>
            </w:pPr>
          </w:p>
        </w:tc>
        <w:tc>
          <w:tcPr>
            <w:tcW w:w="3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certain circumstances issuance of common shares can result in an ownership change under Internal Revenue Code Section 382 which limits the Company’s ability to utilize carry forwards from prior to the ownership change. Any such ownership change resulting from stock issuances and redemptions could limit the Company’s ability to utilize any net operating loss carry forwards or credits generated before this change in ownership. These limitations can limit both the timing of usage of these laws, as well as the loss of the ability to use these net operating losses. It is likely that fundraising activities have resulted in such an ownership change.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16 – COMMITMENTS AND CONTINGENT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involved in the following legal proceedings.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Commencing in September 2014, we were a party to a lawsuit involving our prior CEO, Shadron Stastney, in the U.S. District Court in the Eastern District of Michigan as a result of a dispute related to his separation agreement. On May 27, 2016, we settled the action. For a complete release of claims and dismissal of the action, we agreed to pay Mr. Stastney $50,000 and to issue him 100,000 shares of our common stock. We further agreed to register 133,333 of his existing shares with the Securities and Exchange Commission on Form S-1 by June 30, 2016. We have tendered to Mr. Stastney the cash and shares and registered his shares in fulfillment of our settlement obligations.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2015, we initiated litigation in federal court against LDM Group, LLC and PDR Network, LLC. That action was dismissed and later re-initiated in Missouri state court. Our claims are related to the breach by LDM of the settlement agreement signed February 28, 2014 to resolve previous litigation with LDM. Following execution of that agreement, LDM failed to live up to its obligations under that settlement agreement including, but not limited to, not allowing us to distribute our eCoupon programs in the LDM network, not allowing us to distribute the LDM patient education programs, and not providing other information on a timely basis or at all as required under the settlement agreement. In addition, our claims include PDR’s breach of the Master Services Agreement requiring PDR’s exclusive use of our eCoupon solution. We assert that PDR’s acquisition of LDM and the use of the LDM network to distribute coupons by PDR violates the agreement between the parties. We are also claiming that LDM and PDR entered a civil conspiracy to violate their respective agreements with us. We are seeking enforcement of the agreements and we are seeking damages in an amount at least equal to the amounts paid to date to LDM under the settlement agreement, which is in excess of $1.0 million, as well as damages for lost income and business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are currently in the discovery process.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Revenue-share contracts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contacts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Allscripts Agreement</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2015, we signed an amendment to our Allscripts agreement whereby we became its exclusive eCoupon supplier and Allscripts agreed to integrate our eCoupon functionality into its Touchworks platform. Under the terms of this agreement, we agreed to pay $900,000 in two installments. The first installment of $250,000 was due and paid in November 2015. The second installment of $650,000 becomes due when the e-Coupon functionality is launched on a widespread basis in the Touchworks platform, which occurred February 28, 2017.</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17 – RETIREMENT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no expense under this plan in 2015, as the plan became effective in 2016. There was expense of $64,690 recorded in 2016 for company contributions to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18 – SUBSEQUENT EVENTS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ASC 855-10, the Company has analyzed its operations subsequent to December 31, 2016 through the date these financial statements were issued and has determined that it does not have any material subsequent events to disclose in these financial statements.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we have carried out an evaluation of the effectiveness of our disclosure controls and procedures as of the end of the period covered by this annual report, being December 31, 2016. This evaluation was carried out under the supervision of, and with the participation of, our management, including our Chief Executive Officer and Chief Financial Officer.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Disclosure controls and procedures include controls and procedures designed to ensure that information required to be disclosed in our company’s reports filed under the Securities Exchange Act of 1934 is accumulated and communicated to management, including our Chief Executive Officer and Chief Financial Officer, to allow timely decisions regarding required disclosure.</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that evaluation, we have concluded that our disclosure controls and procedures are not sufficient as of the end of the period covered by this annual report. We intend to implement additional procedures to improve disclosure controls.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Management has assessed the effectiveness of our internal control over financial reporting as of December 31, 2016 based on criteria established in Internal Control-Integrated Framework issued by the Committee of Sponsoring Organizations of the Treadway Commission. As a result of this assessment, management concluded that, as of December 31, 2016, our internal control over financial reporting was not effective. Our management identified the following material weaknesses in our internal control over financial reporting, which are indicative of many small companies with small staff: (i) inadequate segregation of duties and effective risk assessment; and (ii) inadequate information technology reporting systems to insure that accurate information is provided for accounting and financial reporting with respect to the requirements and application of both US GAAP and SEC guidelines.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taken steps to enhance and improve the design of our internal control over financial reporting. During the period covered by this annual report on Form 10-K, we have not been able to completely remediate the material weaknesses identified above. To continue to remediate such weaknesses, we plan to implement the following changes during our fiscal year ending December 31, 2017. We have developed, and will continue to develop, analytical procedures and reports which help identify potential errors. In addition, we have hired a new person in the finance area in January 2017 and intend to design new procedures to improve our segregation of duties. We also hired a new director of information technology and we intend to continue to develop improvements to the reporting systems in our information technology systems.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an exemption for non-accelerated filers set forth in Section 989G of the Dodd-Frank Wall Street Reform and Consumer Protection Act.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sets forth the names, ages, and positions of our current directors and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7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0" w:type="dxa"/>
            <w:vAlign w:val="bottom"/>
          </w:tcPr>
          <w:p>
            <w:pPr>
              <w:spacing w:after="0"/>
              <w:rPr>
                <w:sz w:val="21"/>
                <w:szCs w:val="21"/>
                <w:color w:val="auto"/>
              </w:rPr>
            </w:pPr>
          </w:p>
        </w:tc>
        <w:tc>
          <w:tcPr>
            <w:tcW w:w="742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Positions and Offices Held</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Febbo</w:t>
            </w:r>
          </w:p>
        </w:tc>
        <w:tc>
          <w:tcPr>
            <w:tcW w:w="10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Brian Dillon</w:t>
            </w:r>
          </w:p>
        </w:tc>
        <w:tc>
          <w:tcPr>
            <w:tcW w:w="10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SVP – Product and Strategy</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J. Hamilton</w:t>
            </w:r>
          </w:p>
        </w:tc>
        <w:tc>
          <w:tcPr>
            <w:tcW w:w="10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SVP – Sales</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Douglas P. Baker</w:t>
            </w:r>
          </w:p>
        </w:tc>
        <w:tc>
          <w:tcPr>
            <w:tcW w:w="10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 Harrell</w:t>
            </w:r>
          </w:p>
        </w:tc>
        <w:tc>
          <w:tcPr>
            <w:tcW w:w="10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Director</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Gus D. Halas</w:t>
            </w:r>
          </w:p>
        </w:tc>
        <w:tc>
          <w:tcPr>
            <w:tcW w:w="10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Pinney</w:t>
            </w:r>
          </w:p>
        </w:tc>
        <w:tc>
          <w:tcPr>
            <w:tcW w:w="10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Lynn Vos</w:t>
            </w:r>
          </w:p>
        </w:tc>
        <w:tc>
          <w:tcPr>
            <w:tcW w:w="10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61</w:t>
            </w:r>
          </w:p>
        </w:tc>
        <w:tc>
          <w:tcPr>
            <w:tcW w:w="2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Lang</w:t>
            </w:r>
          </w:p>
        </w:tc>
        <w:tc>
          <w:tcPr>
            <w:tcW w:w="10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-1388745</wp:posOffset>
            </wp:positionV>
            <wp:extent cx="7246620" cy="13893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8938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A. Harrell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Harrell founded our company in January of 2006 and has been a Director since our inception. He has served as our Chairman since September 20, 2013, and was our Chief Executive Officer from September 20, 2013 through February 21, 2016.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Mr. Harrell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Harrell is qualified to serve on our Board of Directors because of his sales, marketing and business development experience in the pharmaceutical sector.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William J. Febbo</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Febbo joined our company as Chief Executive Officer on February 22, 2016. Mr. Febbo brings more than 18 years of experience in building and managing health services and financial businesses. Before joining our company, Mr. Febbo served as Chairman and Founder of Plexus, LLC, a payment processing business for medical professionals. From 2007 to 2015, he worked with Merriman Holdings, Inc., an investment banking firm. There he served as Chief Operating Officer and assisted with capital raises in the tech, biotech, cleantech, consumer and resources industries. From 2013 to 2015, he also worked with Digital Capital Network, Inc., which operated a transaction platform for institutional and accredited investors. There he served as Chief Executive Officer and Co-Founder and managed the day-to-day operations of the digital portal for institutional level investments. Prior to Merriman, Mr Febbo was CEO and co-founder of MedPanel, a provider of market intelligence and communications for the pharmaceutical, biomedical, and medical device industries, which was eventually acquired by MCF Corporation.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Mr. Febbo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Febbo is qualified to serve on our Board of Directors because of his wealth of experience in building and managing health services and financial businesses.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Terence J. Hamilton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Hamilton joined our company as VP of Sales in February 2008 and became SVP of Sales in 2016.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and Government Account Manager. Mr. Hamilton was a Director of the Company from 2008 through March 2016.</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Mr. Hamilton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Gus D. Halas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Halas joined our company as a Director on August 7, 2014. 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Hooper Holmes, Inc., School Specialty, Inc., and Madelena Energy.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Halas is qualified to serve on our Board of Directors because of his experience and expertise as an executive and a director with companies implementing “turnaround” strategies.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Jack Pinney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Pinney joined our company as a Director on August 13, 2014. From 2007 to the present, Dr. Pinney has served as Team Physician to the Great Lakes Loons baseball team in the LA Dodgers organization. From 2011 to the present, he has served as Medical Director for WellSport MidMichigan Medical Center. From 1992 to the present, he has served as Assistant Clinical Professor of Family Medicine for the Department of Family Medicine at Michigan State University College of Human Medicine. From 1992 to 2012, he served as Assistant Director for the Midland Family Practice Residency Program at MidMichigan Medical Center.</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Dr. Pinney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Pinney is qualified to serve on our Board of Directors because of his expertise medicine and prescription practices of physicians.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Lynn Vos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Vos has been chief executive officer of ghg | greyhealth group since 1994 and is a champion of using digital capabilities to improve the public health. Ms. Vos also serves on the board of nTelos Wireless, a NASDAQ listed company, the Jed Foundation, a leading nonprofit dedicated to protecting the emotional health of college students, and was a founding board member of MMRF, a pioneering cancer research foundation.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Ms. Vos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Vos is qualified to serve on our Board of Directors because of her extensive executive skills in digital marketing and communications in the healthcare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James Lang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Lang joined our Board January 12, 2017. He brings us more than 25 years of experience in healthcare data, analytic, and technology enabled business services. Mr. Lang presently serves as an executive advisor to Water Street, a strategic private equity firm focused exclusively on building market-leading companies in healthcare. He is also a director of BioVie, a development-stage company pioneering an innovative therapeutic that targets complications due to liver cirrhosis.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Lang previously served as CEO of Decision Resources Group, a leading healthcare research and consulting company providing high-value healthcare industry analysis and insights, where he helped transform the company into an industry leader. Earlier, he was president of Strategic Decisions Group, a premier global strategy consultancy, and he expanded the life sciences practice and later sold it to IMS Health. He is an active private investor and advisor with healthcare companies, including Boston Heart Diagnostics (acquired by Eurofins) and AlphalmpactRx (acquired by IMS Health).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Mr. Lang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Lang is qualified to serve on our Board of Directors because of his extensive executive skills and background in the healthcare industry.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Brian Dillon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Dillon is our Senior Vice President of Product and Strategy. Prior to joining OptimizeRx, he provided consulting services focused on the HiTECH (Health Information Technology) and pharmaceutical manufacturers services sector. Earlier in his career, he served as partner at AccelaPartners, a consulting firm focused on Healthcare technology and the pharmaceutical industry. Prior to AccelaPartners, he served as regional vice president of Americas at Cegedim, an international healthcare software and services provider.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Dillon was previously president and CEO of Intercon Systems. Before Intercon Systems, he was founder, president and CEO of Kelly Waldron, which was eventually acquired by McKessonHBOC Technology Solutions. Earlier, he served as vice president of sales at Walsh America, where he built the company’s client base from three to 13 companies over three years with the company. Before Walsh America, he founded QuadROM Software Systems Inc. (North American division absorbed into Walsh America).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Dillon currently also serves as a director at Sofame Technologies Inc. and Visio Energy.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Mr. Dillon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Douglas P. Baker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Baker has served as our CFO since May 19, 2014. Mr. Baker is a Certified Public Account with a Master’s Degree in Business Administration. He has extensive business experience including 9 years in public accounting with Plante Moran, 4 years as CFO of a privately held printing company, 5 years in a variety of divisional financial roles at MascoTech, Inc., a Fortune 500 automotive supplier, and from 1996 to 2014 as Chief Financial Officer of Applied Nanotech Holdings, Inc., (“APNT”) a publicly held nanotechnology research and licensing company. Mr. Baker was also a member of the Board of Directors of APNT from 2006 through 2014. He is also currently Chairman of the Board of Total Health Care, Inc., a Detroit based Health Maintenance Organization and has been a member of that Board since 1987.</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that provided above, Mr. Baker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authorize no less than three (3) and no more than Seven (7) Directors unless changed by the Board of Directors. The Investor Rights Agreement we signed with WPP Luxembourg Gamma Three Sarl states that our Board of Directors shall consist of five (5) Directors, but that provision was waived by WPP in January 2017 and the Board was expanded at that time. We currently have six (6)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of Office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 subject to their respective employment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significant employees other than our officers and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or among the directors, executive officers or persons nominated or chosen by us to become directors or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past 10 years, none of our current directors, nominees for directors or current executive officers has been involved in any legal proceeding identified in Item 401(f) of Regulation S-K, including:</w:t>
      </w:r>
    </w:p>
    <w:p>
      <w:pPr>
        <w:spacing w:after="0" w:line="162" w:lineRule="exact"/>
        <w:rPr>
          <w:sz w:val="20"/>
          <w:szCs w:val="20"/>
          <w:color w:val="auto"/>
        </w:rPr>
      </w:pPr>
    </w:p>
    <w:p>
      <w:pPr>
        <w:jc w:val="both"/>
        <w:ind w:firstLine="8"/>
        <w:spacing w:after="0" w:line="266" w:lineRule="auto"/>
        <w:tabs>
          <w:tab w:leader="none" w:pos="1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17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conviction in a criminal proceeding or being named a subject of a pending criminal proceeding (excluding traffic violations and other minor offenses);</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1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any order, judgment, or decree, not subsequently reversed, suspended or vacated, of any court of competent jurisdiction, permanently or temporarily enjoining him or her from, or otherwise limiting, the following activities: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80" w:lineRule="exact"/>
        <w:rPr>
          <w:sz w:val="20"/>
          <w:szCs w:val="20"/>
          <w:color w:val="auto"/>
        </w:rPr>
      </w:pPr>
    </w:p>
    <w:p>
      <w:pPr>
        <w:ind w:left="200" w:hanging="192"/>
        <w:spacing w:after="0"/>
        <w:tabs>
          <w:tab w:leader="none" w:pos="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any type of business practice; or</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any activity in connection with the purchase or sale of any security or commodity or in connection with any violation of Federal or State securities laws or Federal commodities laws;</w:t>
      </w:r>
    </w:p>
    <w:p>
      <w:pPr>
        <w:spacing w:after="0" w:line="162" w:lineRule="exact"/>
        <w:rPr>
          <w:sz w:val="20"/>
          <w:szCs w:val="20"/>
          <w:color w:val="auto"/>
        </w:rPr>
      </w:pPr>
    </w:p>
    <w:p>
      <w:pPr>
        <w:jc w:val="both"/>
        <w:ind w:firstLine="8"/>
        <w:spacing w:after="0" w:line="266" w:lineRule="auto"/>
        <w:tabs>
          <w:tab w:leader="none" w:pos="1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found by a court of competent jurisdiction in a civil action or by the SEC to have violated any Federal or State securities law, and the judgment in such civil action or finding by the Commission has not been subsequently reversed, suspended, or vacated;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or a party to, any Federal or State judicial or administrative order, judgment, decree, or finding, not subsequently reversed, suspended or vacated, relating to an alleged violation 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Any Federal or State securities or commodities law or regulation;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6" w:name="page47"/>
    <w:bookmarkEnd w:id="46"/>
    <w:p>
      <w:pPr>
        <w:ind w:firstLine="8"/>
        <w:spacing w:after="0" w:line="282" w:lineRule="auto"/>
        <w:tabs>
          <w:tab w:leader="none" w:pos="1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prohibiting mail or wire fraud or fraud in connection with any business entity; or</w:t>
      </w:r>
    </w:p>
    <w:p>
      <w:pPr>
        <w:spacing w:after="0" w:line="225" w:lineRule="exact"/>
        <w:rPr>
          <w:sz w:val="20"/>
          <w:szCs w:val="20"/>
          <w:color w:val="auto"/>
        </w:rPr>
      </w:pPr>
    </w:p>
    <w:p>
      <w:pPr>
        <w:jc w:val="both"/>
        <w:ind w:firstLine="8"/>
        <w:spacing w:after="0" w:line="261" w:lineRule="auto"/>
        <w:tabs>
          <w:tab w:leader="none" w:pos="1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reviews the independence of our directors on the basis of standards adopted by the NASDAQ Stock Market (“NASDAQ”). As a part of this review, the Board of Directors considers transactions and relationships between our company, on the one hand, and each director, members of the director’s immediate family, and other entities with which the director is affiliated, on the other hand. The purpose of such a review is to determine which, if any, of such transactions or relationships were inconsistent with a determination that the director is independent under NASDAQ rules. As a result of this review, the Board of Directors has determined that each of our directors other than Mr. Harrell and Mr. Febbo is an “independent director” within the meaning of applicable NASDAQ listing standards.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two standing committees to facilitate and assist the Board of Directors in the execution of its responsibilities: (1) Nominating and Governance Committee; and (2) Compensation Committee. Each committee acts pursuant to a written charter adopted by the Board of Directors. Each committee’s charter is available on our corporate website at http://www.optimizerx.com. All of the committees are comprised solely of non-employee, independent directors as defined by NASDAQ market listing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established a Nominating and Governance Committee. The Committee is composed of Directors, Halas, Pinney, and Vos, and is chaired by Director Halas. The Nominating and Corporate Governance Committee has not held any meetings during the fiscal year ended December 31, 2016, but will commence meetings in 2017. The Nominating and Corporate Governance Committee’s responsibilities, which are discussed in detail in its charter, include the responsibility to:</w:t>
      </w:r>
    </w:p>
    <w:p>
      <w:pPr>
        <w:spacing w:after="0" w:line="180"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qualifications and criteria for selecting and evaluating directors and nominees;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propose director nominees;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regarding Board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regarding Board committee memberships;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to the Board corporate governance guidelines;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an annual assessment of the performance of the Board and each of its standing committees;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the independence of each director and nominee for director;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other functions or duties deemed appropriate by the Board.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of Directors has established a Compensation Committee. The Compensation Committee has not held any meetings during the fiscal year ended December 31, 2016, but will commence meetings in 2017. The Committee is composed of Directors, Halas, Pinney, and Lang, and is chaired by Director Lang. The Compensation Committee’s responsibilities, which are discussed in detail in its charter, include the responsibility to:</w:t>
      </w:r>
    </w:p>
    <w:p>
      <w:pPr>
        <w:spacing w:after="0" w:line="176" w:lineRule="exact"/>
        <w:rPr>
          <w:sz w:val="20"/>
          <w:szCs w:val="20"/>
          <w:color w:val="auto"/>
        </w:rPr>
      </w:pPr>
    </w:p>
    <w:p>
      <w:pPr>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consultation with our senior management, establish our general compensation philosophy and oversee the development and implementation of our compensation programs;</w:t>
      </w: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base salary, incentive compensation and any other compensation for our Chief Executive Officer to the Board of Directors and review and approve the Chief Executive Officer’s recommendations for the compensation of all other officers of our company and its subsidiary;</w:t>
      </w:r>
    </w:p>
    <w:p>
      <w:pPr>
        <w:ind w:left="660" w:right="2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incentive and stock-based compensation plans, and discharge the duties imposed on the Compensation Committee by the terms of those plans;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any severance or termination payments proposed to be made to any current or former officer of our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other functions or duties deemed appropriate by the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have a separately-designated standing audit committee.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ending December 31, 2016, the board of directors:</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management,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written disclosures and the letter from our independent auditors on the matters relating to the auditor's independence.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the board of directors’ review and discussion of the matters above, the board of directors authorized inclusion of the audited financial statements for the year ended December 31, 2016 to be included in this Annual Report on Form 10-K and filed with the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no persons have failed to file, on a timely basis, the identified reports required by Section 16(a) of the Exchange Act during fiscal year ended December 31, 2016, other than Mr. Harrell failed to file a Form 4 for restricted stock that he disposed of in February 2016 and Mr. Pinney filed a Form 4 late by 4 days in December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2016, we had not adopted a Code of Ethics. We felt, until recently, the small number of individuals comprising our board and management did not warrant the adoption of a Code of Ethics. Now that we have expanded our board and our increasing the size of our organization, we intend to adopt a Code of Ethics in the near future Board Meeting.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below summarizes all compensation awarded to, earned by, or paid to our former or current executive officers for the fiscal years ended December 31, 2016 and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Stock</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Option</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All 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and principal</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Bonus</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Awards</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Awards</w:t>
            </w: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Compensation</w:t>
            </w: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w:t>
            </w:r>
          </w:p>
        </w:tc>
      </w:tr>
      <w:tr>
        <w:trPr>
          <w:trHeight w:val="241"/>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w:t>
            </w: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Year</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Salary ($)</w:t>
            </w: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Pr>
          <w:p>
            <w:pPr>
              <w:spacing w:after="0"/>
              <w:rPr>
                <w:sz w:val="20"/>
                <w:szCs w:val="20"/>
                <w:color w:val="auto"/>
              </w:rPr>
            </w:pP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 (1)</w:t>
            </w:r>
          </w:p>
        </w:tc>
        <w:tc>
          <w:tcPr>
            <w:tcW w:w="20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196"/>
        </w:trPr>
        <w:tc>
          <w:tcPr>
            <w:tcW w:w="344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David A. Harrell</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30"/>
              <w:spacing w:after="0" w:line="195" w:lineRule="exact"/>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185,646</w:t>
            </w: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185,646</w:t>
            </w:r>
          </w:p>
        </w:tc>
        <w:tc>
          <w:tcPr>
            <w:tcW w:w="100" w:type="dxa"/>
            <w:vAlign w:val="bottom"/>
            <w:tcBorders>
              <w:top w:val="single" w:sz="8" w:color="CCEEFF"/>
            </w:tcBorders>
            <w:shd w:val="clear" w:color="auto" w:fill="CCEEFF"/>
          </w:tcPr>
          <w:p>
            <w:pPr>
              <w:spacing w:after="0"/>
              <w:rPr>
                <w:sz w:val="17"/>
                <w:szCs w:val="17"/>
                <w:color w:val="auto"/>
              </w:rPr>
            </w:pPr>
          </w:p>
        </w:tc>
      </w:tr>
      <w:tr>
        <w:trPr>
          <w:trHeight w:val="23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Chairman, Former CEO</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201,508</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75,000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73,509</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350,017</w:t>
            </w:r>
          </w:p>
        </w:tc>
      </w:tr>
      <w:tr>
        <w:trPr>
          <w:trHeight w:val="196"/>
        </w:trPr>
        <w:tc>
          <w:tcPr>
            <w:tcW w:w="35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William J. Febbo</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CEO, Director</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188,833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83,742</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993,825</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4,400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1,270,800</w:t>
            </w:r>
          </w:p>
        </w:tc>
      </w:tr>
      <w:tr>
        <w:trPr>
          <w:trHeight w:val="196"/>
        </w:trPr>
        <w:tc>
          <w:tcPr>
            <w:tcW w:w="35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Terence J. Hamilton</w:t>
            </w:r>
          </w:p>
        </w:tc>
        <w:tc>
          <w:tcPr>
            <w:tcW w:w="920" w:type="dxa"/>
            <w:vAlign w:val="bottom"/>
            <w:shd w:val="clear" w:color="auto" w:fill="CCEEFF"/>
          </w:tcPr>
          <w:p>
            <w:pPr>
              <w:jc w:val="right"/>
              <w:ind w:right="130"/>
              <w:spacing w:after="0" w:line="195" w:lineRule="exact"/>
              <w:rPr>
                <w:sz w:val="20"/>
                <w:szCs w:val="20"/>
                <w:color w:val="auto"/>
              </w:rPr>
            </w:pPr>
            <w:r>
              <w:rPr>
                <w:rFonts w:ascii="Times New Roman" w:cs="Times New Roman" w:eastAsia="Times New Roman" w:hAnsi="Times New Roman"/>
                <w:sz w:val="18"/>
                <w:szCs w:val="18"/>
                <w:color w:val="auto"/>
              </w:rPr>
              <w:t>2016</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180,125</w:t>
            </w:r>
          </w:p>
        </w:tc>
        <w:tc>
          <w:tcPr>
            <w:tcW w:w="1120" w:type="dxa"/>
            <w:vAlign w:val="bottom"/>
            <w:gridSpan w:val="2"/>
            <w:shd w:val="clear" w:color="auto" w:fill="CCEEFF"/>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60,294</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7,205</w:t>
            </w:r>
          </w:p>
        </w:tc>
        <w:tc>
          <w:tcPr>
            <w:tcW w:w="1020" w:type="dxa"/>
            <w:vAlign w:val="bottom"/>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402,308</w:t>
            </w:r>
          </w:p>
        </w:tc>
      </w:tr>
      <w:tr>
        <w:trPr>
          <w:trHeight w:val="23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SVP of Sales</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165,000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110,264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154,684</w:t>
            </w: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335,264</w:t>
            </w:r>
          </w:p>
        </w:tc>
      </w:tr>
      <w:tr>
        <w:trPr>
          <w:trHeight w:val="196"/>
        </w:trPr>
        <w:tc>
          <w:tcPr>
            <w:tcW w:w="35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James Brooks</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Former SVP of Business Development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185,000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232,290</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3,700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420,990</w:t>
            </w:r>
          </w:p>
        </w:tc>
      </w:tr>
      <w:tr>
        <w:trPr>
          <w:trHeight w:val="196"/>
        </w:trPr>
        <w:tc>
          <w:tcPr>
            <w:tcW w:w="35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Brian Dillon</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SVP</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114,983</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30,729</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77,342</w:t>
            </w: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226,754</w:t>
            </w:r>
          </w:p>
        </w:tc>
      </w:tr>
      <w:tr>
        <w:trPr>
          <w:trHeight w:val="196"/>
        </w:trPr>
        <w:tc>
          <w:tcPr>
            <w:tcW w:w="35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Douglas P. Baker</w:t>
            </w:r>
          </w:p>
        </w:tc>
        <w:tc>
          <w:tcPr>
            <w:tcW w:w="920" w:type="dxa"/>
            <w:vAlign w:val="bottom"/>
          </w:tcPr>
          <w:p>
            <w:pPr>
              <w:jc w:val="right"/>
              <w:ind w:right="130"/>
              <w:spacing w:after="0" w:line="195" w:lineRule="exact"/>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172,500</w:t>
            </w:r>
          </w:p>
        </w:tc>
        <w:tc>
          <w:tcPr>
            <w:tcW w:w="112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44,847</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3"/>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6,900</w:t>
            </w:r>
          </w:p>
        </w:tc>
        <w:tc>
          <w:tcPr>
            <w:tcW w:w="10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224,247</w:t>
            </w:r>
          </w:p>
        </w:tc>
      </w:tr>
      <w:tr>
        <w:trPr>
          <w:trHeight w:val="23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CFO</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143,750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60,000</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10,668</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-2074545</wp:posOffset>
            </wp:positionV>
            <wp:extent cx="7246620" cy="2075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07518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29" w:lineRule="exact"/>
        <w:rPr>
          <w:sz w:val="20"/>
          <w:szCs w:val="20"/>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reflected in All Other Compensation column represent employer matching contributions to the Company’s retirement plan, on the same basis as for all employees.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Harrell was CEO in 2015 and through February 21, 2016, at which point he moved to a consulting role. He remained an employee through December 31, 2016. Effective January 1, 2017, he became an outside consultant and will be compensated at a rate of $15,000 per month through September 30, 2017. In addition, the Board approved an additional payout of $720,415 in 2016 to retire 595,384 shares due and owing to Mr. Harrell, awarded in prior years, but not yet issued as of that date. That payment is not reflected in this table in 2016, however the share awards were reflected in 2015 and prior years as they were granted.</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Febbo joined the Company as CEO on February 22, 2016. His employment contract calls for an annual base salary of $220,000. In addition, he is eligible to participate in the Company’s executive bonus plan with a target bonus of 50% of his annual salary. He is also eligible for vacation, sick days, insurance, to participate in the Company’s 401k plan, and other benefits covering all employees. In March 2017, Mr. Febbo’s annual salary was adjusted to $250,000 per year, retroactive to January 1, 2017 by the compensation of the Board of Directors. No formal contract amendment was signed. Under the terms of his contract, he was also granted 1,500,000 stock options, exercisable at a price of $1.07, and vesting annually over a period of 5 years. Mr. Febbo’s contract calls for 12 months of severance if he is terminated without cause.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27, 2016, Mr. Hamilton’s signed a new employment agreement calling for a base salary of $181,650. In addition, he is eligible to participate in the Company’s executive bonus plan with a target bonus of 40% of his annual salary. He is also eligible for vacation, sick days, insurance, to participate in the Company’s 401k plan, and other benefits covering all employees. In March 2017, Mr. Hamilton’s annual salary was adjusted to $200,000 per year, retroactive to January 1, 2017 by the compensation committee of the Board of Directors. No formal contract amendment was signed. Mr. Hamilton’s contract also calls for 12 months of severance if he is terminated without cause. Mr. Hamilton was also granted 200,000 discretionary options in 2016, exercisable at a price of $1,15, and vesting annually over a period of two years.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Mr. Brooks joined the Company as Senior Vice President of Business Development on January 4, 2016. On November 30, 2016, Mr. Brooks moved to a consulting role with our company. Effective on that date, Mr. Brooks was no longer our Senior Vice President of Business Development. We agreed to pay all compensation and reimbursable expenses through December 31, 2016. His employment contract called for an annual base salary of $185,000. In addition, he was eligible to participate in the Company’s executive bonus plan with a target bonus of 40% of his annual salary. He is also eligible for vacation, sick days, insurance, to participate in the Company’s 401k plan, and other benefits covering all employees. Under the terms of his contract, he was also granted 300,000 performance based stock options, exercisable at a price of $1.32, none of which vested.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Dillon joined the Company as Senior Vice President of Product and Strategy on May 18, 2016. His employment contract calls for an annual base rate of $185,000. In addition, he is eligible to participate in the Company’s executive bonus plan with a target bonus of 30% of his annual salary. He is also eligible for vacation, sick days, insurance, and other benefits covering all employees. Under the terms of his contract, he was also granted 100,000 stock options, exercisable at a price of $1.15, and vesting annually over a period of 2 years. Mr. Dillon’s contract calls for 6 months of severance if he is terminated without cause.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27, 2016, Mr. Baker signed a new employment agreement calling for a base salary of $180,000. In addition, he is eligible to participate in the Company’s executive bonus plan with a target bonus of 30% of his annual salary. He is also eligible for vacation, sick days, insurance, to participate in the Company’s 401k plan, and other benefits covering all employees. In March 2017, Mr. Baker’s annual salary was adjusted to $200,000 per year, retroactive to January 1, 2017, by the compensation committee of the Board of Directors. No formal contract amendment was signed. Mr. Baker’s contract calls for 6 months of severance if he is terminated without cause.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table below summarizes all unexercised options, stock that has not vested, and equity incentive plan awards for each named executive officers as of December 31, 2016.</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OPTION AWARDS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STOCK AWARDS</w:t>
            </w:r>
          </w:p>
        </w:tc>
        <w:tc>
          <w:tcPr>
            <w:tcW w:w="96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Equity</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Incentive</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Incentive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Market</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Plan</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Awards:</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Value</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Awards: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Market or</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3"/>
              </w:rPr>
              <w:t>of</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Number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Payout</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Incentive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Number</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Shares</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of</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Value of</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of</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3"/>
              </w:rPr>
              <w:t>or</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Unearned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Unearned</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Shares</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Units</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Shares,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Number of</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or Units</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3"/>
              </w:rPr>
              <w:t>of</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Units or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Units or</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1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Securities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of</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Other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Underlying</w:t>
            </w:r>
          </w:p>
        </w:tc>
        <w:tc>
          <w:tcPr>
            <w:tcW w:w="1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Underlying</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Underlying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Stock That</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That</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Rights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Rights</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Unexercised</w:t>
            </w:r>
          </w:p>
        </w:tc>
        <w:tc>
          <w:tcPr>
            <w:tcW w:w="1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Unexercised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Unexercised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Option</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Have</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Have</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That Have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That</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1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Options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Unearned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Exercise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Option</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Not</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Not</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Not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Have Not</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Price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Expiration</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Vested</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Vested</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Vested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Vested</w:t>
            </w:r>
          </w:p>
        </w:tc>
      </w:tr>
      <w:tr>
        <w:trPr>
          <w:trHeight w:val="241"/>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Exercisable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Unexercisable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Pr>
          <w:p>
            <w:pPr>
              <w:spacing w:after="0"/>
              <w:rPr>
                <w:sz w:val="20"/>
                <w:szCs w:val="20"/>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4"/>
              </w:rPr>
              <w:t>Date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18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Will Febbo</w:t>
            </w:r>
          </w:p>
        </w:tc>
        <w:tc>
          <w:tcPr>
            <w:tcW w:w="60" w:type="dxa"/>
            <w:vAlign w:val="bottom"/>
          </w:tcPr>
          <w:p>
            <w:pPr>
              <w:spacing w:after="0"/>
              <w:rPr>
                <w:sz w:val="17"/>
                <w:szCs w:val="17"/>
                <w:color w:val="auto"/>
              </w:rPr>
            </w:pP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7"/>
                <w:szCs w:val="17"/>
                <w:color w:val="auto"/>
              </w:rPr>
            </w:pP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1,500,000</w:t>
            </w: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7"/>
                <w:szCs w:val="17"/>
                <w:color w:val="auto"/>
              </w:rPr>
            </w:pPr>
          </w:p>
        </w:tc>
        <w:tc>
          <w:tcPr>
            <w:tcW w:w="920" w:type="dxa"/>
            <w:vAlign w:val="bottom"/>
            <w:tcBorders>
              <w:top w:val="single" w:sz="8" w:color="auto"/>
            </w:tcBorders>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2/21/21</w:t>
            </w:r>
          </w:p>
        </w:tc>
        <w:tc>
          <w:tcPr>
            <w:tcW w:w="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Douglas Baker</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5/19/19</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9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6/24/20</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Terry Hamilton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c>
          <w:tcPr>
            <w:tcW w:w="9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7/28/16</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Brian Dillon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9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7/28/16</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all compensation of our directors as of December 31,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Fees Earned or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All Other</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Paid in Cash</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Stock Awards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Option Awards</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Compensation</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w:t>
            </w:r>
          </w:p>
        </w:tc>
      </w:tr>
      <w:tr>
        <w:trPr>
          <w:trHeight w:val="198"/>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Gus D. Halas</w:t>
            </w:r>
          </w:p>
        </w:tc>
        <w:tc>
          <w:tcPr>
            <w:tcW w:w="120" w:type="dxa"/>
            <w:vAlign w:val="bottom"/>
          </w:tcPr>
          <w:p>
            <w:pPr>
              <w:spacing w:after="0"/>
              <w:rPr>
                <w:sz w:val="17"/>
                <w:szCs w:val="17"/>
                <w:color w:val="auto"/>
              </w:rPr>
            </w:pPr>
          </w:p>
        </w:tc>
        <w:tc>
          <w:tcPr>
            <w:tcW w:w="1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25,000</w:t>
            </w:r>
          </w:p>
        </w:tc>
        <w:tc>
          <w:tcPr>
            <w:tcW w:w="260" w:type="dxa"/>
            <w:vAlign w:val="bottom"/>
          </w:tcPr>
          <w:p>
            <w:pPr>
              <w:spacing w:after="0"/>
              <w:rPr>
                <w:sz w:val="17"/>
                <w:szCs w:val="17"/>
                <w:color w:val="auto"/>
              </w:rPr>
            </w:pPr>
          </w:p>
        </w:tc>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25,688</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50,688</w:t>
            </w:r>
          </w:p>
        </w:tc>
        <w:tc>
          <w:tcPr>
            <w:tcW w:w="20" w:type="dxa"/>
            <w:vAlign w:val="bottom"/>
          </w:tcPr>
          <w:p>
            <w:pPr>
              <w:spacing w:after="0"/>
              <w:rPr>
                <w:sz w:val="17"/>
                <w:szCs w:val="17"/>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Jack Pinney</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25,688</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50,688</w:t>
            </w:r>
          </w:p>
        </w:tc>
      </w:t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Lynn Vos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Director Compensation Table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our Director Compensation Plan, independent directors (“Outside Directors”) shall receive (a) a $25,000 annual cash retainer, payable in equal quarterly installments, and (b) reimbursement for expenses related to Board meeting attendance and any committee participation. Directors are expected to attend four meetings per year as well as spend an additional 10 – 20 hours per month on company matters. In addition, Outside Directors shall receive 25,000 shares of Common Stock, payable in equal quarterly installments, which shall vest immediately. Directors that are also employees of our company shall not receive additional compensation for serving on the Board. Both the cash retainer and stock awards are prorated for partial quarters of service when a new Director joins the Board.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beneficial ownership by each person, other than executive officers and directors, known to us to beneficially own 5% or more of our outstanding common stock as of March 1, 2017. This information is based on public filings as of March 1, 2017. For the purposes of this Annual Report on Form 10-K, beneficial ownership of securities is defined in accordance with the rules of the SEC to mean generally the power to vote or dispose of securities, regardless of any economic interest therein, including any such security that the person has the right to acquire within 60 days after such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Percentage of</w:t>
            </w:r>
          </w:p>
        </w:tc>
      </w:tr>
      <w:tr>
        <w:trPr>
          <w:trHeight w:val="245"/>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More Than 5% Beneficial Owners:</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Name and Address</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38"/>
        </w:trPr>
        <w:tc>
          <w:tcPr>
            <w:tcW w:w="4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tcBorders>
              <w:top w:val="single" w:sz="8" w:color="auto"/>
            </w:tcBorders>
          </w:tcPr>
          <w:p>
            <w:pPr>
              <w:spacing w:after="0" w:line="239" w:lineRule="exact"/>
              <w:rPr>
                <w:sz w:val="20"/>
                <w:szCs w:val="20"/>
                <w:color w:val="auto"/>
              </w:rPr>
            </w:pPr>
            <w:r>
              <w:rPr>
                <w:rFonts w:ascii="Times New Roman" w:cs="Times New Roman" w:eastAsia="Times New Roman" w:hAnsi="Times New Roman"/>
                <w:sz w:val="17"/>
                <w:szCs w:val="17"/>
                <w:color w:val="auto"/>
              </w:rPr>
              <w:t>WPP PLC</w:t>
            </w:r>
            <w:r>
              <w:rPr>
                <w:rFonts w:ascii="Times New Roman" w:cs="Times New Roman" w:eastAsia="Times New Roman" w:hAnsi="Times New Roman"/>
                <w:sz w:val="27"/>
                <w:szCs w:val="27"/>
                <w:color w:val="auto"/>
                <w:vertAlign w:val="superscript"/>
              </w:rPr>
              <w:t>(1)</w:t>
            </w:r>
          </w:p>
        </w:tc>
        <w:tc>
          <w:tcPr>
            <w:tcW w:w="1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4000" w:type="dxa"/>
            <w:vAlign w:val="bottom"/>
          </w:tcPr>
          <w:p>
            <w:pPr>
              <w:spacing w:after="0"/>
              <w:rPr>
                <w:sz w:val="18"/>
                <w:szCs w:val="18"/>
                <w:color w:val="auto"/>
              </w:rPr>
            </w:pP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27 Farm Street</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London, United Kingdom</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W1J 5RJ</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6,011,106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0"/>
        </w:trPr>
        <w:tc>
          <w:tcPr>
            <w:tcW w:w="4000" w:type="dxa"/>
            <w:vAlign w:val="bottom"/>
          </w:tcPr>
          <w:p>
            <w:pPr>
              <w:spacing w:after="0"/>
              <w:rPr>
                <w:sz w:val="19"/>
                <w:szCs w:val="19"/>
                <w:color w:val="auto"/>
              </w:rPr>
            </w:pP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Wolverine Flagship Fund</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3"/>
        </w:trPr>
        <w:tc>
          <w:tcPr>
            <w:tcW w:w="4000" w:type="dxa"/>
            <w:vAlign w:val="bottom"/>
          </w:tcPr>
          <w:p>
            <w:pPr>
              <w:spacing w:after="0"/>
              <w:rPr>
                <w:sz w:val="21"/>
                <w:szCs w:val="21"/>
                <w:color w:val="auto"/>
              </w:rPr>
            </w:pPr>
          </w:p>
        </w:tc>
        <w:tc>
          <w:tcPr>
            <w:tcW w:w="4100" w:type="dxa"/>
            <w:vAlign w:val="bottom"/>
            <w:gridSpan w:val="3"/>
          </w:tcPr>
          <w:p>
            <w:pPr>
              <w:ind w:left="120"/>
              <w:spacing w:after="0" w:line="253" w:lineRule="exact"/>
              <w:rPr>
                <w:sz w:val="20"/>
                <w:szCs w:val="20"/>
                <w:color w:val="auto"/>
              </w:rPr>
            </w:pPr>
            <w:r>
              <w:rPr>
                <w:rFonts w:ascii="Times New Roman" w:cs="Times New Roman" w:eastAsia="Times New Roman" w:hAnsi="Times New Roman"/>
                <w:sz w:val="18"/>
                <w:szCs w:val="18"/>
                <w:color w:val="auto"/>
              </w:rPr>
              <w:t>Trading Limited</w:t>
            </w:r>
            <w:r>
              <w:rPr>
                <w:rFonts w:ascii="Times New Roman" w:cs="Times New Roman" w:eastAsia="Times New Roman" w:hAnsi="Times New Roman"/>
                <w:sz w:val="29"/>
                <w:szCs w:val="29"/>
                <w:color w:val="auto"/>
                <w:vertAlign w:val="superscript"/>
              </w:rPr>
              <w:t>(2)</w:t>
            </w: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000" w:type="dxa"/>
            <w:vAlign w:val="bottom"/>
          </w:tcPr>
          <w:p>
            <w:pPr>
              <w:spacing w:after="0"/>
              <w:rPr>
                <w:sz w:val="18"/>
                <w:szCs w:val="18"/>
                <w:color w:val="auto"/>
              </w:rPr>
            </w:pP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175 W Jackson Blvd, 3rd Flr</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Chicago, IL 60604</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2,158,360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53"/>
        </w:trPr>
        <w:tc>
          <w:tcPr>
            <w:tcW w:w="4000" w:type="dxa"/>
            <w:vAlign w:val="bottom"/>
          </w:tcPr>
          <w:p>
            <w:pPr>
              <w:spacing w:after="0"/>
              <w:rPr>
                <w:sz w:val="21"/>
                <w:szCs w:val="21"/>
                <w:color w:val="auto"/>
              </w:rPr>
            </w:pPr>
          </w:p>
        </w:tc>
        <w:tc>
          <w:tcPr>
            <w:tcW w:w="4100" w:type="dxa"/>
            <w:vAlign w:val="bottom"/>
            <w:gridSpan w:val="3"/>
          </w:tcPr>
          <w:p>
            <w:pPr>
              <w:ind w:left="120"/>
              <w:spacing w:after="0" w:line="253" w:lineRule="exact"/>
              <w:rPr>
                <w:sz w:val="20"/>
                <w:szCs w:val="20"/>
                <w:color w:val="auto"/>
              </w:rPr>
            </w:pPr>
            <w:r>
              <w:rPr>
                <w:rFonts w:ascii="Times New Roman" w:cs="Times New Roman" w:eastAsia="Times New Roman" w:hAnsi="Times New Roman"/>
                <w:sz w:val="18"/>
                <w:szCs w:val="18"/>
                <w:color w:val="auto"/>
              </w:rPr>
              <w:t>Harvey L. Poppel</w:t>
            </w:r>
            <w:r>
              <w:rPr>
                <w:rFonts w:ascii="Times New Roman" w:cs="Times New Roman" w:eastAsia="Times New Roman" w:hAnsi="Times New Roman"/>
                <w:sz w:val="29"/>
                <w:szCs w:val="29"/>
                <w:color w:val="auto"/>
                <w:vertAlign w:val="superscript"/>
              </w:rPr>
              <w:t>(3)</w:t>
            </w: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000" w:type="dxa"/>
            <w:vAlign w:val="bottom"/>
          </w:tcPr>
          <w:p>
            <w:pPr>
              <w:spacing w:after="0"/>
              <w:rPr>
                <w:sz w:val="18"/>
                <w:szCs w:val="18"/>
                <w:color w:val="auto"/>
              </w:rPr>
            </w:pP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110 El Mirasol</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Palm Beach, FL 33480</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2,569,044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53"/>
        </w:trPr>
        <w:tc>
          <w:tcPr>
            <w:tcW w:w="4000" w:type="dxa"/>
            <w:vAlign w:val="bottom"/>
          </w:tcPr>
          <w:p>
            <w:pPr>
              <w:spacing w:after="0"/>
              <w:rPr>
                <w:sz w:val="21"/>
                <w:szCs w:val="21"/>
                <w:color w:val="auto"/>
              </w:rPr>
            </w:pPr>
          </w:p>
        </w:tc>
        <w:tc>
          <w:tcPr>
            <w:tcW w:w="4100" w:type="dxa"/>
            <w:vAlign w:val="bottom"/>
            <w:gridSpan w:val="3"/>
          </w:tcPr>
          <w:p>
            <w:pPr>
              <w:ind w:left="120"/>
              <w:spacing w:after="0" w:line="253" w:lineRule="exact"/>
              <w:rPr>
                <w:sz w:val="20"/>
                <w:szCs w:val="20"/>
                <w:color w:val="auto"/>
              </w:rPr>
            </w:pPr>
            <w:r>
              <w:rPr>
                <w:rFonts w:ascii="Times New Roman" w:cs="Times New Roman" w:eastAsia="Times New Roman" w:hAnsi="Times New Roman"/>
                <w:sz w:val="18"/>
                <w:szCs w:val="18"/>
                <w:color w:val="auto"/>
              </w:rPr>
              <w:t>Ronald L. Chez</w:t>
            </w:r>
            <w:r>
              <w:rPr>
                <w:rFonts w:ascii="Times New Roman" w:cs="Times New Roman" w:eastAsia="Times New Roman" w:hAnsi="Times New Roman"/>
                <w:sz w:val="29"/>
                <w:szCs w:val="29"/>
                <w:color w:val="auto"/>
                <w:vertAlign w:val="superscript"/>
              </w:rPr>
              <w:t>(4)</w:t>
            </w: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000" w:type="dxa"/>
            <w:vAlign w:val="bottom"/>
          </w:tcPr>
          <w:p>
            <w:pPr>
              <w:spacing w:after="0"/>
              <w:rPr>
                <w:sz w:val="18"/>
                <w:szCs w:val="18"/>
                <w:color w:val="auto"/>
              </w:rPr>
            </w:pP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55 East Monroe Street, Suite 3700</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Chicago, IL 60603</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2,721,976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53"/>
        </w:trPr>
        <w:tc>
          <w:tcPr>
            <w:tcW w:w="4000" w:type="dxa"/>
            <w:vAlign w:val="bottom"/>
          </w:tcPr>
          <w:p>
            <w:pPr>
              <w:spacing w:after="0"/>
              <w:rPr>
                <w:sz w:val="21"/>
                <w:szCs w:val="21"/>
                <w:color w:val="auto"/>
              </w:rPr>
            </w:pPr>
          </w:p>
        </w:tc>
        <w:tc>
          <w:tcPr>
            <w:tcW w:w="4100" w:type="dxa"/>
            <w:vAlign w:val="bottom"/>
            <w:gridSpan w:val="3"/>
          </w:tcPr>
          <w:p>
            <w:pPr>
              <w:ind w:left="120"/>
              <w:spacing w:after="0" w:line="253" w:lineRule="exact"/>
              <w:rPr>
                <w:sz w:val="20"/>
                <w:szCs w:val="20"/>
                <w:color w:val="auto"/>
              </w:rPr>
            </w:pPr>
            <w:r>
              <w:rPr>
                <w:rFonts w:ascii="Times New Roman" w:cs="Times New Roman" w:eastAsia="Times New Roman" w:hAnsi="Times New Roman"/>
                <w:sz w:val="18"/>
                <w:szCs w:val="18"/>
                <w:color w:val="auto"/>
              </w:rPr>
              <w:t>Goldman Capital Management</w:t>
            </w:r>
            <w:r>
              <w:rPr>
                <w:rFonts w:ascii="Times New Roman" w:cs="Times New Roman" w:eastAsia="Times New Roman" w:hAnsi="Times New Roman"/>
                <w:sz w:val="29"/>
                <w:szCs w:val="29"/>
                <w:color w:val="auto"/>
                <w:vertAlign w:val="superscript"/>
              </w:rPr>
              <w:t>(5)</w:t>
            </w: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000" w:type="dxa"/>
            <w:vAlign w:val="bottom"/>
          </w:tcPr>
          <w:p>
            <w:pPr>
              <w:spacing w:after="0"/>
              <w:rPr>
                <w:sz w:val="18"/>
                <w:szCs w:val="18"/>
                <w:color w:val="auto"/>
              </w:rPr>
            </w:pP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767 Third Avenue, 25th Floor</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New York, NY 10017</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1,532,394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198"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stated in a Schedule 13D filed with the Securities and Exchange Commission on October 2, 2015.</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stated in a Schedule 13G/A filed with the Securities and Exchange Commission on February 13, 2017.</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stated in a Schedule 13G filed with the Securities and Exchange Commission on January 17, 2017.</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stated in a Schedule 13D/A filed with the Securities and Exchange Commission on October 27, 2015.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stated in a Schedule 13G filed with the Securities and Exchange Commission on October 24, 2014.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is certain information with respect to beneficial ownership of our common stock as of March 11, 2017, by each director, each executive officer, and by the directors and executive officers as a group. Unless otherwise indicated, each person or member of the group listed has sole voting and investment power with respect to the shares of common stock listed.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Options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Included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Common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Stock</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 Beneficial</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Beneficial</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Percentage</w:t>
            </w:r>
          </w:p>
        </w:tc>
      </w:tr>
      <w:tr>
        <w:trPr>
          <w:trHeight w:val="241"/>
        </w:trPr>
        <w:tc>
          <w:tcPr>
            <w:tcW w:w="596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rPr>
              <w:t>Name(1)</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Ownership (2)</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Ownership</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of Class</w:t>
            </w:r>
          </w:p>
        </w:tc>
        <w:tc>
          <w:tcPr>
            <w:tcW w:w="140" w:type="dxa"/>
            <w:vAlign w:val="bottom"/>
          </w:tcPr>
          <w:p>
            <w:pPr>
              <w:spacing w:after="0"/>
              <w:rPr>
                <w:sz w:val="20"/>
                <w:szCs w:val="20"/>
                <w:color w:val="auto"/>
              </w:rPr>
            </w:pPr>
          </w:p>
        </w:tc>
      </w:tr>
      <w:tr>
        <w:trPr>
          <w:trHeight w:val="41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Harrell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2,590,750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2,590,750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J. Febbo</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344,000</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Terence J. Hamilton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380,413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380,413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Lynn Vos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Dillon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P. Baker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190,000</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Gus D. Halas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61,269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61,269</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Pinney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787,329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787,329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Lang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(6 persons)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3,903,761</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4,353,761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r>
    </w:tbl>
    <w:p>
      <w:pPr>
        <w:spacing w:after="0" w:line="198"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person named in this table is c/o OptimizeRx Corp., 400 Water Street, Suite 200, Rochester, MI 48307.</w:t>
      </w:r>
    </w:p>
    <w:p>
      <w:pPr>
        <w:spacing w:after="0" w:line="9" w:lineRule="exact"/>
        <w:rPr>
          <w:rFonts w:ascii="Times New Roman" w:cs="Times New Roman" w:eastAsia="Times New Roman" w:hAnsi="Times New Roman"/>
          <w:sz w:val="18"/>
          <w:szCs w:val="18"/>
          <w:color w:val="auto"/>
        </w:rPr>
      </w:pPr>
    </w:p>
    <w:p>
      <w:pPr>
        <w:ind w:left="460" w:hanging="452"/>
        <w:spacing w:after="0" w:line="261"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lists shares that are subject to options exercisable within sixty (60) days of March 1, 2017, and are included in common stock beneficial ownership pursuant to Rule 13d-3(d)(1) of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described below or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2016, we had billings of $2,613,942 to agencies that are part of the WPP group and recognized revenue of $1,542,411 related to those billings. As of December 31, 2016, we have receivables included in trade receivables on the balance sheet of $1,108,585 from WPP agencies and amounts due to WPP agencies included in revenue share payable of $127,458 as of December 31, 2016. In addition, we purchased of $190,686 from WPP agencies in 2016 and had amounts owed related to those services of $12,600 in accounts payable at December 31, 2016.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2015, we had billings of $420,503 to agencies that are part of the WPP group and recognized revenue of $178,855 related to those billings. As of December 31, 2015, we have receivables included in trade receivables on the balance sheet of $381,125 from WPP agencies and amounts due to WPP agencies included in revenue share payable of $37,803 as of December 31, 2015.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On May 9, 2016, we entered into a Separation Agreement and Release with Mr. David Harrell that granted us a standard release of employment claims in consideration for, among other things, the stock payout of $720,415 to Mr. Harrell.</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same date, we entered into a Corporate Consulting Agreement with Mr. Harrell that sets forth the terms his continued relationship with our company. He remained our employee through May 31, 2016 and the Corporate Consulting Agreement went effective as of June 1, 2016. Under the terms of this agreement, Mr. Harrell agreed to consult for our company for a period of 16 months and he will receive a monthly payment of $15,000, with the potential for up to $54,000 in additional bonus payments during the term of the agreement. This agreement also calls for insurance benefits for seven months. Finally, the agreement contains a Consultant Confidentiality, Invention Assignment and Non-Compete Agreement that contains restrictive covenants that include a one year non-compete following the completion of Mr. Harrell’s 18 months of consulting, and an inventions assignment clause during the term of his consulting relationship.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24, 2015, we entered into an Investor Rights Agreement with WPP (the “Rights Agreement”), pursuant to which we agreed to the following:</w:t>
      </w:r>
    </w:p>
    <w:p>
      <w:pPr>
        <w:spacing w:after="0" w:line="223" w:lineRule="exact"/>
        <w:rPr>
          <w:sz w:val="20"/>
          <w:szCs w:val="20"/>
          <w:color w:val="auto"/>
        </w:rPr>
      </w:pPr>
    </w:p>
    <w:p>
      <w:pPr>
        <w:ind w:left="660" w:right="20" w:hanging="328"/>
        <w:spacing w:after="0" w:line="26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We granted WPP registration rights for its shares and any securities acquired in connection with an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Co-Marketing Agreement (described below) after a period of two years.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Inspection Rights</w:t>
      </w:r>
      <w:r>
        <w:rPr>
          <w:rFonts w:ascii="Times New Roman" w:cs="Times New Roman" w:eastAsia="Times New Roman" w:hAnsi="Times New Roman"/>
          <w:sz w:val="18"/>
          <w:szCs w:val="18"/>
          <w:color w:val="auto"/>
        </w:rPr>
        <w:t>. So long as WPP owns not less than 25% of the shares, we granted WPP an annual right to inspect our books and records.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Observer Rights</w:t>
      </w:r>
      <w:r>
        <w:rPr>
          <w:rFonts w:ascii="Times New Roman" w:cs="Times New Roman" w:eastAsia="Times New Roman" w:hAnsi="Times New Roman"/>
          <w:sz w:val="18"/>
          <w:szCs w:val="18"/>
          <w:color w:val="auto"/>
        </w:rPr>
        <w:t>. So long as WPP owns not less than 25% of the shares, we will allow WPP to choose a representative to attend our board meetings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nonvoting observer.</w:t>
      </w:r>
    </w:p>
    <w:p>
      <w:pPr>
        <w:jc w:val="both"/>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Seat</w:t>
      </w:r>
      <w:r>
        <w:rPr>
          <w:rFonts w:ascii="Times New Roman" w:cs="Times New Roman" w:eastAsia="Times New Roman" w:hAnsi="Times New Roman"/>
          <w:sz w:val="18"/>
          <w:szCs w:val="18"/>
          <w:color w:val="auto"/>
        </w:rPr>
        <w:t>. So long as WPP owns not less than 25% of the shares, we agreed to appoint a nominee of WPP as a member of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also agreed to a five member Board of Directors provided that it is not prohibited by the rules and regulations of an exchange that we trade on. We also agreed to enter into an indemnity agreement with the nominee.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Budget Review</w:t>
      </w:r>
      <w:r>
        <w:rPr>
          <w:rFonts w:ascii="Times New Roman" w:cs="Times New Roman" w:eastAsia="Times New Roman" w:hAnsi="Times New Roman"/>
          <w:sz w:val="18"/>
          <w:szCs w:val="18"/>
          <w:color w:val="auto"/>
        </w:rPr>
        <w:t>. So long as WPP owns not less than 25% of the shares, we agreed to review our budget plans with WPP’s nominee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submission to the Board of Directors, at the request of WPP.</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of First Refusal</w:t>
      </w:r>
      <w:r>
        <w:rPr>
          <w:rFonts w:ascii="Times New Roman" w:cs="Times New Roman" w:eastAsia="Times New Roman" w:hAnsi="Times New Roman"/>
          <w:sz w:val="18"/>
          <w:szCs w:val="18"/>
          <w:color w:val="auto"/>
        </w:rPr>
        <w:t>. We agreed that, in the event that we propose to sell new securities, we will first offer such new securities to WPP.</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Approval Matters</w:t>
      </w:r>
      <w:r>
        <w:rPr>
          <w:rFonts w:ascii="Times New Roman" w:cs="Times New Roman" w:eastAsia="Times New Roman" w:hAnsi="Times New Roman"/>
          <w:sz w:val="18"/>
          <w:szCs w:val="18"/>
          <w:color w:val="auto"/>
        </w:rPr>
        <w:t>. So long as WPP owns not less than 25% of the shares, and provided that it is not prohibited by the rules and regulations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exchange that we trade on, we agreed that 80% Board approval will be required for certain decisions, including:</w:t>
      </w:r>
    </w:p>
    <w:p>
      <w:pPr>
        <w:ind w:left="980" w:hanging="324"/>
        <w:spacing w:after="0"/>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any indebtedness in excess of $1.5 million in the aggregate during any fiscal year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our assets;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any assets or properties (in one or more related transactions) for cash or otherwise for an amount in excess of $1.5 million in the aggregate during any fiscal year;</w:t>
      </w:r>
    </w:p>
    <w:p>
      <w:pPr>
        <w:ind w:left="980" w:hanging="324"/>
        <w:spacing w:after="0" w:line="250"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in excess of $1.5 million individually (or in the aggregate if related to an integrated program of activities) or in excess of $1.5 million in the aggregate during any fiscal year;</w:t>
      </w:r>
    </w:p>
    <w:p>
      <w:pPr>
        <w:ind w:left="980" w:hanging="324"/>
        <w:spacing w:after="0" w:line="250"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ind w:left="980" w:hanging="324"/>
        <w:spacing w:after="0" w:line="250"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settlement of any lawsuit, arbitration or other legal proceeding related to our intellectual property or involving an amount in controversy greater than $1.5 million; and</w:t>
      </w:r>
    </w:p>
    <w:p>
      <w:pPr>
        <w:jc w:val="both"/>
        <w:ind w:left="980" w:hanging="324"/>
        <w:spacing w:after="0" w:line="255"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securities, except for securities issued under an equity incentive plan and any issuance of common stock to vendors, advisors, financial institutions, suppliers or joint ventures that do not exceed, individually or in the aggregate 5% of our then issued and outstanding capital stock.</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24, 2015, we amended and restated an existing Co-Marketing Agreement with Grey Healthcare Group, LLC (“GHG”) an affiliate of WPP (the “Amended and Restated Co-Marketing Agreement”). The Amended and Restated Co-Marketing Agreement was amended to give the GHG the option to receive all or part of the compensation due under the agreement in shares of our common stock. Shares issuable under the Amended and Restated Co-Marketing Agreement will be issued to WPP or any other affiliate of GHG designated in writing by GHG at the following rates:</w:t>
      </w:r>
    </w:p>
    <w:p>
      <w:pPr>
        <w:spacing w:after="0" w:line="180"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June 30, 2016, we will issue the number of shares of common stock equal to GHG’s share of net revenues received for sales of new services to GHG or Company clients (“GHG Net Revenues”) divided by $0.7875.</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June 30, 2016, we will issue the number of shares of common stock equal to the GHG Net Revenues divided by a price equal to 80% multiplied by the average trading price of one share of common stock during the 30 trading day period immediately prior to the date of the most recent statement of GHG Net Revenues set forth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Below is the table of Audit Fees (amounts in US$) billed by our auditor in connection with the audit of the Company’s annual financial statements and review of the quarterly financial statements for the years ended: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Financial Statements for the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Audit Related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8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Audit Services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6"/>
              </w:rPr>
              <w:t>Fees</w:t>
            </w:r>
          </w:p>
        </w:tc>
        <w:tc>
          <w:tcPr>
            <w:tcW w:w="1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Tax Fees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Fees</w:t>
            </w:r>
          </w:p>
        </w:tc>
      </w:tr>
      <w:tr>
        <w:trPr>
          <w:trHeight w:val="198"/>
        </w:trPr>
        <w:tc>
          <w:tcPr>
            <w:tcW w:w="4820" w:type="dxa"/>
            <w:vAlign w:val="bottom"/>
            <w:tcBorders>
              <w:top w:val="single" w:sz="8" w:color="auto"/>
            </w:tcBorders>
          </w:tcPr>
          <w:p>
            <w:pPr>
              <w:jc w:val="center"/>
              <w:ind w:left="1050"/>
              <w:spacing w:after="0" w:line="198" w:lineRule="exact"/>
              <w:rPr>
                <w:sz w:val="20"/>
                <w:szCs w:val="20"/>
                <w:color w:val="auto"/>
              </w:rPr>
            </w:pPr>
            <w:r>
              <w:rPr>
                <w:rFonts w:ascii="Times New Roman" w:cs="Times New Roman" w:eastAsia="Times New Roman" w:hAnsi="Times New Roman"/>
                <w:sz w:val="18"/>
                <w:szCs w:val="18"/>
                <w:color w:val="auto"/>
                <w:w w:val="99"/>
              </w:rPr>
              <w:t>2016</w:t>
            </w: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43,500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7"/>
                <w:szCs w:val="17"/>
                <w:color w:val="auto"/>
              </w:rPr>
            </w:pPr>
          </w:p>
        </w:tc>
        <w:tc>
          <w:tcPr>
            <w:tcW w:w="1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7"/>
                <w:szCs w:val="17"/>
                <w:color w:val="auto"/>
              </w:rPr>
            </w:pPr>
          </w:p>
        </w:tc>
      </w:tr>
      <w:tr>
        <w:trPr>
          <w:trHeight w:val="234"/>
        </w:trPr>
        <w:tc>
          <w:tcPr>
            <w:tcW w:w="48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2015</w:t>
            </w:r>
          </w:p>
        </w:tc>
        <w:tc>
          <w:tcPr>
            <w:tcW w:w="1640" w:type="dxa"/>
            <w:vAlign w:val="bottom"/>
            <w:gridSpan w:val="3"/>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36,000</w:t>
            </w:r>
          </w:p>
        </w:tc>
        <w:tc>
          <w:tcPr>
            <w:tcW w:w="3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655"/>
        </w:trPr>
        <w:tc>
          <w:tcPr>
            <w:tcW w:w="48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Statements Schedules</w:t>
      </w:r>
    </w:p>
    <w:p>
      <w:pPr>
        <w:spacing w:after="0" w:line="227" w:lineRule="exact"/>
        <w:rPr>
          <w:sz w:val="20"/>
          <w:szCs w:val="20"/>
          <w:color w:val="auto"/>
        </w:rPr>
      </w:pPr>
    </w:p>
    <w:p>
      <w:pPr>
        <w:ind w:left="1560" w:hanging="742"/>
        <w:spacing w:after="0"/>
        <w:tabs>
          <w:tab w:leader="none" w:pos="15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 and Schedules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and schedules listed below are included in this Form 10-K.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(See Item 8)</w:t>
      </w:r>
    </w:p>
    <w:p>
      <w:pPr>
        <w:sectPr>
          <w:pgSz w:w="11900" w:h="16838" w:orient="portrait"/>
          <w:cols w:equalWidth="0" w:num="1">
            <w:col w:w="11420"/>
          </w:cols>
          <w:pgMar w:left="240" w:top="9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Exhibit Number </w:t>
      </w: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66040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3.2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759" w:hanging="759"/>
        <w:spacing w:after="0"/>
        <w:tabs>
          <w:tab w:leader="none" w:pos="759"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00" w:lineRule="exact"/>
        <w:rPr>
          <w:sz w:val="20"/>
          <w:szCs w:val="20"/>
          <w:color w:val="auto"/>
        </w:rPr>
      </w:pPr>
    </w:p>
    <w:p>
      <w:pPr>
        <w:spacing w:after="0" w:line="239" w:lineRule="exact"/>
        <w:rPr>
          <w:sz w:val="20"/>
          <w:szCs w:val="20"/>
          <w:color w:val="auto"/>
        </w:rPr>
      </w:pPr>
    </w:p>
    <w:p>
      <w:pPr>
        <w:ind w:left="99"/>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19685</wp:posOffset>
            </wp:positionV>
            <wp:extent cx="651764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ind w:left="99"/>
        <w:spacing w:after="0"/>
        <w:rPr>
          <w:sz w:val="20"/>
          <w:szCs w:val="20"/>
          <w:color w:val="auto"/>
        </w:rPr>
      </w:pPr>
      <w:r>
        <w:rPr>
          <w:rFonts w:ascii="Times New Roman" w:cs="Times New Roman" w:eastAsia="Times New Roman" w:hAnsi="Times New Roman"/>
          <w:sz w:val="18"/>
          <w:szCs w:val="18"/>
          <w:color w:val="auto"/>
        </w:rPr>
        <w:t>Articles of Incorporation of OptimizeRx Corporation (the “Company”)</w:t>
      </w:r>
      <w:r>
        <w:rPr>
          <w:rFonts w:ascii="Times New Roman" w:cs="Times New Roman" w:eastAsia="Times New Roman" w:hAnsi="Times New Roman"/>
          <w:sz w:val="30"/>
          <w:szCs w:val="30"/>
          <w:color w:val="auto"/>
          <w:vertAlign w:val="superscript"/>
        </w:rPr>
        <w:t>1</w:t>
      </w:r>
    </w:p>
    <w:p>
      <w:pPr>
        <w:ind w:left="99"/>
        <w:spacing w:after="0" w:line="180" w:lineRule="auto"/>
        <w:rPr>
          <w:sz w:val="20"/>
          <w:szCs w:val="20"/>
          <w:color w:val="auto"/>
        </w:rPr>
      </w:pPr>
      <w:r>
        <w:rPr>
          <w:rFonts w:ascii="Times New Roman" w:cs="Times New Roman" w:eastAsia="Times New Roman" w:hAnsi="Times New Roman"/>
          <w:sz w:val="16"/>
          <w:szCs w:val="16"/>
          <w:color w:val="auto"/>
        </w:rPr>
        <w:t>Amended and Restated Bylaws of the Company</w:t>
      </w:r>
      <w:r>
        <w:rPr>
          <w:rFonts w:ascii="Times New Roman" w:cs="Times New Roman" w:eastAsia="Times New Roman" w:hAnsi="Times New Roman"/>
          <w:sz w:val="25"/>
          <w:szCs w:val="25"/>
          <w:color w:val="auto"/>
          <w:vertAlign w:val="superscript"/>
        </w:rPr>
        <w:t>2</w:t>
      </w:r>
    </w:p>
    <w:p>
      <w:pPr>
        <w:ind w:left="99"/>
        <w:spacing w:after="0" w:line="207" w:lineRule="auto"/>
        <w:rPr>
          <w:sz w:val="20"/>
          <w:szCs w:val="20"/>
          <w:color w:val="auto"/>
        </w:rPr>
      </w:pPr>
      <w:r>
        <w:rPr>
          <w:rFonts w:ascii="Times New Roman" w:cs="Times New Roman" w:eastAsia="Times New Roman" w:hAnsi="Times New Roman"/>
          <w:sz w:val="18"/>
          <w:szCs w:val="18"/>
          <w:color w:val="auto"/>
        </w:rPr>
        <w:t>Certificate of Designation, filed on September 5, 2008 with the Secretary of State of the State of Nevada by the Company</w:t>
      </w:r>
      <w:r>
        <w:rPr>
          <w:rFonts w:ascii="Times New Roman" w:cs="Times New Roman" w:eastAsia="Times New Roman" w:hAnsi="Times New Roman"/>
          <w:sz w:val="30"/>
          <w:szCs w:val="30"/>
          <w:color w:val="auto"/>
          <w:vertAlign w:val="superscript"/>
        </w:rPr>
        <w:t>1</w:t>
      </w:r>
    </w:p>
    <w:p>
      <w:pPr>
        <w:ind w:left="99"/>
        <w:spacing w:after="0" w:line="184" w:lineRule="auto"/>
        <w:rPr>
          <w:sz w:val="20"/>
          <w:szCs w:val="20"/>
          <w:color w:val="auto"/>
        </w:rPr>
      </w:pPr>
      <w:r>
        <w:rPr>
          <w:rFonts w:ascii="Times New Roman" w:cs="Times New Roman" w:eastAsia="Times New Roman" w:hAnsi="Times New Roman"/>
          <w:sz w:val="18"/>
          <w:szCs w:val="18"/>
          <w:color w:val="auto"/>
        </w:rPr>
        <w:t>Certificate of Designation, filed on June 3, 2010 with the Secretary of State of the State of Nevada by the Company</w:t>
      </w:r>
      <w:r>
        <w:rPr>
          <w:rFonts w:ascii="Times New Roman" w:cs="Times New Roman" w:eastAsia="Times New Roman" w:hAnsi="Times New Roman"/>
          <w:sz w:val="29"/>
          <w:szCs w:val="29"/>
          <w:color w:val="auto"/>
          <w:vertAlign w:val="superscript"/>
        </w:rPr>
        <w:t>3</w:t>
      </w:r>
    </w:p>
    <w:p>
      <w:pPr>
        <w:ind w:left="99"/>
        <w:spacing w:after="0" w:line="185" w:lineRule="auto"/>
        <w:rPr>
          <w:sz w:val="20"/>
          <w:szCs w:val="20"/>
          <w:color w:val="auto"/>
        </w:rPr>
      </w:pPr>
      <w:r>
        <w:rPr>
          <w:rFonts w:ascii="Times New Roman" w:cs="Times New Roman" w:eastAsia="Times New Roman" w:hAnsi="Times New Roman"/>
          <w:sz w:val="18"/>
          <w:szCs w:val="18"/>
          <w:color w:val="auto"/>
        </w:rPr>
        <w:t>Securities Purchase Agreement</w:t>
      </w:r>
      <w:r>
        <w:rPr>
          <w:rFonts w:ascii="Times New Roman" w:cs="Times New Roman" w:eastAsia="Times New Roman" w:hAnsi="Times New Roman"/>
          <w:sz w:val="29"/>
          <w:szCs w:val="29"/>
          <w:color w:val="auto"/>
          <w:vertAlign w:val="superscript"/>
        </w:rPr>
        <w:t>4</w:t>
      </w:r>
    </w:p>
    <w:p>
      <w:pPr>
        <w:ind w:left="99"/>
        <w:spacing w:after="0" w:line="185" w:lineRule="auto"/>
        <w:rPr>
          <w:sz w:val="20"/>
          <w:szCs w:val="20"/>
          <w:color w:val="auto"/>
        </w:rPr>
      </w:pPr>
      <w:r>
        <w:rPr>
          <w:rFonts w:ascii="Times New Roman" w:cs="Times New Roman" w:eastAsia="Times New Roman" w:hAnsi="Times New Roman"/>
          <w:sz w:val="18"/>
          <w:szCs w:val="18"/>
          <w:color w:val="auto"/>
        </w:rPr>
        <w:t>Registration Rights Agreement</w:t>
      </w:r>
      <w:r>
        <w:rPr>
          <w:rFonts w:ascii="Times New Roman" w:cs="Times New Roman" w:eastAsia="Times New Roman" w:hAnsi="Times New Roman"/>
          <w:sz w:val="29"/>
          <w:szCs w:val="29"/>
          <w:color w:val="auto"/>
          <w:vertAlign w:val="superscript"/>
        </w:rPr>
        <w:t>4</w:t>
      </w:r>
    </w:p>
    <w:p>
      <w:pPr>
        <w:ind w:left="99"/>
        <w:spacing w:after="0" w:line="184" w:lineRule="auto"/>
        <w:rPr>
          <w:sz w:val="20"/>
          <w:szCs w:val="20"/>
          <w:color w:val="auto"/>
        </w:rPr>
      </w:pPr>
      <w:r>
        <w:rPr>
          <w:rFonts w:ascii="Times New Roman" w:cs="Times New Roman" w:eastAsia="Times New Roman" w:hAnsi="Times New Roman"/>
          <w:sz w:val="18"/>
          <w:szCs w:val="18"/>
          <w:color w:val="auto"/>
        </w:rPr>
        <w:t>Investor Agreement</w:t>
      </w:r>
      <w:r>
        <w:rPr>
          <w:rFonts w:ascii="Times New Roman" w:cs="Times New Roman" w:eastAsia="Times New Roman" w:hAnsi="Times New Roman"/>
          <w:sz w:val="29"/>
          <w:szCs w:val="29"/>
          <w:color w:val="auto"/>
          <w:vertAlign w:val="superscript"/>
        </w:rPr>
        <w:t>4</w:t>
      </w:r>
    </w:p>
    <w:p>
      <w:pPr>
        <w:ind w:left="99"/>
        <w:spacing w:after="0" w:line="185" w:lineRule="auto"/>
        <w:rPr>
          <w:sz w:val="20"/>
          <w:szCs w:val="20"/>
          <w:color w:val="auto"/>
        </w:rPr>
      </w:pPr>
      <w:r>
        <w:rPr>
          <w:rFonts w:ascii="Times New Roman" w:cs="Times New Roman" w:eastAsia="Times New Roman" w:hAnsi="Times New Roman"/>
          <w:sz w:val="18"/>
          <w:szCs w:val="18"/>
          <w:color w:val="auto"/>
        </w:rPr>
        <w:t>Warrant Agreement</w:t>
      </w:r>
      <w:r>
        <w:rPr>
          <w:rFonts w:ascii="Times New Roman" w:cs="Times New Roman" w:eastAsia="Times New Roman" w:hAnsi="Times New Roman"/>
          <w:sz w:val="29"/>
          <w:szCs w:val="29"/>
          <w:color w:val="auto"/>
          <w:vertAlign w:val="superscript"/>
        </w:rPr>
        <w:t>5</w:t>
      </w:r>
    </w:p>
    <w:p>
      <w:pPr>
        <w:ind w:left="99"/>
        <w:spacing w:after="0" w:line="180" w:lineRule="auto"/>
        <w:rPr>
          <w:sz w:val="20"/>
          <w:szCs w:val="20"/>
          <w:color w:val="auto"/>
        </w:rPr>
      </w:pPr>
      <w:r>
        <w:rPr>
          <w:rFonts w:ascii="Times New Roman" w:cs="Times New Roman" w:eastAsia="Times New Roman" w:hAnsi="Times New Roman"/>
          <w:sz w:val="16"/>
          <w:szCs w:val="16"/>
          <w:color w:val="auto"/>
        </w:rPr>
        <w:t>Warrant Agreement</w:t>
      </w:r>
      <w:r>
        <w:rPr>
          <w:rFonts w:ascii="Times New Roman" w:cs="Times New Roman" w:eastAsia="Times New Roman" w:hAnsi="Times New Roman"/>
          <w:sz w:val="25"/>
          <w:szCs w:val="25"/>
          <w:color w:val="auto"/>
          <w:vertAlign w:val="superscript"/>
        </w:rPr>
        <w:t>5</w:t>
      </w:r>
    </w:p>
    <w:p>
      <w:pPr>
        <w:ind w:left="99"/>
        <w:spacing w:after="0" w:line="207" w:lineRule="auto"/>
        <w:rPr>
          <w:sz w:val="20"/>
          <w:szCs w:val="20"/>
          <w:color w:val="auto"/>
        </w:rPr>
      </w:pPr>
      <w:r>
        <w:rPr>
          <w:rFonts w:ascii="Times New Roman" w:cs="Times New Roman" w:eastAsia="Times New Roman" w:hAnsi="Times New Roman"/>
          <w:sz w:val="18"/>
          <w:szCs w:val="18"/>
          <w:color w:val="auto"/>
        </w:rPr>
        <w:t>Stock Purchase Agreement, dated September 24, 2015</w:t>
      </w:r>
      <w:r>
        <w:rPr>
          <w:rFonts w:ascii="Times New Roman" w:cs="Times New Roman" w:eastAsia="Times New Roman" w:hAnsi="Times New Roman"/>
          <w:sz w:val="30"/>
          <w:szCs w:val="30"/>
          <w:color w:val="auto"/>
          <w:vertAlign w:val="superscript"/>
        </w:rPr>
        <w:t>6</w:t>
      </w:r>
    </w:p>
    <w:p>
      <w:pPr>
        <w:ind w:left="99"/>
        <w:spacing w:after="0" w:line="185" w:lineRule="auto"/>
        <w:rPr>
          <w:sz w:val="20"/>
          <w:szCs w:val="20"/>
          <w:color w:val="auto"/>
        </w:rPr>
      </w:pPr>
      <w:r>
        <w:rPr>
          <w:rFonts w:ascii="Times New Roman" w:cs="Times New Roman" w:eastAsia="Times New Roman" w:hAnsi="Times New Roman"/>
          <w:sz w:val="18"/>
          <w:szCs w:val="18"/>
          <w:color w:val="auto"/>
        </w:rPr>
        <w:t>Investor Rights Agreement, dated September 24, 2015</w:t>
      </w:r>
      <w:r>
        <w:rPr>
          <w:rFonts w:ascii="Times New Roman" w:cs="Times New Roman" w:eastAsia="Times New Roman" w:hAnsi="Times New Roman"/>
          <w:sz w:val="29"/>
          <w:szCs w:val="29"/>
          <w:color w:val="auto"/>
          <w:vertAlign w:val="superscript"/>
        </w:rPr>
        <w:t>6</w:t>
      </w:r>
    </w:p>
    <w:p>
      <w:pPr>
        <w:ind w:left="99"/>
        <w:spacing w:after="0" w:line="180" w:lineRule="auto"/>
        <w:rPr>
          <w:sz w:val="20"/>
          <w:szCs w:val="20"/>
          <w:color w:val="auto"/>
        </w:rPr>
      </w:pPr>
      <w:r>
        <w:rPr>
          <w:rFonts w:ascii="Times New Roman" w:cs="Times New Roman" w:eastAsia="Times New Roman" w:hAnsi="Times New Roman"/>
          <w:sz w:val="16"/>
          <w:szCs w:val="16"/>
          <w:color w:val="auto"/>
        </w:rPr>
        <w:t>Indemnity Agreement, dated September 24, 2015</w:t>
      </w:r>
      <w:r>
        <w:rPr>
          <w:rFonts w:ascii="Times New Roman" w:cs="Times New Roman" w:eastAsia="Times New Roman" w:hAnsi="Times New Roman"/>
          <w:sz w:val="25"/>
          <w:szCs w:val="25"/>
          <w:color w:val="auto"/>
          <w:vertAlign w:val="superscript"/>
        </w:rPr>
        <w:t>6</w:t>
      </w:r>
    </w:p>
    <w:p>
      <w:pPr>
        <w:ind w:left="99"/>
        <w:spacing w:after="0" w:line="185" w:lineRule="auto"/>
        <w:rPr>
          <w:sz w:val="20"/>
          <w:szCs w:val="20"/>
          <w:color w:val="auto"/>
        </w:rPr>
      </w:pPr>
      <w:r>
        <w:rPr>
          <w:rFonts w:ascii="Times New Roman" w:cs="Times New Roman" w:eastAsia="Times New Roman" w:hAnsi="Times New Roman"/>
          <w:sz w:val="18"/>
          <w:szCs w:val="18"/>
          <w:color w:val="auto"/>
        </w:rPr>
        <w:t>Employment Agreement between the Company and William Febbo, dated February 12, 2016</w:t>
      </w:r>
      <w:r>
        <w:rPr>
          <w:rFonts w:ascii="Times New Roman" w:cs="Times New Roman" w:eastAsia="Times New Roman" w:hAnsi="Times New Roman"/>
          <w:sz w:val="29"/>
          <w:szCs w:val="29"/>
          <w:color w:val="auto"/>
          <w:vertAlign w:val="superscript"/>
        </w:rPr>
        <w:t>7</w:t>
      </w:r>
    </w:p>
    <w:p>
      <w:pPr>
        <w:ind w:left="99" w:right="20"/>
        <w:spacing w:after="0" w:line="205" w:lineRule="auto"/>
        <w:rPr>
          <w:sz w:val="20"/>
          <w:szCs w:val="20"/>
          <w:color w:val="auto"/>
        </w:rPr>
      </w:pPr>
      <w:r>
        <w:rPr>
          <w:rFonts w:ascii="Times New Roman" w:cs="Times New Roman" w:eastAsia="Times New Roman" w:hAnsi="Times New Roman"/>
          <w:sz w:val="18"/>
          <w:szCs w:val="18"/>
          <w:color w:val="auto"/>
        </w:rPr>
        <w:t>Separation Agreement, Corporate Consulting Agreement and Confidentiality Agreement between the Company and David Harrell dated May 5, 2016</w:t>
      </w:r>
      <w:r>
        <w:rPr>
          <w:rFonts w:ascii="Times New Roman" w:cs="Times New Roman" w:eastAsia="Times New Roman" w:hAnsi="Times New Roman"/>
          <w:sz w:val="30"/>
          <w:szCs w:val="30"/>
          <w:color w:val="auto"/>
          <w:vertAlign w:val="superscript"/>
        </w:rPr>
        <w:t>8</w:t>
      </w:r>
    </w:p>
    <w:p>
      <w:pPr>
        <w:ind w:left="99"/>
        <w:spacing w:after="0" w:line="185" w:lineRule="auto"/>
        <w:rPr>
          <w:sz w:val="20"/>
          <w:szCs w:val="20"/>
          <w:color w:val="auto"/>
        </w:rPr>
      </w:pPr>
      <w:r>
        <w:rPr>
          <w:rFonts w:ascii="Times New Roman" w:cs="Times New Roman" w:eastAsia="Times New Roman" w:hAnsi="Times New Roman"/>
          <w:sz w:val="18"/>
          <w:szCs w:val="18"/>
          <w:color w:val="auto"/>
        </w:rPr>
        <w:t>Agreement between the Company and Brian Dillon, dated June 22, 2016</w:t>
      </w:r>
      <w:r>
        <w:rPr>
          <w:rFonts w:ascii="Times New Roman" w:cs="Times New Roman" w:eastAsia="Times New Roman" w:hAnsi="Times New Roman"/>
          <w:sz w:val="29"/>
          <w:szCs w:val="29"/>
          <w:color w:val="auto"/>
          <w:vertAlign w:val="superscript"/>
        </w:rPr>
        <w:t>9</w:t>
      </w:r>
    </w:p>
    <w:p>
      <w:pPr>
        <w:ind w:left="99" w:right="3760"/>
        <w:spacing w:after="0" w:line="206" w:lineRule="auto"/>
        <w:rPr>
          <w:sz w:val="20"/>
          <w:szCs w:val="20"/>
          <w:color w:val="auto"/>
        </w:rPr>
      </w:pPr>
      <w:r>
        <w:rPr>
          <w:rFonts w:ascii="Times New Roman" w:cs="Times New Roman" w:eastAsia="Times New Roman" w:hAnsi="Times New Roman"/>
          <w:sz w:val="18"/>
          <w:szCs w:val="18"/>
          <w:color w:val="auto"/>
        </w:rPr>
        <w:t>Employment Agreement between the Company and Terry Hamilton, dated June 27, 2016</w:t>
      </w:r>
      <w:r>
        <w:rPr>
          <w:rFonts w:ascii="Times New Roman" w:cs="Times New Roman" w:eastAsia="Times New Roman" w:hAnsi="Times New Roman"/>
          <w:sz w:val="30"/>
          <w:szCs w:val="30"/>
          <w:color w:val="auto"/>
          <w:vertAlign w:val="superscript"/>
        </w:rPr>
        <w:t>9</w:t>
      </w:r>
      <w:r>
        <w:rPr>
          <w:rFonts w:ascii="Times New Roman" w:cs="Times New Roman" w:eastAsia="Times New Roman" w:hAnsi="Times New Roman"/>
          <w:sz w:val="18"/>
          <w:szCs w:val="18"/>
          <w:color w:val="auto"/>
        </w:rPr>
        <w:t xml:space="preserve"> Employment Agreement between the Company and David Baker, dated June 27, 2016</w:t>
      </w:r>
      <w:r>
        <w:rPr>
          <w:rFonts w:ascii="Times New Roman" w:cs="Times New Roman" w:eastAsia="Times New Roman" w:hAnsi="Times New Roman"/>
          <w:sz w:val="30"/>
          <w:szCs w:val="30"/>
          <w:color w:val="auto"/>
          <w:vertAlign w:val="superscript"/>
        </w:rPr>
        <w:t>9</w:t>
      </w:r>
      <w:r>
        <w:rPr>
          <w:rFonts w:ascii="Times New Roman" w:cs="Times New Roman" w:eastAsia="Times New Roman" w:hAnsi="Times New Roman"/>
          <w:sz w:val="18"/>
          <w:szCs w:val="18"/>
          <w:color w:val="auto"/>
        </w:rPr>
        <w:t xml:space="preserve"> List of Subsidiaries</w:t>
      </w:r>
      <w:r>
        <w:rPr>
          <w:rFonts w:ascii="Times New Roman" w:cs="Times New Roman" w:eastAsia="Times New Roman" w:hAnsi="Times New Roman"/>
          <w:sz w:val="30"/>
          <w:szCs w:val="30"/>
          <w:color w:val="auto"/>
          <w:vertAlign w:val="superscript"/>
        </w:rPr>
        <w:t>1</w:t>
      </w:r>
    </w:p>
    <w:p>
      <w:pPr>
        <w:ind w:left="99"/>
        <w:spacing w:after="0" w:line="249" w:lineRule="auto"/>
        <w:rPr>
          <w:sz w:val="20"/>
          <w:szCs w:val="20"/>
          <w:color w:val="auto"/>
        </w:rPr>
      </w:pPr>
      <w:r>
        <w:rPr>
          <w:rFonts w:ascii="Times New Roman" w:cs="Times New Roman" w:eastAsia="Times New Roman" w:hAnsi="Times New Roman"/>
          <w:sz w:val="18"/>
          <w:szCs w:val="18"/>
          <w:color w:val="auto"/>
        </w:rPr>
        <w:t>Certification of Chief Executive Officer pursuant to Securities Exchange Act Rule 13a-14(a)/15d-14(a), as adopted pursuant to Section 302 of the Sarbanes-Oxley Act of 2002</w:t>
      </w:r>
    </w:p>
    <w:p>
      <w:pPr>
        <w:spacing w:after="0" w:line="1" w:lineRule="exact"/>
        <w:rPr>
          <w:sz w:val="20"/>
          <w:szCs w:val="20"/>
          <w:color w:val="auto"/>
        </w:rPr>
      </w:pPr>
    </w:p>
    <w:p>
      <w:pPr>
        <w:ind w:left="99"/>
        <w:spacing w:after="0" w:line="250" w:lineRule="auto"/>
        <w:rPr>
          <w:sz w:val="20"/>
          <w:szCs w:val="20"/>
          <w:color w:val="auto"/>
        </w:rPr>
      </w:pPr>
      <w:r>
        <w:rPr>
          <w:rFonts w:ascii="Times New Roman" w:cs="Times New Roman" w:eastAsia="Times New Roman" w:hAnsi="Times New Roman"/>
          <w:sz w:val="18"/>
          <w:szCs w:val="18"/>
          <w:color w:val="auto"/>
        </w:rPr>
        <w:t>Certification of Chief Financial Officer pursuant to Securities Exchange Act Rule 13a-14(a)/15d-14(a), as adopted pursuant to Section 302 of the Sarbanes-Oxley Act of 2002</w:t>
      </w:r>
    </w:p>
    <w:p>
      <w:pPr>
        <w:spacing w:after="0" w:line="1" w:lineRule="exact"/>
        <w:rPr>
          <w:sz w:val="20"/>
          <w:szCs w:val="20"/>
          <w:color w:val="auto"/>
        </w:rPr>
      </w:pPr>
    </w:p>
    <w:p>
      <w:pPr>
        <w:ind w:left="99"/>
        <w:spacing w:after="0" w:line="250" w:lineRule="auto"/>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Section 1350, as adopted pursuant to Section 906 of the Sarbanes-Oxley Act of 2002</w:t>
      </w:r>
    </w:p>
    <w:p>
      <w:pPr>
        <w:spacing w:after="0" w:line="1" w:lineRule="exact"/>
        <w:rPr>
          <w:sz w:val="20"/>
          <w:szCs w:val="20"/>
          <w:color w:val="auto"/>
        </w:rPr>
      </w:pPr>
    </w:p>
    <w:p>
      <w:pPr>
        <w:ind w:left="99" w:right="20"/>
        <w:spacing w:after="0" w:line="261" w:lineRule="auto"/>
        <w:rPr>
          <w:sz w:val="20"/>
          <w:szCs w:val="20"/>
          <w:color w:val="auto"/>
        </w:rPr>
      </w:pPr>
      <w:r>
        <w:rPr>
          <w:rFonts w:ascii="Times New Roman" w:cs="Times New Roman" w:eastAsia="Times New Roman" w:hAnsi="Times New Roman"/>
          <w:sz w:val="18"/>
          <w:szCs w:val="18"/>
          <w:color w:val="auto"/>
        </w:rPr>
        <w:t>The following materials from the Company’s Annual Report on Form 10-K for the year ended December 31, 2016 formatted in Extensible Business Reporting Language (XBRL).</w:t>
      </w:r>
    </w:p>
    <w:p>
      <w:pPr>
        <w:spacing w:after="0" w:line="69" w:lineRule="exact"/>
        <w:rPr>
          <w:sz w:val="20"/>
          <w:szCs w:val="20"/>
          <w:color w:val="auto"/>
        </w:rPr>
      </w:pPr>
    </w:p>
    <w:p>
      <w:pPr>
        <w:sectPr>
          <w:pgSz w:w="11900" w:h="16838" w:orient="portrait"/>
          <w:cols w:equalWidth="0" w:num="2">
            <w:col w:w="640" w:space="421"/>
            <w:col w:w="10359"/>
          </w:cols>
          <w:pgMar w:left="240" w:top="900" w:right="239" w:bottom="1440" w:gutter="0" w:footer="0" w:header="0"/>
          <w:type w:val="continuous"/>
        </w:sectPr>
      </w:pPr>
    </w:p>
    <w:p>
      <w:pPr>
        <w:ind w:left="460" w:hanging="452"/>
        <w:spacing w:after="0"/>
        <w:tabs>
          <w:tab w:leader="none" w:pos="46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Incorporated by reference to the Form S-1, filed by the Company with the Securities and Exchange Commission on November 12, 2008.</w:t>
      </w:r>
    </w:p>
    <w:p>
      <w:pPr>
        <w:ind w:left="460" w:hanging="452"/>
        <w:spacing w:after="0" w:line="180" w:lineRule="auto"/>
        <w:tabs>
          <w:tab w:leader="none" w:pos="46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Incorporated by reference to the Form 8-K, filed by the Company with the Securities and Exchange Commission on July 16, 2010.</w:t>
      </w:r>
    </w:p>
    <w:p>
      <w:pPr>
        <w:ind w:left="460" w:hanging="452"/>
        <w:spacing w:after="0" w:line="180" w:lineRule="auto"/>
        <w:tabs>
          <w:tab w:leader="none" w:pos="46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Incorporated by reference to the Form 8-K, filed by the Company with the Securities and Exchange Commission on June 11, 2010.</w:t>
      </w:r>
    </w:p>
    <w:p>
      <w:pPr>
        <w:ind w:left="460" w:hanging="452"/>
        <w:spacing w:after="0" w:line="181" w:lineRule="auto"/>
        <w:tabs>
          <w:tab w:leader="none" w:pos="460"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Incorporated by reference to the Form 8-K, filed by the Company with the Securities and Exchange Commission on March 18, 2014.</w:t>
      </w:r>
    </w:p>
    <w:p>
      <w:pPr>
        <w:ind w:left="460" w:hanging="452"/>
        <w:spacing w:after="0" w:line="180" w:lineRule="auto"/>
        <w:tabs>
          <w:tab w:leader="none" w:pos="460"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Incorporated by reference to the Form S-1/A filed by the Company with the Securities and Exchange Commission on May 12, 2014.</w:t>
      </w:r>
    </w:p>
    <w:p>
      <w:pPr>
        <w:ind w:left="460" w:hanging="452"/>
        <w:spacing w:after="0" w:line="180" w:lineRule="auto"/>
        <w:tabs>
          <w:tab w:leader="none" w:pos="46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Incorporated by reference to the Form 8-K, filed by the Company with the Securities and Exchange Commission on September 30, 2015.</w:t>
      </w:r>
    </w:p>
    <w:p>
      <w:pPr>
        <w:ind w:left="460" w:hanging="452"/>
        <w:spacing w:after="0" w:line="181" w:lineRule="auto"/>
        <w:tabs>
          <w:tab w:leader="none" w:pos="46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Incorporated by reference to the Form 8-K, filed by the Company with the Securities and Exchange Commission on February 19, 2016.</w:t>
      </w:r>
    </w:p>
    <w:p>
      <w:pPr>
        <w:ind w:left="460" w:hanging="452"/>
        <w:spacing w:after="0" w:line="180" w:lineRule="auto"/>
        <w:tabs>
          <w:tab w:leader="none" w:pos="46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Incorporated by reference to the Form 10-Q, filed by the Company with the Securities and Exchange Commission on May 9, 2016.</w:t>
      </w:r>
    </w:p>
    <w:p>
      <w:pPr>
        <w:spacing w:after="0" w:line="2" w:lineRule="exact"/>
        <w:rPr>
          <w:sz w:val="20"/>
          <w:szCs w:val="20"/>
          <w:color w:val="auto"/>
        </w:rPr>
      </w:pPr>
    </w:p>
    <w:p>
      <w:pPr>
        <w:ind w:right="1500" w:firstLine="8"/>
        <w:spacing w:after="0" w:line="350" w:lineRule="auto"/>
        <w:tabs>
          <w:tab w:leader="none" w:pos="459"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Incorporated by reference to the Form 8-K, filed by the Company with the Securities and Exchange Commission on June 27, 2016. ** Provided herewith</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60731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William Febbo</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March 8, 2016</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60731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Douglas P. Baker</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Financial Officer, Principal Financial Officer and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March 8, 2016</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Harrell</w:t>
            </w:r>
          </w:p>
        </w:tc>
      </w:tr>
      <w:tr>
        <w:trPr>
          <w:trHeight w:val="198"/>
        </w:trPr>
        <w:tc>
          <w:tcPr>
            <w:tcW w:w="580" w:type="dxa"/>
            <w:vAlign w:val="bottom"/>
          </w:tcPr>
          <w:p>
            <w:pPr>
              <w:spacing w:after="0"/>
              <w:rPr>
                <w:sz w:val="17"/>
                <w:szCs w:val="17"/>
                <w:color w:val="auto"/>
              </w:rPr>
            </w:pPr>
          </w:p>
        </w:tc>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David Harrell</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Febbo</w:t>
            </w:r>
          </w:p>
        </w:tc>
      </w:tr>
      <w:tr>
        <w:trPr>
          <w:trHeight w:val="198"/>
        </w:trPr>
        <w:tc>
          <w:tcPr>
            <w:tcW w:w="580" w:type="dxa"/>
            <w:vAlign w:val="bottom"/>
          </w:tcPr>
          <w:p>
            <w:pPr>
              <w:spacing w:after="0"/>
              <w:rPr>
                <w:sz w:val="17"/>
                <w:szCs w:val="17"/>
                <w:color w:val="auto"/>
              </w:rPr>
            </w:pPr>
          </w:p>
        </w:tc>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William J. Febbo</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Lang</w:t>
            </w:r>
          </w:p>
        </w:tc>
      </w:tr>
      <w:tr>
        <w:trPr>
          <w:trHeight w:val="198"/>
        </w:trPr>
        <w:tc>
          <w:tcPr>
            <w:tcW w:w="580" w:type="dxa"/>
            <w:vAlign w:val="bottom"/>
          </w:tcPr>
          <w:p>
            <w:pPr>
              <w:spacing w:after="0"/>
              <w:rPr>
                <w:sz w:val="17"/>
                <w:szCs w:val="17"/>
                <w:color w:val="auto"/>
              </w:rPr>
            </w:pPr>
          </w:p>
        </w:tc>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James Lang</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Gus D. Halas</w:t>
            </w:r>
          </w:p>
        </w:tc>
      </w:tr>
      <w:tr>
        <w:trPr>
          <w:trHeight w:val="198"/>
        </w:trPr>
        <w:tc>
          <w:tcPr>
            <w:tcW w:w="580" w:type="dxa"/>
            <w:vAlign w:val="bottom"/>
          </w:tcPr>
          <w:p>
            <w:pPr>
              <w:spacing w:after="0"/>
              <w:rPr>
                <w:sz w:val="17"/>
                <w:szCs w:val="17"/>
                <w:color w:val="auto"/>
              </w:rPr>
            </w:pPr>
          </w:p>
        </w:tc>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Gus D. Halas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Pinney</w:t>
            </w:r>
          </w:p>
        </w:tc>
      </w:tr>
      <w:tr>
        <w:trPr>
          <w:trHeight w:val="198"/>
        </w:trPr>
        <w:tc>
          <w:tcPr>
            <w:tcW w:w="580" w:type="dxa"/>
            <w:vAlign w:val="bottom"/>
          </w:tcPr>
          <w:p>
            <w:pPr>
              <w:spacing w:after="0"/>
              <w:rPr>
                <w:sz w:val="17"/>
                <w:szCs w:val="17"/>
                <w:color w:val="auto"/>
              </w:rPr>
            </w:pPr>
          </w:p>
        </w:tc>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Jack Pinney</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 Vos</w:t>
            </w:r>
          </w:p>
        </w:tc>
      </w:tr>
      <w:tr>
        <w:trPr>
          <w:trHeight w:val="198"/>
        </w:trPr>
        <w:tc>
          <w:tcPr>
            <w:tcW w:w="580" w:type="dxa"/>
            <w:vAlign w:val="bottom"/>
          </w:tcPr>
          <w:p>
            <w:pPr>
              <w:spacing w:after="0"/>
              <w:rPr>
                <w:sz w:val="17"/>
                <w:szCs w:val="17"/>
                <w:color w:val="auto"/>
              </w:rPr>
            </w:pPr>
          </w:p>
        </w:tc>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Lynn Vos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Febbo, certify that;</w:t>
      </w:r>
    </w:p>
    <w:p>
      <w:pPr>
        <w:spacing w:after="0" w:line="225"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2016 of OptimizeRx Corp (the “registrant”);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William J. Febbo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08"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P. Baker, certify that;</w:t>
      </w:r>
    </w:p>
    <w:p>
      <w:pPr>
        <w:spacing w:after="0" w:line="225"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2016 of OptimizeRx Corp (the “registrant”);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P. Baker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top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Douglas P. Baker</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34"/>
        </w:trPr>
        <w:tc>
          <w:tcPr>
            <w:tcW w:w="54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Principal Accounting Officer</w:t>
            </w:r>
          </w:p>
        </w:tc>
      </w:tr>
    </w:tbl>
    <w:p>
      <w:pPr>
        <w:sectPr>
          <w:pgSz w:w="11900" w:h="16838" w:orient="portrait"/>
          <w:cols w:equalWidth="0" w:num="1">
            <w:col w:w="11420"/>
          </w:cols>
          <w:pgMar w:left="240" w:top="117"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OptimizeRx Corp (the “Company”) on Form 10-K for the year ended December 31, 2016 filed with the Securities and Exchange Commission (the “Report”), I, William J. Febbo, Chief Executive Officer of the Company, and I, Douglas P. Baker,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Febbo</w:t>
            </w:r>
          </w:p>
        </w:tc>
      </w:tr>
      <w:tr>
        <w:trPr>
          <w:trHeight w:val="198"/>
        </w:trPr>
        <w:tc>
          <w:tcPr>
            <w:tcW w:w="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William J. Febbo</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7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March 8, 2017</w:t>
            </w:r>
          </w:p>
        </w:tc>
      </w:tr>
      <w:tr>
        <w:trPr>
          <w:trHeight w:val="43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 Baker</w:t>
            </w:r>
          </w:p>
        </w:tc>
      </w:tr>
      <w:tr>
        <w:trPr>
          <w:trHeight w:val="198"/>
        </w:trPr>
        <w:tc>
          <w:tcPr>
            <w:tcW w:w="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Doug Baker</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16"/>
        </w:trPr>
        <w:tc>
          <w:tcPr>
            <w:tcW w:w="7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and Principal Accounting Officer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March 8, 2017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been furnished solely pursuant to Section 906 of the Sarbanes-Oxley Act of 2002.</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lvl w:ilvl="1">
      <w:lvlJc w:val="left"/>
      <w:lvlText w:val="☒"/>
      <w:numFmt w:val="bullet"/>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lowerRoman"/>
      <w:start w:val="2"/>
    </w:lvl>
  </w:abstractNum>
  <w:abstractNum w:abstractNumId="16">
    <w:nsid w:val="3A95F874"/>
    <w:multiLevelType w:val="hybridMultilevel"/>
    <w:lvl w:ilvl="0">
      <w:lvlJc w:val="left"/>
      <w:lvlText w:val="%1."/>
      <w:numFmt w:val="decimal"/>
      <w:start w:val="4"/>
    </w:lvl>
  </w:abstractNum>
  <w:abstractNum w:abstractNumId="17">
    <w:nsid w:val="8138641"/>
    <w:multiLevelType w:val="hybridMultilevel"/>
    <w:lvl w:ilvl="0">
      <w:lvlJc w:val="left"/>
      <w:lvlText w:val="%1."/>
      <w:numFmt w:val="lowerRoman"/>
      <w:start w:val="2"/>
    </w:lvl>
  </w:abstractNum>
  <w:abstractNum w:abstractNumId="18">
    <w:nsid w:val="1E7FF521"/>
    <w:multiLevelType w:val="hybridMultilevel"/>
    <w:lvl w:ilvl="0">
      <w:lvlJc w:val="left"/>
      <w:lvlText w:val="%1."/>
      <w:numFmt w:val="decimal"/>
      <w:start w:val="8"/>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
      <w:numFmt w:val="bullet"/>
      <w:start w:val="1"/>
    </w:lvl>
    <w:lvl w:ilvl="1">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lowerLetter"/>
      <w:start w:val="2"/>
    </w:lvl>
  </w:abstractNum>
  <w:abstractNum w:abstractNumId="30">
    <w:nsid w:val="3804823E"/>
    <w:multiLevelType w:val="hybridMultilevel"/>
    <w:lvl w:ilvl="0">
      <w:lvlJc w:val="left"/>
      <w:lvlText w:val="1"/>
      <w:numFmt w:val="bullet"/>
      <w:start w:val="1"/>
    </w:lvl>
  </w:abstractNum>
  <w:abstractNum w:abstractNumId="31">
    <w:nsid w:val="77465F01"/>
    <w:multiLevelType w:val="hybridMultilevel"/>
    <w:lvl w:ilvl="0">
      <w:lvlJc w:val="left"/>
      <w:lvlText w:val="2"/>
      <w:numFmt w:val="bullet"/>
      <w:start w:val="1"/>
    </w:lvl>
  </w:abstractNum>
  <w:abstractNum w:abstractNumId="32">
    <w:nsid w:val="7724C67E"/>
    <w:multiLevelType w:val="hybridMultilevel"/>
    <w:lvl w:ilvl="0">
      <w:lvlJc w:val="left"/>
      <w:lvlText w:val="3"/>
      <w:numFmt w:val="bullet"/>
      <w:start w:val="1"/>
    </w:lvl>
  </w:abstractNum>
  <w:abstractNum w:abstractNumId="33">
    <w:nsid w:val="5C482A97"/>
    <w:multiLevelType w:val="hybridMultilevel"/>
    <w:lvl w:ilvl="0">
      <w:lvlJc w:val="left"/>
      <w:lvlText w:val="4"/>
      <w:numFmt w:val="bullet"/>
      <w:start w:val="1"/>
    </w:lvl>
  </w:abstractNum>
  <w:abstractNum w:abstractNumId="34">
    <w:nsid w:val="2463B9EA"/>
    <w:multiLevelType w:val="hybridMultilevel"/>
    <w:lvl w:ilvl="0">
      <w:lvlJc w:val="left"/>
      <w:lvlText w:val="5"/>
      <w:numFmt w:val="bullet"/>
      <w:start w:val="1"/>
    </w:lvl>
  </w:abstractNum>
  <w:abstractNum w:abstractNumId="35">
    <w:nsid w:val="5E884ADC"/>
    <w:multiLevelType w:val="hybridMultilevel"/>
    <w:lvl w:ilvl="0">
      <w:lvlJc w:val="left"/>
      <w:lvlText w:val="6"/>
      <w:numFmt w:val="bullet"/>
      <w:start w:val="1"/>
    </w:lvl>
  </w:abstractNum>
  <w:abstractNum w:abstractNumId="36">
    <w:nsid w:val="51EAD36B"/>
    <w:multiLevelType w:val="hybridMultilevel"/>
    <w:lvl w:ilvl="0">
      <w:lvlJc w:val="left"/>
      <w:lvlText w:val="7"/>
      <w:numFmt w:val="bullet"/>
      <w:start w:val="1"/>
    </w:lvl>
  </w:abstractNum>
  <w:abstractNum w:abstractNumId="37">
    <w:nsid w:val="2D517796"/>
    <w:multiLevelType w:val="hybridMultilevel"/>
    <w:lvl w:ilvl="0">
      <w:lvlJc w:val="left"/>
      <w:lvlText w:val="8"/>
      <w:numFmt w:val="bullet"/>
      <w:start w:val="1"/>
    </w:lvl>
  </w:abstractNum>
  <w:abstractNum w:abstractNumId="38">
    <w:nsid w:val="580BD78F"/>
    <w:multiLevelType w:val="hybridMultilevel"/>
    <w:lvl w:ilvl="0">
      <w:lvlJc w:val="left"/>
      <w:lvlText w:val="9"/>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2019-12-29T08:25:33Z</dcterms:created>
  <dcterms:modified xsi:type="dcterms:W3CDTF">2019-12-29T08:25:33Z</dcterms:modified>
</cp:coreProperties>
</file>