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333-195210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9,137,472 Shares of Common Stock</w:t>
      </w:r>
    </w:p>
    <w:p>
      <w:pPr>
        <w:spacing w:after="0" w:line="211" w:lineRule="exact"/>
        <w:rPr>
          <w:sz w:val="24"/>
          <w:szCs w:val="24"/>
          <w:color w:val="auto"/>
        </w:rPr>
      </w:pPr>
    </w:p>
    <w:p>
      <w:pPr>
        <w:jc w:val="both"/>
        <w:spacing w:after="0" w:line="297" w:lineRule="auto"/>
        <w:rPr>
          <w:sz w:val="20"/>
          <w:szCs w:val="20"/>
          <w:color w:val="auto"/>
        </w:rPr>
      </w:pPr>
      <w:r>
        <w:rPr>
          <w:rFonts w:ascii="Arial" w:cs="Arial" w:eastAsia="Arial" w:hAnsi="Arial"/>
          <w:sz w:val="16"/>
          <w:szCs w:val="16"/>
          <w:color w:val="auto"/>
        </w:rPr>
        <w:t>This prospectus relates to the resale by the Selling Shareholders of up to 9,137,472 shares of our Common Stock, par value $0.001 per share (the “Common Stock”). The Common Stock was acquired by the Selling Shareholders in connection with a private placement offering we completed on March 17, 2014 (the “March 2014 Private Placement”). We are registering the resale of the Common Stock as required by the Registration Rights Agreement we entered into with the Selling Shareholders in connection with the March 2014 Private Placement (the “Registration Rights Agreement”). Of the Common Stock offered herein, 804,139 shares are issuable upon the exercise of warrants held by the placement agents in the March 2014 Private Placement.</w:t>
      </w:r>
    </w:p>
    <w:p>
      <w:pPr>
        <w:spacing w:after="0" w:line="158"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The Selling Shareholders may offer and sell or otherwise dispose of the shares described in this prospectus from time to time through public or private transaction at prevailing market prices, at prices related to such prevailing market prices, at varying prices determined at the time of sale, at negotiated prices, or at fixed prices. See “Plan of Distribution” beginning on page 14 for more information.</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We will not receive any of the proceeds from the Common Stock sold by the Selling Shareholders.</w:t>
      </w:r>
    </w:p>
    <w:p>
      <w:pPr>
        <w:spacing w:after="0" w:line="225"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We have agreed to pay certain expenses in connection with this registration statement and to indemnify the Selling Shareholders against certain liabilities. The Selling Shareholders will pay all underwriting discounts and selling commissions, if any, in connection with the sale of the shares of Common Stock.</w:t>
      </w:r>
    </w:p>
    <w:p>
      <w:pPr>
        <w:spacing w:after="0" w:line="12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OTC Bulletin Board under the symbol “OPRX.” On May 19, 2014, the last reported sale price of our Common Stock was $1.72 per share.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7.</w:t>
      </w:r>
    </w:p>
    <w:p>
      <w:pPr>
        <w:spacing w:after="0" w:line="22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May 28,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17145</wp:posOffset>
            </wp:positionV>
            <wp:extent cx="2573020" cy="831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302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22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w:t>
              </w:r>
            </w:hyperlink>
          </w:p>
        </w:tc>
        <w:tc>
          <w:tcPr>
            <w:tcW w:w="2920" w:type="dxa"/>
            <w:vAlign w:val="bottom"/>
            <w:gridSpan w:val="13"/>
          </w:tcPr>
          <w:p>
            <w:pPr>
              <w:spacing w:after="0"/>
              <w:rPr>
                <w:sz w:val="17"/>
                <w:szCs w:val="17"/>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3</w:t>
            </w:r>
          </w:p>
        </w:tc>
      </w:tr>
      <w:tr>
        <w:trPr>
          <w:trHeight w:val="196"/>
        </w:trPr>
        <w:tc>
          <w:tcPr>
            <w:tcW w:w="2860" w:type="dxa"/>
            <w:vAlign w:val="bottom"/>
          </w:tcPr>
          <w:p>
            <w:pPr>
              <w:spacing w:after="0"/>
              <w:rPr>
                <w:sz w:val="17"/>
                <w:szCs w:val="17"/>
                <w:color w:val="auto"/>
              </w:rPr>
            </w:pPr>
          </w:p>
        </w:tc>
        <w:tc>
          <w:tcPr>
            <w:tcW w:w="360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ABOUT FORWARD-LOOKING STATEMENTS</w:t>
              </w:r>
            </w:hyperlink>
          </w:p>
        </w:tc>
        <w:tc>
          <w:tcPr>
            <w:tcW w:w="1560" w:type="dxa"/>
            <w:vAlign w:val="bottom"/>
            <w:gridSpan w:val="8"/>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4</w:t>
            </w:r>
          </w:p>
        </w:tc>
      </w:tr>
      <w:tr>
        <w:trPr>
          <w:trHeight w:val="20"/>
        </w:trPr>
        <w:tc>
          <w:tcPr>
            <w:tcW w:w="28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RISK FACTORS</w:t>
              </w:r>
            </w:hyperlink>
          </w:p>
        </w:tc>
        <w:tc>
          <w:tcPr>
            <w:tcW w:w="3900" w:type="dxa"/>
            <w:vAlign w:val="bottom"/>
            <w:gridSpan w:val="21"/>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6</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11</w:t>
            </w:r>
          </w:p>
        </w:tc>
      </w:tr>
      <w:tr>
        <w:trPr>
          <w:trHeight w:val="20"/>
        </w:trPr>
        <w:tc>
          <w:tcPr>
            <w:tcW w:w="286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DETERMINATION OF OFFERING PRICE</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11</w:t>
            </w:r>
          </w:p>
        </w:tc>
      </w:tr>
      <w:tr>
        <w:trPr>
          <w:trHeight w:val="196"/>
        </w:trPr>
        <w:tc>
          <w:tcPr>
            <w:tcW w:w="28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SELLING SHAREHOLDERS</w:t>
              </w:r>
            </w:hyperlink>
          </w:p>
        </w:tc>
        <w:tc>
          <w:tcPr>
            <w:tcW w:w="1000" w:type="dxa"/>
            <w:vAlign w:val="bottom"/>
            <w:tcBorders>
              <w:top w:val="single" w:sz="8" w:color="0000EE"/>
            </w:tcBorders>
            <w:gridSpan w:val="5"/>
          </w:tcPr>
          <w:p>
            <w:pPr>
              <w:spacing w:after="0"/>
              <w:rPr>
                <w:sz w:val="17"/>
                <w:szCs w:val="17"/>
                <w:color w:val="auto"/>
              </w:rPr>
            </w:pPr>
          </w:p>
        </w:tc>
        <w:tc>
          <w:tcPr>
            <w:tcW w:w="1940" w:type="dxa"/>
            <w:vAlign w:val="bottom"/>
            <w:gridSpan w:val="9"/>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11</w:t>
            </w:r>
          </w:p>
        </w:tc>
      </w:tr>
      <w:tr>
        <w:trPr>
          <w:trHeight w:val="196"/>
        </w:trPr>
        <w:tc>
          <w:tcPr>
            <w:tcW w:w="2860" w:type="dxa"/>
            <w:vAlign w:val="bottom"/>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PLAN OF DISTRIBUTION</w:t>
              </w:r>
            </w:hyperlink>
          </w:p>
        </w:tc>
        <w:tc>
          <w:tcPr>
            <w:tcW w:w="3100" w:type="dxa"/>
            <w:vAlign w:val="bottom"/>
            <w:gridSpan w:val="16"/>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13</w:t>
            </w:r>
          </w:p>
        </w:tc>
      </w:tr>
      <w:tr>
        <w:trPr>
          <w:trHeight w:val="196"/>
        </w:trPr>
        <w:tc>
          <w:tcPr>
            <w:tcW w:w="286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LEGAL PROCEEDINGS</w:t>
              </w:r>
            </w:hyperlink>
          </w:p>
        </w:tc>
        <w:tc>
          <w:tcPr>
            <w:tcW w:w="3280" w:type="dxa"/>
            <w:vAlign w:val="bottom"/>
            <w:gridSpan w:val="17"/>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15</w:t>
            </w:r>
          </w:p>
        </w:tc>
      </w:tr>
      <w:tr>
        <w:trPr>
          <w:trHeight w:val="196"/>
        </w:trPr>
        <w:tc>
          <w:tcPr>
            <w:tcW w:w="2860" w:type="dxa"/>
            <w:vAlign w:val="bottom"/>
          </w:tcPr>
          <w:p>
            <w:pPr>
              <w:spacing w:after="0"/>
              <w:rPr>
                <w:sz w:val="17"/>
                <w:szCs w:val="17"/>
                <w:color w:val="auto"/>
              </w:rPr>
            </w:pPr>
          </w:p>
        </w:tc>
        <w:tc>
          <w:tcPr>
            <w:tcW w:w="460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DIRECTORS, EXECUTIVE OFFICERS, PROMOTERS AND</w:t>
              </w:r>
            </w:hyperlink>
          </w:p>
        </w:tc>
        <w:tc>
          <w:tcPr>
            <w:tcW w:w="560" w:type="dxa"/>
            <w:vAlign w:val="bottom"/>
            <w:gridSpan w:val="3"/>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15</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CONTROL PERSONS</w:t>
              </w:r>
            </w:hyperlink>
          </w:p>
        </w:tc>
        <w:tc>
          <w:tcPr>
            <w:tcW w:w="340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496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SECURITY OWNERSHIP OF CERTAIN BENEFICIAL OWNERS</w:t>
              </w:r>
            </w:hyperlink>
          </w:p>
        </w:tc>
        <w:tc>
          <w:tcPr>
            <w:tcW w:w="200" w:type="dxa"/>
            <w:vAlign w:val="bottom"/>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17</w:t>
            </w:r>
          </w:p>
        </w:tc>
      </w:tr>
      <w:tr>
        <w:trPr>
          <w:trHeight w:val="196"/>
        </w:trPr>
        <w:tc>
          <w:tcPr>
            <w:tcW w:w="2860" w:type="dxa"/>
            <w:vAlign w:val="bottom"/>
          </w:tcPr>
          <w:p>
            <w:pPr>
              <w:spacing w:after="0"/>
              <w:rPr>
                <w:sz w:val="17"/>
                <w:szCs w:val="17"/>
                <w:color w:val="auto"/>
              </w:rPr>
            </w:pPr>
          </w:p>
        </w:tc>
        <w:tc>
          <w:tcPr>
            <w:tcW w:w="17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AND MANAGEMENT</w:t>
              </w:r>
            </w:hyperlink>
          </w:p>
        </w:tc>
        <w:tc>
          <w:tcPr>
            <w:tcW w:w="3420" w:type="dxa"/>
            <w:vAlign w:val="bottom"/>
            <w:gridSpan w:val="18"/>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25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DESCRIPTION OF SECURITIES</w:t>
              </w:r>
            </w:hyperlink>
          </w:p>
        </w:tc>
        <w:tc>
          <w:tcPr>
            <w:tcW w:w="2640" w:type="dxa"/>
            <w:vAlign w:val="bottom"/>
            <w:gridSpan w:val="10"/>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17</w:t>
            </w:r>
          </w:p>
        </w:tc>
      </w:tr>
      <w:tr>
        <w:trPr>
          <w:trHeight w:val="196"/>
        </w:trPr>
        <w:tc>
          <w:tcPr>
            <w:tcW w:w="2860" w:type="dxa"/>
            <w:vAlign w:val="bottom"/>
          </w:tcPr>
          <w:p>
            <w:pPr>
              <w:spacing w:after="0"/>
              <w:rPr>
                <w:sz w:val="17"/>
                <w:szCs w:val="17"/>
                <w:color w:val="auto"/>
              </w:rPr>
            </w:pPr>
          </w:p>
        </w:tc>
        <w:tc>
          <w:tcPr>
            <w:tcW w:w="406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INTERESTS OF NAMED EXPERTS AND COUNSEL</w:t>
              </w:r>
            </w:hyperlink>
          </w:p>
        </w:tc>
        <w:tc>
          <w:tcPr>
            <w:tcW w:w="1100" w:type="dxa"/>
            <w:vAlign w:val="bottom"/>
            <w:gridSpan w:val="5"/>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20</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DISCLOSURE OF COMMISSION POSITION OF</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21</w:t>
            </w:r>
          </w:p>
        </w:tc>
      </w:tr>
      <w:tr>
        <w:trPr>
          <w:trHeight w:val="20"/>
        </w:trPr>
        <w:tc>
          <w:tcPr>
            <w:tcW w:w="2860" w:type="dxa"/>
            <w:vAlign w:val="bottom"/>
          </w:tcPr>
          <w:p>
            <w:pPr>
              <w:spacing w:after="0" w:line="20" w:lineRule="exact"/>
              <w:rPr>
                <w:sz w:val="1"/>
                <w:szCs w:val="1"/>
                <w:color w:val="auto"/>
              </w:rPr>
            </w:pPr>
          </w:p>
        </w:tc>
        <w:tc>
          <w:tcPr>
            <w:tcW w:w="218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INDEMNIFICATION FOR SECURITIES ACT LIABILITIES</w:t>
              </w:r>
            </w:hyperlink>
          </w:p>
        </w:tc>
        <w:tc>
          <w:tcPr>
            <w:tcW w:w="340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45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DESCRIPTION OF BUSINESS</w:t>
              </w:r>
            </w:hyperlink>
          </w:p>
        </w:tc>
        <w:tc>
          <w:tcPr>
            <w:tcW w:w="620" w:type="dxa"/>
            <w:vAlign w:val="bottom"/>
            <w:gridSpan w:val="4"/>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21</w:t>
            </w:r>
          </w:p>
        </w:tc>
      </w:tr>
      <w:tr>
        <w:trPr>
          <w:trHeight w:val="20"/>
        </w:trPr>
        <w:tc>
          <w:tcPr>
            <w:tcW w:w="2860" w:type="dxa"/>
            <w:vAlign w:val="bottom"/>
          </w:tcPr>
          <w:p>
            <w:pPr>
              <w:spacing w:after="0" w:line="20" w:lineRule="exact"/>
              <w:rPr>
                <w:sz w:val="1"/>
                <w:szCs w:val="1"/>
                <w:color w:val="auto"/>
              </w:rPr>
            </w:pPr>
          </w:p>
        </w:tc>
        <w:tc>
          <w:tcPr>
            <w:tcW w:w="218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CERTAIN RELATIONSHIPS AND RELATED TRANSACTIONS</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28</w:t>
            </w:r>
          </w:p>
        </w:tc>
      </w:tr>
      <w:tr>
        <w:trPr>
          <w:trHeight w:val="196"/>
        </w:trPr>
        <w:tc>
          <w:tcPr>
            <w:tcW w:w="2860" w:type="dxa"/>
            <w:vAlign w:val="bottom"/>
          </w:tcPr>
          <w:p>
            <w:pPr>
              <w:spacing w:after="0"/>
              <w:rPr>
                <w:sz w:val="17"/>
                <w:szCs w:val="17"/>
                <w:color w:val="auto"/>
              </w:rPr>
            </w:pPr>
          </w:p>
        </w:tc>
        <w:tc>
          <w:tcPr>
            <w:tcW w:w="48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MARKET FOR COMMON EQUITY AND RELATED</w:t>
              </w:r>
            </w:hyperlink>
          </w:p>
        </w:tc>
        <w:tc>
          <w:tcPr>
            <w:tcW w:w="300" w:type="dxa"/>
            <w:vAlign w:val="bottom"/>
            <w:gridSpan w:val="2"/>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28</w:t>
            </w:r>
          </w:p>
        </w:tc>
      </w:tr>
      <w:tr>
        <w:trPr>
          <w:trHeight w:val="196"/>
        </w:trPr>
        <w:tc>
          <w:tcPr>
            <w:tcW w:w="2860" w:type="dxa"/>
            <w:vAlign w:val="bottom"/>
          </w:tcPr>
          <w:p>
            <w:pPr>
              <w:spacing w:after="0"/>
              <w:rPr>
                <w:sz w:val="17"/>
                <w:szCs w:val="17"/>
                <w:color w:val="auto"/>
              </w:rPr>
            </w:pPr>
          </w:p>
        </w:tc>
        <w:tc>
          <w:tcPr>
            <w:tcW w:w="4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STOCKHOLDER MATTERS</w:t>
              </w:r>
            </w:hyperlink>
          </w:p>
        </w:tc>
        <w:tc>
          <w:tcPr>
            <w:tcW w:w="1140" w:type="dxa"/>
            <w:vAlign w:val="bottom"/>
            <w:gridSpan w:val="6"/>
          </w:tcPr>
          <w:p>
            <w:pPr>
              <w:spacing w:after="0"/>
              <w:rPr>
                <w:sz w:val="17"/>
                <w:szCs w:val="17"/>
                <w:color w:val="auto"/>
              </w:rPr>
            </w:pPr>
          </w:p>
        </w:tc>
        <w:tc>
          <w:tcPr>
            <w:tcW w:w="340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218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EXECUTIVE COMPENSATION</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31</w:t>
            </w:r>
          </w:p>
        </w:tc>
      </w:tr>
      <w:tr>
        <w:trPr>
          <w:trHeight w:val="196"/>
        </w:trPr>
        <w:tc>
          <w:tcPr>
            <w:tcW w:w="286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FINANCIAL STATEMENTS</w:t>
              </w:r>
            </w:hyperlink>
          </w:p>
        </w:tc>
        <w:tc>
          <w:tcPr>
            <w:tcW w:w="260" w:type="dxa"/>
            <w:vAlign w:val="bottom"/>
            <w:tcBorders>
              <w:top w:val="single" w:sz="8" w:color="0000EE"/>
            </w:tcBorders>
            <w:gridSpan w:val="4"/>
          </w:tcPr>
          <w:p>
            <w:pPr>
              <w:spacing w:after="0"/>
              <w:rPr>
                <w:sz w:val="17"/>
                <w:szCs w:val="17"/>
                <w:color w:val="auto"/>
              </w:rPr>
            </w:pPr>
          </w:p>
        </w:tc>
        <w:tc>
          <w:tcPr>
            <w:tcW w:w="2720" w:type="dxa"/>
            <w:vAlign w:val="bottom"/>
            <w:gridSpan w:val="11"/>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34</w:t>
            </w:r>
          </w:p>
        </w:tc>
      </w:tr>
      <w:tr>
        <w:trPr>
          <w:trHeight w:val="196"/>
        </w:trPr>
        <w:tc>
          <w:tcPr>
            <w:tcW w:w="2860" w:type="dxa"/>
            <w:vAlign w:val="bottom"/>
          </w:tcPr>
          <w:p>
            <w:pPr>
              <w:spacing w:after="0"/>
              <w:rPr>
                <w:sz w:val="17"/>
                <w:szCs w:val="17"/>
                <w:color w:val="auto"/>
              </w:rPr>
            </w:pPr>
          </w:p>
        </w:tc>
        <w:tc>
          <w:tcPr>
            <w:tcW w:w="496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CHANGES IN AND DISAGREEMENTS WITH ACCOUNTANTS</w:t>
              </w:r>
            </w:hyperlink>
          </w:p>
        </w:tc>
        <w:tc>
          <w:tcPr>
            <w:tcW w:w="200" w:type="dxa"/>
            <w:vAlign w:val="bottom"/>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35</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AVAILABLE INFORMATION</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35</w:t>
            </w:r>
          </w:p>
        </w:tc>
      </w:tr>
      <w:tr>
        <w:trPr>
          <w:trHeight w:val="426"/>
        </w:trPr>
        <w:tc>
          <w:tcPr>
            <w:tcW w:w="286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224"/>
        </w:trPr>
        <w:tc>
          <w:tcPr>
            <w:tcW w:w="6080" w:type="dxa"/>
            <w:vAlign w:val="bottom"/>
            <w:gridSpan w:val="15"/>
          </w:tcPr>
          <w:p>
            <w:pPr>
              <w:jc w:val="right"/>
              <w:ind w:right="32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is part of a registration statement we filed with the Securities and Exchange Commission, or the SEC. Under this registration process, the selling shareholders may, from time to time, offer and sell up to 9,137,472 shares of our common stock, as described in this prospectus, in one or more offerings. This prospectus provides you with a general description of the securities the selling shareholders may offer. You should read this prospectus carefully before making an investment decision.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 may only rely on the information contained in this prospectus or that we have referred you to. We have not authorized anyone to provide you with additional or different information. This prospectus does not constitute an offer to sell or a solicitation of an offer to buy any securities other than the shares of our common stock offered by this prospectus. This prospectus does not constitute an offer to sell or a solicitation of an offer to buy any common stock in any circumstances or any jurisdiction in which such offer or solicitation is not permitted. You should not assume that the information contained in this prospectus is accurate as of any date other than the date on the front cover of this prospectus regardless of the time of delivery of this prospectus or any sale of our common stock. The rules of the SEC may require us to update this prospectus in the future.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used in this prospectus, unless the context requires otherwise, the terms “we”, “us”, “our”, or “the Company” refer to OptimizeRx Corp. and its subsidiaries on a consolidated basis. References to “Selling Shareholders” refer to those shareholders listed herein under “Selling Shareholders” and their successors, assignees and permitted transferees.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of 1933, as amended (the “Securities Act”), and Section 21E of the Securities Exchange Act of 1934, as amended (the “Exchange Act”), about the Company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the Company and its subsidiaries. We caution our shareholders and other readers not to place undue reliance on such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the section entitled “Risk Factors” beginning on page 7 of this prospectus.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and in the documents incorporated by reference in this prospectus and does not contain all the information you will need in making your investment decision. You should read carefully this entire prospectus and the documents incorporated by reference in this prospectus before making an investment decision, especially the information presented under the heading “Risk Factors.”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Summary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provide unique consumer and physician platforms and strategies to help patients better afford and comply with their medicines and healthcare products, while offering pharmaceutical and healthcare companies more effective ways to expand physician and patient awareness, access and adherence to their medications and available product support.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core product offering is our SampleMD™ software application which delivers an automated system that replaces traditional physical drug samples by enabling doctors or other healthcare providers to automatically print and electronically distribute sample vouchers or co-pay discount coupons within their ePrescribing/ EHR (electronic health record) system or from their computer desktops. Through SampleMD, pharmaceutical and biotech manufacturers have a digital paperless platform to directly offer patient's critical cost savings, patient education and adherence tools-- right at point of prescribing.</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consumer support website, www.OPTIMIZERx.com and our subscriber base exceeding 2.5 million patients, continues to grow each month and we believe is quickly becoming the preferred way to access branded prescription vouchers, co-pay savings and other support programs.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March 2014 Private Placement Financing and Exercise of Redemption Option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17, 2014 (the “March 2014 Private Placement”), we entered into a Stock Purchase Agreement (the “Purchase Agreement”) with certain accredited investors (the “Purchasers”) pursuant to which we: (i) sold to the Purchasers an aggregate of 8,333,333 shares of our Common Stock at a price per share of $1.20 (the “Common Shares”) for aggregate gross proceeds of $10 million and (ii) issued warrants to purchase up to 804,139 shares of the our Common Stock to our placement agents (the “Agent Warrants”). Placement Agents also received commissions equal to approximately 9.7% of the gross proceeds, for an aggregate commission of approximately $970,000, including reimbursements for their reasonable out of pocket expenses.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used the net proceeds of the March 2014 Private Placement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35 shares of Series A Convertible Preferred Stock, 30 shares of Series B Convertible Preferred Stock, 886,340 shares of common stock, and warrants to purchase 10,000,000 shares of common stock held by Vicis in our company. The balance of the net proceeds will be used for working capital purposes.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March 2014 Private Placement, we entered into a registration rights agreement with the Purchasers (the “Registration Rights Agreement”), pursuant to which we agreed to register for resale the Common Shares acquired by the Purchasers (the “Registrable Securities”). Pursuant to the Registration Rights Agreement, we agreed to use our reasonable best efforts to file a registration statement (the “Registration Statement”) with the Securities and Exchange Commission (the “SEC”) for the resale of the Registrable Securities within 30 days following the close of the March 2014 Private Placement and to use our reasonable best efforts to cause the Registration Statement to be declared effective as soon as practicable after the filing thereof, but in any event no later than 90 days following the close of the March 2014 Private Placement (or 120 days following the close of the March 2014 Private Placement if the SEC determines to review the Registration Statement).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the Registration Statement, among other things, (i) has not been filed by 30 days following the close of the March 2014 Private Placement, (ii) has not been declared effective by 90 days following the close of the Offering (or 120 days following the close of the Offering in the event the SEC determines to review the Registration Statement), or (iii) ceases to remain continuously effective as to all Registrable Securities for more than 10 consecutive days or 15 days during any 12-month period, then we have agreed to make payments to each Purchaser as liquidated damages in an amount equal to 1.0% of the aggregate amount invested by each such Purchaser per 30-day period, up to a maximum aggregate liquidated damages amount equal to 6% of the aggregate amount invested by each such Purchaser. In addition, we have agreed to keep the Registration Statement continuously effective until the earliest to occur of (i) the date on which all of the Registrable Securities registered thereunder have been sold and (ii) the date on which all of the Registrable Securities covered by the Registration Statement may be sold without restriction pursuant to Rule 144 under the Securities Act.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420"/>
          </w:cols>
          <w:pgMar w:left="240" w:top="233"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by the Selling Shareholders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9,137,472 shares of common stock, consisting of 8,333,333 Common Shares and Agent Warrants to purchase up to 804,139 shares of the our common stock.</w:t>
      </w:r>
    </w:p>
    <w:p>
      <w:pPr>
        <w:spacing w:after="0" w:line="170" w:lineRule="exact"/>
        <w:rPr>
          <w:sz w:val="20"/>
          <w:szCs w:val="20"/>
          <w:color w:val="auto"/>
        </w:rPr>
      </w:pPr>
    </w:p>
    <w:p>
      <w:pPr>
        <w:sectPr>
          <w:pgSz w:w="11900" w:h="16838" w:orient="portrait"/>
          <w:cols w:equalWidth="0" w:num="2">
            <w:col w:w="3700" w:space="640"/>
            <w:col w:w="70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Selling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Selling Shareholders</w:t>
      </w:r>
      <w:r>
        <w:rPr>
          <w:rFonts w:ascii="Arial" w:cs="Arial" w:eastAsia="Arial" w:hAnsi="Arial"/>
          <w:sz w:val="16"/>
          <w:szCs w:val="16"/>
          <w:color w:val="auto"/>
        </w:rPr>
        <w:t>” beginning on page 12 .</w:t>
      </w:r>
    </w:p>
    <w:p>
      <w:pPr>
        <w:spacing w:after="0" w:line="200" w:lineRule="exact"/>
        <w:rPr>
          <w:sz w:val="20"/>
          <w:szCs w:val="20"/>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Common stock outstanding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23,412,113 common shares as of May 20, 2014.</w:t>
      </w:r>
    </w:p>
    <w:p>
      <w:pPr>
        <w:spacing w:after="0" w:line="200" w:lineRule="exact"/>
        <w:rPr>
          <w:sz w:val="20"/>
          <w:szCs w:val="20"/>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will not receive any proceeds from the sale or other disposition of the shares of common stock covered by this prospectus. However, upon any exercise of the Agent Warrants for cash, such Selling Shareholders would pay us the exercise price of the warrants. Cash received from exercise of Agent Warrants will be used for general corporate purposes. Additionally, the Warrants are exercisable on a cashless basis. If any Agent Warrants are exercised on a cashless basis, we would not receive any cash payment from such Selling Shareholders upon any exercise of such Agent Warrants. See “</w:t>
      </w:r>
      <w:r>
        <w:rPr>
          <w:rFonts w:ascii="Arial" w:cs="Arial" w:eastAsia="Arial" w:hAnsi="Arial"/>
          <w:sz w:val="17"/>
          <w:szCs w:val="17"/>
          <w:i w:val="1"/>
          <w:iCs w:val="1"/>
          <w:color w:val="auto"/>
        </w:rPr>
        <w:t>Use of Proceeds</w:t>
      </w:r>
      <w:r>
        <w:rPr>
          <w:rFonts w:ascii="Arial" w:cs="Arial" w:eastAsia="Arial" w:hAnsi="Arial"/>
          <w:sz w:val="17"/>
          <w:szCs w:val="17"/>
          <w:color w:val="auto"/>
        </w:rPr>
        <w:t>” on page 12 .</w:t>
      </w:r>
    </w:p>
    <w:p>
      <w:pPr>
        <w:spacing w:after="0" w:line="178" w:lineRule="exact"/>
        <w:rPr>
          <w:sz w:val="20"/>
          <w:szCs w:val="20"/>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rPr>
          <w:sz w:val="20"/>
          <w:szCs w:val="20"/>
          <w:color w:val="auto"/>
        </w:rPr>
      </w:pPr>
      <w:r>
        <w:rPr>
          <w:rFonts w:ascii="Arial" w:cs="Arial" w:eastAsia="Arial" w:hAnsi="Arial"/>
          <w:sz w:val="17"/>
          <w:szCs w:val="17"/>
          <w:color w:val="auto"/>
        </w:rPr>
        <w:t>OTC Bulletin Board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Common Stock is quoted on the OTC Bulletin Board under the ticker symbol “OPRX”.</w:t>
      </w:r>
    </w:p>
    <w:p>
      <w:pPr>
        <w:spacing w:after="0" w:line="211" w:lineRule="exact"/>
        <w:rPr>
          <w:sz w:val="20"/>
          <w:szCs w:val="20"/>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You should consider the matters set forth under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7 , as well as other cautionary statements throughout or incorporated by reference in this prospectus, before deciding to invest in shares of our common stock.</w:t>
      </w:r>
    </w:p>
    <w:p>
      <w:pPr>
        <w:spacing w:after="0" w:line="177" w:lineRule="exact"/>
        <w:rPr>
          <w:sz w:val="20"/>
          <w:szCs w:val="20"/>
          <w:color w:val="auto"/>
        </w:rPr>
      </w:pPr>
    </w:p>
    <w:p>
      <w:pPr>
        <w:sectPr>
          <w:pgSz w:w="11900" w:h="16838" w:orient="portrait"/>
          <w:cols w:equalWidth="0" w:num="2">
            <w:col w:w="3620" w:space="720"/>
            <w:col w:w="708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40" w:type="dxa"/>
            <w:vAlign w:val="bottom"/>
            <w:gridSpan w:val="10"/>
          </w:tcPr>
          <w:p>
            <w:pPr>
              <w:jc w:val="right"/>
              <w:ind w:right="10"/>
              <w:spacing w:after="0"/>
              <w:rPr>
                <w:sz w:val="20"/>
                <w:szCs w:val="20"/>
                <w:color w:val="auto"/>
              </w:rPr>
            </w:pPr>
            <w:r>
              <w:rPr>
                <w:rFonts w:ascii="Arial" w:cs="Arial" w:eastAsia="Arial" w:hAnsi="Arial"/>
                <w:sz w:val="18"/>
                <w:szCs w:val="18"/>
                <w:b w:val="1"/>
                <w:bCs w:val="1"/>
                <w:color w:val="auto"/>
                <w:w w:val="93"/>
              </w:rPr>
              <w:t>Summary Financial Information</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8"/>
        </w:trPr>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As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8"/>
                <w:szCs w:val="18"/>
                <w:color w:val="auto"/>
                <w:w w:val="97"/>
              </w:rPr>
              <w:t>As of</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4"/>
          </w:tcPr>
          <w:p>
            <w:pPr>
              <w:jc w:val="center"/>
              <w:ind w:right="60"/>
              <w:spacing w:after="0"/>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640" w:type="dxa"/>
            <w:vAlign w:val="bottom"/>
            <w:gridSpan w:val="4"/>
          </w:tcPr>
          <w:p>
            <w:pPr>
              <w:ind w:left="1140"/>
              <w:spacing w:after="0"/>
              <w:rPr>
                <w:sz w:val="20"/>
                <w:szCs w:val="20"/>
                <w:color w:val="auto"/>
              </w:rPr>
            </w:pPr>
            <w:r>
              <w:rPr>
                <w:rFonts w:ascii="Arial" w:cs="Arial" w:eastAsia="Arial" w:hAnsi="Arial"/>
                <w:sz w:val="18"/>
                <w:szCs w:val="18"/>
                <w:color w:val="auto"/>
                <w:w w:val="92"/>
              </w:rPr>
              <w:t>Balance Sheet Data</w:t>
            </w: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Arial" w:cs="Arial" w:eastAsia="Arial" w:hAnsi="Arial"/>
                <w:sz w:val="18"/>
                <w:szCs w:val="18"/>
                <w:color w:val="auto"/>
                <w:w w:val="89"/>
              </w:rPr>
              <w:t>2013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color w:val="auto"/>
                <w:w w:val="89"/>
              </w:rPr>
              <w:t>2014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Cash</w:t>
            </w:r>
          </w:p>
        </w:tc>
        <w:tc>
          <w:tcPr>
            <w:tcW w:w="4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84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CC"/>
          </w:tcPr>
          <w:p>
            <w:pPr>
              <w:spacing w:after="0"/>
              <w:rPr>
                <w:sz w:val="18"/>
                <w:szCs w:val="18"/>
                <w:color w:val="auto"/>
              </w:rPr>
            </w:pPr>
          </w:p>
        </w:tc>
        <w:tc>
          <w:tcPr>
            <w:tcW w:w="80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7"/>
              </w:rPr>
              <w:t>1,118,243</w:t>
            </w:r>
          </w:p>
        </w:tc>
        <w:tc>
          <w:tcPr>
            <w:tcW w:w="6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CC"/>
          </w:tcPr>
          <w:p>
            <w:pPr>
              <w:spacing w:after="0"/>
              <w:rPr>
                <w:sz w:val="18"/>
                <w:szCs w:val="18"/>
                <w:color w:val="auto"/>
              </w:rPr>
            </w:pPr>
          </w:p>
        </w:tc>
        <w:tc>
          <w:tcPr>
            <w:tcW w:w="8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4"/>
              </w:rPr>
              <w:t>4,030,730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6"/>
              </w:rPr>
              <w:t>Total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4,008,020</w:t>
            </w: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6,515,322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shd w:val="clear" w:color="auto" w:fill="CCEECC"/>
          </w:tcPr>
          <w:p>
            <w:pPr>
              <w:spacing w:after="0"/>
              <w:rPr>
                <w:sz w:val="20"/>
                <w:szCs w:val="20"/>
                <w:color w:val="auto"/>
              </w:rPr>
            </w:pPr>
            <w:r>
              <w:rPr>
                <w:rFonts w:ascii="Arial" w:cs="Arial" w:eastAsia="Arial" w:hAnsi="Arial"/>
                <w:sz w:val="18"/>
                <w:szCs w:val="18"/>
                <w:color w:val="auto"/>
              </w:rPr>
              <w:t>Liabilities</w:t>
            </w:r>
          </w:p>
        </w:tc>
        <w:tc>
          <w:tcPr>
            <w:tcW w:w="4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CC"/>
          </w:tcPr>
          <w:p>
            <w:pPr>
              <w:spacing w:after="0"/>
              <w:rPr>
                <w:sz w:val="18"/>
                <w:szCs w:val="18"/>
                <w:color w:val="auto"/>
              </w:rPr>
            </w:pPr>
          </w:p>
        </w:tc>
        <w:tc>
          <w:tcPr>
            <w:tcW w:w="8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1,968,652</w:t>
            </w:r>
          </w:p>
        </w:tc>
        <w:tc>
          <w:tcPr>
            <w:tcW w:w="60" w:type="dxa"/>
            <w:vAlign w:val="bottom"/>
            <w:shd w:val="clear" w:color="auto" w:fill="CCEECC"/>
          </w:tcPr>
          <w:p>
            <w:pPr>
              <w:spacing w:after="0"/>
              <w:rPr>
                <w:sz w:val="18"/>
                <w:szCs w:val="18"/>
                <w:color w:val="auto"/>
              </w:rPr>
            </w:pPr>
          </w:p>
        </w:tc>
        <w:tc>
          <w:tcPr>
            <w:tcW w:w="1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CC"/>
          </w:tcPr>
          <w:p>
            <w:pPr>
              <w:spacing w:after="0"/>
              <w:rPr>
                <w:sz w:val="18"/>
                <w:szCs w:val="18"/>
                <w:color w:val="auto"/>
              </w:rPr>
            </w:pP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4"/>
              </w:rPr>
              <w:t>1,912,659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2"/>
        </w:trPr>
        <w:tc>
          <w:tcPr>
            <w:tcW w:w="2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40" w:type="dxa"/>
            <w:vAlign w:val="bottom"/>
            <w:gridSpan w:val="4"/>
          </w:tcPr>
          <w:p>
            <w:pPr>
              <w:spacing w:after="0" w:line="201" w:lineRule="exact"/>
              <w:rPr>
                <w:sz w:val="20"/>
                <w:szCs w:val="20"/>
                <w:color w:val="auto"/>
              </w:rPr>
            </w:pPr>
            <w:r>
              <w:rPr>
                <w:rFonts w:ascii="Arial" w:cs="Arial" w:eastAsia="Arial" w:hAnsi="Arial"/>
                <w:sz w:val="18"/>
                <w:szCs w:val="18"/>
                <w:color w:val="auto"/>
              </w:rPr>
              <w:t>Total Stockholders’ Equity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30"/>
        </w:trPr>
        <w:tc>
          <w:tcPr>
            <w:tcW w:w="2300" w:type="dxa"/>
            <w:vAlign w:val="bottom"/>
          </w:tcPr>
          <w:p>
            <w:pPr>
              <w:spacing w:after="0"/>
              <w:rPr>
                <w:sz w:val="20"/>
                <w:szCs w:val="20"/>
                <w:color w:val="auto"/>
              </w:rPr>
            </w:pPr>
          </w:p>
        </w:tc>
        <w:tc>
          <w:tcPr>
            <w:tcW w:w="2120" w:type="dxa"/>
            <w:vAlign w:val="bottom"/>
            <w:gridSpan w:val="2"/>
          </w:tcPr>
          <w:p>
            <w:pPr>
              <w:ind w:left="1140"/>
              <w:spacing w:after="0"/>
              <w:rPr>
                <w:sz w:val="20"/>
                <w:szCs w:val="20"/>
                <w:color w:val="auto"/>
              </w:rPr>
            </w:pPr>
            <w:r>
              <w:rPr>
                <w:rFonts w:ascii="Arial" w:cs="Arial" w:eastAsia="Arial" w:hAnsi="Arial"/>
                <w:sz w:val="18"/>
                <w:szCs w:val="18"/>
                <w:color w:val="auto"/>
              </w:rPr>
              <w:t>(Deficit)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2,039,368</w:t>
            </w:r>
          </w:p>
        </w:tc>
        <w:tc>
          <w:tcPr>
            <w:tcW w:w="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4,602,663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8"/>
        </w:trPr>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For the</w:t>
            </w:r>
          </w:p>
        </w:tc>
        <w:tc>
          <w:tcPr>
            <w:tcW w:w="100" w:type="dxa"/>
            <w:vAlign w:val="bottom"/>
          </w:tcPr>
          <w:p>
            <w:pPr>
              <w:spacing w:after="0"/>
              <w:rPr>
                <w:sz w:val="24"/>
                <w:szCs w:val="24"/>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7"/>
              </w:rPr>
              <w:t>For the</w:t>
            </w:r>
          </w:p>
        </w:tc>
        <w:tc>
          <w:tcPr>
            <w:tcW w:w="228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Three</w:t>
            </w: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9"/>
              </w:rPr>
              <w:t>Three</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8"/>
              </w:rPr>
              <w:t>For the year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90"/>
              </w:rPr>
              <w:t>For the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Months</w:t>
            </w: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91"/>
              </w:rPr>
              <w:t>Months</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3"/>
              </w:rPr>
              <w:t>ended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3"/>
              </w:rPr>
              <w:t>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ended</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December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92"/>
              </w:rPr>
              <w:t>March 31,</w:t>
            </w:r>
          </w:p>
        </w:tc>
        <w:tc>
          <w:tcPr>
            <w:tcW w:w="2280" w:type="dxa"/>
            <w:vAlign w:val="bottom"/>
          </w:tcPr>
          <w:p>
            <w:pPr>
              <w:spacing w:after="0"/>
              <w:rPr>
                <w:sz w:val="18"/>
                <w:szCs w:val="18"/>
                <w:color w:val="auto"/>
              </w:rPr>
            </w:pPr>
          </w:p>
        </w:tc>
      </w:tr>
      <w:tr>
        <w:trPr>
          <w:trHeight w:val="230"/>
        </w:trPr>
        <w:tc>
          <w:tcPr>
            <w:tcW w:w="4420" w:type="dxa"/>
            <w:vAlign w:val="bottom"/>
            <w:gridSpan w:val="3"/>
          </w:tcPr>
          <w:p>
            <w:pPr>
              <w:ind w:left="2300"/>
              <w:spacing w:after="0"/>
              <w:rPr>
                <w:sz w:val="20"/>
                <w:szCs w:val="20"/>
                <w:color w:val="auto"/>
              </w:rPr>
            </w:pPr>
            <w:r>
              <w:rPr>
                <w:rFonts w:ascii="Arial" w:cs="Arial" w:eastAsia="Arial" w:hAnsi="Arial"/>
                <w:sz w:val="18"/>
                <w:szCs w:val="18"/>
                <w:color w:val="auto"/>
              </w:rPr>
              <w:t>Statement of Operations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31, 2013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31, 2012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2120" w:type="dxa"/>
            <w:vAlign w:val="bottom"/>
            <w:tcBorders>
              <w:top w:val="single" w:sz="8" w:color="CCEECC"/>
            </w:tcBorders>
            <w:gridSpan w:val="2"/>
            <w:shd w:val="clear" w:color="auto" w:fill="CCEECC"/>
          </w:tcPr>
          <w:p>
            <w:pPr>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7"/>
              </w:rPr>
              <w:t>4,957,016</w:t>
            </w:r>
          </w:p>
        </w:tc>
        <w:tc>
          <w:tcPr>
            <w:tcW w:w="40" w:type="dxa"/>
            <w:vAlign w:val="bottom"/>
            <w:tcBorders>
              <w:top w:val="single" w:sz="8" w:color="auto"/>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7"/>
              </w:rPr>
              <w:t>1,989,086</w:t>
            </w:r>
          </w:p>
        </w:tc>
        <w:tc>
          <w:tcPr>
            <w:tcW w:w="60" w:type="dxa"/>
            <w:vAlign w:val="bottom"/>
            <w:tcBorders>
              <w:top w:val="single" w:sz="8" w:color="auto"/>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7"/>
              </w:rPr>
              <w:t>1,317,347</w:t>
            </w:r>
          </w:p>
        </w:tc>
        <w:tc>
          <w:tcPr>
            <w:tcW w:w="40" w:type="dxa"/>
            <w:vAlign w:val="bottom"/>
            <w:tcBorders>
              <w:top w:val="single" w:sz="8" w:color="auto"/>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669,290</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w w:val="92"/>
              </w:rPr>
              <w:t>Income (Loss) for the Period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215,847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(454,553)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(653,315)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(224,438)</w:t>
            </w:r>
          </w:p>
        </w:tc>
        <w:tc>
          <w:tcPr>
            <w:tcW w:w="2280" w:type="dxa"/>
            <w:vAlign w:val="bottom"/>
          </w:tcPr>
          <w:p>
            <w:pPr>
              <w:spacing w:after="0"/>
              <w:rPr>
                <w:sz w:val="20"/>
                <w:szCs w:val="20"/>
                <w:color w:val="auto"/>
              </w:rPr>
            </w:pPr>
          </w:p>
        </w:tc>
      </w:tr>
      <w:tr>
        <w:trPr>
          <w:trHeight w:val="418"/>
        </w:trPr>
        <w:tc>
          <w:tcPr>
            <w:tcW w:w="2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224"/>
        </w:trPr>
        <w:tc>
          <w:tcPr>
            <w:tcW w:w="2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Readers and prospective investors in our common stock should carefully consider the following risk factors as well as the other information contained or incorporated by reference in this prospectus.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If any of the following risks actually occurs, our financial condition, results of operations and liquidity could be materially adversely affected. If this were to happen, the value of our common stock could decline, and if you invest in our common stock, you could lose all or part of your investment.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discussion below highlights some important risks we have identified related to our business and operations and an investment in shares of our common stock, but these should not be assumed to be the only factors that could affect our future performance and condition, financial and otherwise. We do not have a policy of updating or revising forward-looking statements except as otherwise required by law, and silence by management over time should not be construed to mean that actual events are occurring as estimated in such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Business and Financial Condition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historically experienced losses and only recently experienced profits, if we are unable to achieve profitability, our financial condition and company could suffer.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the inception of our business we have historically incurred losses. We have only recently experienced profits and increased revenues. Our ability to maintain profitability depends on our ability to generate sales through our technology platform and advertising model while maintaining reasonable expense levels. If we do not achieve sustainable profitability, we may not be able to continue our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recently learned that our financial statements have errors regarding revenue share expenses, our results of operations may be different than disclosed in our financial statements.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recently announced a needed adjustment to the accounting policy so that revenue share expenses are properly accrued each quarter and at the end of the year, versus when they are paid. The method of recording revenue share payments previously aligned with our contractual terms with our platform partners -- which generally required payment 30 days after we received the fees from our sponsored manufacturers in the following quarter. Therefore, for year-end 2012 and each quarter of 2013, there will be a journal entry needed to record the revenue share amounts due on an accrual basis rather than recording these as an expense when they are paid. We have disclosed the restated numbers in our annual report on Form 10-K and will do so for subsequent filings. As such, the financial numbers will be adjusted in our ongoing SEC filings and the results of operations may differ from what we have disclosed.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success depends on the expertise and continued service of our Chief Executive Officer, David Harrell, our Chief Operating Officer, David Lester, and certain other key technical personnel. It may be difficult to find a sufficiently qualified individual to replace management or other key technical personnel in the event of death, disability or resignation, resulting in our being unable to implement our business plan and we having no operations or revenues.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We believe that it will be able to attract competent employees, but no assurance can be given that we will be successful in this regard. If we are unable to engage and retain the necessary personnel, its business may be materially and adversely affected.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work with many leading pharmaceutical companies, including Pfizer, Lilly and Novartis. Our failure to retain existing customers or expand with additional customers could harmfully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and DrFirst. We will need to maintain these relationships as well as diversify them. The inability to do so could adversely impact our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 to the labyrinth of regulations in healthcare space, state and federal, as well as political sensitivity of healthcare delivery the proposed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1160" w:hanging="571"/>
        <w:spacing w:after="0" w:line="253"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 w:lineRule="exact"/>
        <w:rPr>
          <w:rFonts w:ascii="Arial" w:cs="Arial" w:eastAsia="Arial" w:hAnsi="Arial"/>
          <w:sz w:val="18"/>
          <w:szCs w:val="18"/>
          <w:color w:val="auto"/>
        </w:rPr>
      </w:pPr>
    </w:p>
    <w:p>
      <w:pPr>
        <w:jc w:val="both"/>
        <w:ind w:left="1160" w:hanging="571"/>
        <w:spacing w:after="0" w:line="255"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1160" w:hanging="571"/>
        <w:spacing w:after="0" w:line="258"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9" w:lineRule="exact"/>
        <w:rPr>
          <w:rFonts w:ascii="Arial" w:cs="Arial" w:eastAsia="Arial" w:hAnsi="Arial"/>
          <w:sz w:val="18"/>
          <w:szCs w:val="18"/>
          <w:color w:val="auto"/>
        </w:rPr>
      </w:pPr>
    </w:p>
    <w:p>
      <w:pPr>
        <w:ind w:left="1160" w:hanging="571"/>
        <w:spacing w:after="0" w:line="261"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 and</w:t>
      </w:r>
    </w:p>
    <w:p>
      <w:pPr>
        <w:spacing w:after="0" w:line="9" w:lineRule="exact"/>
        <w:rPr>
          <w:rFonts w:ascii="Arial" w:cs="Arial" w:eastAsia="Arial" w:hAnsi="Arial"/>
          <w:sz w:val="18"/>
          <w:szCs w:val="18"/>
          <w:color w:val="auto"/>
        </w:rPr>
      </w:pPr>
    </w:p>
    <w:p>
      <w:pPr>
        <w:ind w:left="1160" w:hanging="571"/>
        <w:spacing w:after="0" w:line="290"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decreases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are embroiled in various lawsuits with uncertain consequences, the outcome of potential judgments may negatively affect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involved in the following lawsuits.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6, 2013, we filed a Complaint for Patent Infringement against Physicians Interactive Inc., Physicians Interactive Holdings,Inc. and Skyscape.com, in which we allege that one or more of those entities has infringed on United States Patent No. 8,341,015. As of September 30, 2013, the defendants responded denying the assertions made in our Complaint, and the matter is currently being litigated in federal court in Detroit, Michigan.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recently learned of an action in New Jersey brought by Milton J. Wilson and the Milton Wilson 2000 Trust. Last November 2013, we were served notice that we would be added as an additional party to the case titled Milton Wilson et al. v. Continental Capital Corporation, C-289-06, in the Superior Court of New Jersey. There is an existing default judgment of roughly $1,000,000 in the case. The Court denied plaintiffs’ request to add us a party to the caption, but allowed plaintiffs to file a motion to add us as a party, which was subsequently granted.</w:t>
      </w:r>
    </w:p>
    <w:p>
      <w:pPr>
        <w:spacing w:after="0" w:line="180"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In their complaint, Plaintiffs’ underlying claim alleged that a predecessor of ours, Continental Capital, breached a settlement agreement it entered into with plaintiffs in 2001. We have filed an answer effectively denying the allegations in the complaint against us. Because the settlement agreement had an arbitration clause, we claimed that the lawsuit was improper. We also claimed that service was not perfected against other parties so the default judgment is void. We filed counterclaims against plaintiffs and third-party claims against persons related to plaintiffs. In these claims we allege that plaintiffs and others owned and controlled Continental Capital and wrongfully caused Continental Capital to enter the settlement agreement for no bona fide corporate purpose. To the extent, if any, that we may be liable on the default judgment, therefore, we claim that we should be indemnified by plaintiffs and others.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lawsuits are ongoing, uncertain and involve a substantial degree of risk. If we are unable to successfully defend these actions, our financial condition and results of operations will suffer.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ectPr>
          <w:pgSz w:w="11900" w:h="16838" w:orient="portrait"/>
          <w:cols w:equalWidth="0" w:num="1">
            <w:col w:w="11420"/>
          </w:cols>
          <w:pgMar w:left="240" w:top="233" w:right="239"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will be subject to the “Penny Stock” rules once our shares are quoted on the over-the-counter bulletin board, the level of trading activity in our stock may be reduced.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147"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0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shares of common stock covered by this prospectus are being sold by the Selling Shareholders. See “Selling Shareholders” below. We will not receive any proceeds from these sales of shares of our common stock. A portion of the shares covered by this prospectus are issuable upon exercise of the Agent Warrants to purchase our common stock. Upon any exercise of the Agent Warrants for cash, such Selling Shareholders would pay us the exercise price of the warrants. Cash received from exercise of Agent Warrants will be used for general corporate purposes. Additionally, the Warrants are exercisable on a cashless basis. If any Agent Warrants are exercised on a cashless basis, we would not receive any cash payment from such Selling Shareholders upon any exercise of such Agent Warrants.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Shareholders will pay any underwriting discounts and commissions and expenses incurred by the Selling Shareholders for brokerage, accounting, tax, or legal services or any other expenses incurred by the Selling Shareholders in disposing of the shares. We will bear all other costs, fees, and expenses incurred in effecting the registration of the shares covered by this prospectus, including, without limitation, all registration and filing fees, and fees and expenses of our counsel and our accountants.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will determine at what price they may sell the offered shares, and such sales may be made at prevailing market prices, or at privately negotiated prices.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prepared this prospectus to allow the Selling Shareholders or their successors, assignees or other permitted transferees to sell or otherwise dispose of, from time to time, up to 9,137,472 shares of our Common Stock. Of the shares of common stock being offered under this prospectus 8,333,333 were acquired by the purchasers in our March 2014 Private Placement and 804,139 shares are able to be acquired pursuant to the Agent Warrants we issued in connection with our March 2014 Private Placement, which Agent Warrants are currently exercisable.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shares of common stock sold to the Selling Shareholders in the March 2014 Private Placement were sold pursuant to an exemption from registration provided by Rule 506 of Regulation D under the Securities Act. In connection therewith, the investors made to us certain representations, warranties, covenants, and conditions customary for private placement investments.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presents information regarding the Selling Shareholders and the shares of our Common Stock that they may sell or otherwise dispose of from time to time under this prospectus. Percentages of beneficial ownership are based upon 23,412,113 shares of Common Stock issued and outstanding as of May 20, 2014. Beneficial ownership is determined under Section 13(d) of the Exchange Act and generally includes voting or investment power with respect to securities and including any securities that grant the Selling Shareholders the right to acquire Common Stock within 60 days of May 20, 2014. Unless otherwise noted, each person or group identified possesses sole voting and investment power with respect to the shares, subject to community property laws where applicable.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know when or in what amounts the Selling Shareholders may sell or otherwise dispose of the shares covered hereby. We currently have no agreements, arrangements or understandings with the Selling Shareholders regarding the sale of any of the shares by them other than the registration rights agreement described below. The Selling Shareholders might not sell any or all of the shares covered by this prospectus or may sell or dispose of some or all of the shares other than pursuant to this prospectus. Because the Selling Shareholders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Shareholders after completion of the offering.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Selling Shareholder has indicated to us that neither it nor any of its affiliates has held any position or office or had any other material relationship with us in the past three years except as described in the footnotes to the table.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shares of common stock being offered under this prospectus may be offered for sale from time to time during the period the registration statement of which this prospectus is a part remains effective, by or for the accounts of the Selling Shareholders named below.</w:t>
      </w:r>
    </w:p>
    <w:p>
      <w:pPr>
        <w:spacing w:after="0" w:line="166"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w w:val="99"/>
              </w:rPr>
              <w:t>Shares of Common Stock</w:t>
            </w:r>
          </w:p>
        </w:tc>
        <w:tc>
          <w:tcPr>
            <w:tcW w:w="146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Beneficially</w:t>
            </w:r>
          </w:p>
        </w:tc>
        <w:tc>
          <w:tcPr>
            <w:tcW w:w="1160" w:type="dxa"/>
            <w:vAlign w:val="bottom"/>
          </w:tcPr>
          <w:p>
            <w:pPr>
              <w:spacing w:after="0"/>
              <w:rPr>
                <w:sz w:val="16"/>
                <w:szCs w:val="16"/>
                <w:color w:val="auto"/>
              </w:rPr>
            </w:pPr>
          </w:p>
        </w:tc>
        <w:tc>
          <w:tcPr>
            <w:tcW w:w="13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Beneficially</w:t>
            </w:r>
          </w:p>
        </w:tc>
        <w:tc>
          <w:tcPr>
            <w:tcW w:w="14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As a Percent of</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Owned Prior to</w:t>
            </w:r>
          </w:p>
        </w:tc>
        <w:tc>
          <w:tcPr>
            <w:tcW w:w="1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Owned After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Total Outstanding</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the Sale of all</w:t>
            </w:r>
          </w:p>
        </w:tc>
        <w:tc>
          <w:tcPr>
            <w:tcW w:w="1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the Sale of all</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After the Sale of</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 covered by</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Covered by</w:t>
            </w:r>
          </w:p>
        </w:tc>
        <w:tc>
          <w:tcPr>
            <w:tcW w:w="282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Shares covered byShares covered by</w:t>
            </w:r>
          </w:p>
        </w:tc>
      </w:tr>
      <w:tr>
        <w:trPr>
          <w:trHeight w:val="234"/>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Shareholder</w:t>
            </w:r>
          </w:p>
        </w:tc>
        <w:tc>
          <w:tcPr>
            <w:tcW w:w="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r>
      <w:tr>
        <w:trPr>
          <w:trHeight w:val="210"/>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Goldman Partners L.P.(1)</w:t>
            </w:r>
          </w:p>
        </w:tc>
        <w:tc>
          <w:tcPr>
            <w:tcW w:w="1420" w:type="dxa"/>
            <w:vAlign w:val="bottom"/>
            <w:tcBorders>
              <w:top w:val="single" w:sz="8" w:color="auto"/>
            </w:tcBorders>
            <w:gridSpan w:val="2"/>
            <w:shd w:val="clear" w:color="auto" w:fill="CCEECC"/>
          </w:tcPr>
          <w:p>
            <w:pPr>
              <w:jc w:val="center"/>
              <w:spacing w:after="0"/>
              <w:rPr>
                <w:sz w:val="20"/>
                <w:szCs w:val="20"/>
                <w:color w:val="auto"/>
              </w:rPr>
            </w:pPr>
            <w:r>
              <w:rPr>
                <w:rFonts w:ascii="Arial" w:cs="Arial" w:eastAsia="Arial" w:hAnsi="Arial"/>
                <w:sz w:val="18"/>
                <w:szCs w:val="18"/>
                <w:color w:val="auto"/>
                <w:w w:val="89"/>
              </w:rPr>
              <w:t>833,333</w:t>
            </w:r>
          </w:p>
        </w:tc>
        <w:tc>
          <w:tcPr>
            <w:tcW w:w="116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9"/>
              </w:rPr>
              <w:t>833,333</w:t>
            </w:r>
          </w:p>
        </w:tc>
        <w:tc>
          <w:tcPr>
            <w:tcW w:w="136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Capital Ventures International(2)</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600,000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600,000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w w:val="91"/>
              </w:rPr>
              <w:t>Michael Patrick Torok &amp; Sara Coleen Torok JT TEN</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420,000</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420,000</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Michael W. Taglich</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208,333</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208,333</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Harvey L. Poppel IRA</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521,500</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521,500</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Bradley Louis Radoff</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3,250,000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3,250,000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Richard Smithline</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Wolverine Flagship Fund Trading Limited(3)</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2,083,500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2,083,500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Robert F. Taglich</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Merriman Capital, Inc.(4)</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591,613</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591,613</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Taglich Brothers, Inc.(5)</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212,526</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212,526</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r>
    </w:tbl>
    <w:p>
      <w:pPr>
        <w:spacing w:after="0" w:line="202" w:lineRule="exact"/>
        <w:rPr>
          <w:sz w:val="20"/>
          <w:szCs w:val="20"/>
          <w:color w:val="auto"/>
        </w:rPr>
      </w:pPr>
    </w:p>
    <w:p>
      <w:pPr>
        <w:ind w:left="660" w:right="4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Goldman Partners L.P. is the record and direct beneficial owner of the shares of common stock. Neal Goldman, as General Partner of Goldman Partners, L.P., has voting and disposition power of the shares owned by Goldman Partners, L.P.</w:t>
      </w:r>
    </w:p>
    <w:p>
      <w:pPr>
        <w:spacing w:after="0" w:line="1"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Heights Capital Management, Inc., the authorized agent of Capital Ventures International, has discretionary authority to vote and dispose of the shares held by Capital Ventures International. Martin Kobinger, in his capacity as Investment Manager of Heights Capital Management, Inc., also has investment discretion and voting power over the shares held by Capital Ventures International. As a result, each of Heights Capital Management, Inc. and Mr. Kobinger may be deemed to have beneficial ownership of the securities held by Capital Ventures International that are covered hereunder. Mr. Kobinger disclaims any such beneficial ownership of such securities.</w:t>
      </w:r>
    </w:p>
    <w:p>
      <w:pPr>
        <w:spacing w:after="0" w:line="1" w:lineRule="exact"/>
        <w:rPr>
          <w:rFonts w:ascii="Arial" w:cs="Arial" w:eastAsia="Arial" w:hAnsi="Arial"/>
          <w:sz w:val="17"/>
          <w:szCs w:val="17"/>
          <w:color w:val="auto"/>
        </w:rPr>
      </w:pPr>
    </w:p>
    <w:p>
      <w:pPr>
        <w:ind w:left="660" w:right="24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Wolverine Asset Management, LLC (“WAM”) is the investment manager of Wolverine Flagship Fund Trading Limited (the “Fund”) and consequently has voting and investment power over these securities. The sole member and manager of WAM is Wolverine Holdings, L.P. (“Wolverine Holdings”). Robert R. Bellick and Christopher L. Gust are deemed to control Wolverine Trading Partners, Inc. (“WTP”), the general partner of Wolverine Holdings, and therefore may be deemed to share voting and dispositive power over these securities. Each of Mr. Bellick, Mr. Gust, WTP, Wolverine Holdings, and WAM disclaims beneficial ownership of the shares held by the Fund.</w:t>
      </w:r>
    </w:p>
    <w:p>
      <w:pPr>
        <w:spacing w:after="0" w:line="1" w:lineRule="exact"/>
        <w:rPr>
          <w:rFonts w:ascii="Arial" w:cs="Arial" w:eastAsia="Arial" w:hAnsi="Arial"/>
          <w:sz w:val="17"/>
          <w:szCs w:val="17"/>
          <w:color w:val="auto"/>
        </w:rPr>
      </w:pPr>
    </w:p>
    <w:p>
      <w:pPr>
        <w:ind w:left="660" w:right="10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Consists of warrants received as our placement agent in our March 2014 Private Placement. Merriman Capital, Inc. is a registered broker-dealer that served as the placement agent in connection with our March 2014 Private Placement. Jon Merriman is the CEO of Merriman Capital, Inc. and an affiliate of a registered-broker-dealer. Mr. Merriman has voting and dispositive power with respect to the warrants.</w:t>
      </w:r>
    </w:p>
    <w:p>
      <w:pPr>
        <w:ind w:left="660" w:right="180" w:hanging="328"/>
        <w:spacing w:after="0" w:line="30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warrants received as our placement agent in our March 2014 Private Placement. Taglich Brothers, Inc. is a registered broker-dealer that served as the placement agent in connection with our March 2014 Private Placement. Michael N. Taglich is a stockholder and executive officer of Taglich Brothers, Inc. and an affiliate of a registered-broker-dealer. Mr. Taglich has voting and dispositive power with respect to the warrants.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Selling Shareholders, or their partners, pledgees, donees, transferees or other successors that receive the shares and their corresponding registration in accordance with the registration rights agreement to which the Selling Shareholder is party (each also a selling shareholder for purposes of this prospectus), may sell up to all of the shares of our common stock shown in the table above pursuant to this Prospectus in one or more transactions from time to time as described below under “Plan of Distribution.” However, the Selling Shareholders are not obligated to sell any of the shares of our common stock offered by this prospectus.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about the Selling Shareholders may change from time to time. Any changed information with respect to which we are given notice will be included in prospectus supplements.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registering the shares of Common Stock to permit the resale of these shares of Common Stock by the Selling Shareholders and any of their transferees, pledgees, assignees, donees, and successors-in-interest from time to time after the date of this prospectus. We will not receive any of the proceeds from the sale by the Selling Shareholders of the shares of Common Stock. Upon any exercise of the Agent Warrants by payment of cash, however, we will receive the exercise price of the Agent Warrants. We will bear all fees and expenses incident to our obligation to register the shares of Common Stock.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Selling Shareholder (the “Selling Shareholders”) of the securities and any of their pledgees, assignees and successors-in-interest may, from time to time, sell any or all of their securities covered hereby on the OTC Bulletin Board, OTCQB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Shareholders to sell a specified number of such securities at a stipulated price per security;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Selling Shareholders may also sell securities under Rule 144 under the Securities Act of 1933, as amended (the “Securities Act”), if available, rather than under this prospectus.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 In no event shall any broker-dealer receive fees, commissions and markups which, in the aggregate, would exceed eight percent (8%).</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required to pay certain fees and expenses incurred by the Company incident to the registration of the securities. The Company has agreed to indemnify the Selling Shareholders against certain losses, claims, damages and liabilities, including liabilities under the Securities Act.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Selling Shareholders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 Selling Shareholders have advised us that there is no underwriter or coordinating broker acting in connection with the proposed sale of the resale securities by the Selling Shareholders.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securities of the common stock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Aside from the following, 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6, 2013, we filed a Complaint for Patent Infringement against Physicians Interactive Inc., Physicians Interactive Holdings, Inc. and Skyscape.com, in which we allege that one or more of those entities has infringed on United States Patent No. 8,341,015. As of September 30, 2013, the defendants responded denying the assertions made in our Complaint, but no further action has occurred in the case.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recently learned of an action in New Jersey brought by Milton J. Wilson and the Milton Wilson 2000 Trust. Last November 2013, we were served notice that we would be added as an additional party to the case titled Milton Wilson et al. v. Continental Capital Corporation, C-289-06, in the Superior Court of New Jersey. There is an existing default judgment of roughly $1,000,000 in the case. The Court denied plaintiffs’ request to add us a party to the caption, but allowed plaintiffs to file a motion to add us as a party, which was subsequently granted.</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their complaint, Plaintiffs’ underlying claim alleged that a predecessor of ours, Continental Capital, breached a settlement agreement it entered into with plaintiffs in 2001. We have filed an answer effectively denying the allegations in the complaint against us. Because the settlement agreement had an arbitration clause, we claimed that the lawsuit was improper. We also claimed that service was not perfected against other parties so the default judgment is void. We filed counterclaims against plaintiffs and third-party claims against persons related to plaintiffs. In these claims we allege that plaintiffs and others owned and controlled Continental Capital and wrongfully caused Continental Capital to enter the settlement agreement for no bona fide corporate purpose. To the extent, if any, that we may be liable on the default judgment, therefore, we claim that we should be indemnified by plaintiffs and others.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May 20, 2014.</w:t>
      </w:r>
    </w:p>
    <w:p>
      <w:pPr>
        <w:spacing w:after="0" w:line="221"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1140" w:type="dxa"/>
            <w:vAlign w:val="bottom"/>
          </w:tcPr>
          <w:p>
            <w:pPr>
              <w:ind w:left="380"/>
              <w:spacing w:after="0"/>
              <w:rPr>
                <w:sz w:val="20"/>
                <w:szCs w:val="20"/>
                <w:color w:val="auto"/>
              </w:rPr>
            </w:pPr>
            <w:r>
              <w:rPr>
                <w:rFonts w:ascii="Arial" w:cs="Arial" w:eastAsia="Arial" w:hAnsi="Arial"/>
                <w:sz w:val="18"/>
                <w:szCs w:val="18"/>
                <w:b w:val="1"/>
                <w:bCs w:val="1"/>
                <w:color w:val="auto"/>
              </w:rPr>
              <w:t>Name</w:t>
            </w:r>
          </w:p>
        </w:tc>
        <w:tc>
          <w:tcPr>
            <w:tcW w:w="60" w:type="dxa"/>
            <w:vAlign w:val="bottom"/>
          </w:tcPr>
          <w:p>
            <w:pPr>
              <w:spacing w:after="0"/>
              <w:rPr>
                <w:sz w:val="20"/>
                <w:szCs w:val="20"/>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Age</w:t>
            </w:r>
          </w:p>
        </w:tc>
        <w:tc>
          <w:tcPr>
            <w:tcW w:w="3580" w:type="dxa"/>
            <w:vAlign w:val="bottom"/>
          </w:tcPr>
          <w:p>
            <w:pPr>
              <w:ind w:left="80"/>
              <w:spacing w:after="0"/>
              <w:rPr>
                <w:sz w:val="20"/>
                <w:szCs w:val="20"/>
                <w:color w:val="auto"/>
              </w:rPr>
            </w:pPr>
            <w:r>
              <w:rPr>
                <w:rFonts w:ascii="Arial" w:cs="Arial" w:eastAsia="Arial" w:hAnsi="Arial"/>
                <w:sz w:val="18"/>
                <w:szCs w:val="18"/>
                <w:b w:val="1"/>
                <w:bCs w:val="1"/>
                <w:color w:val="auto"/>
              </w:rPr>
              <w:t>Position(s) and Office(s) Held</w:t>
            </w:r>
          </w:p>
        </w:tc>
      </w:tr>
      <w:tr>
        <w:trPr>
          <w:trHeight w:val="195"/>
        </w:trPr>
        <w:tc>
          <w:tcPr>
            <w:tcW w:w="11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8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3580" w:type="dxa"/>
            <w:vAlign w:val="bottom"/>
            <w:tcBorders>
              <w:top w:val="single" w:sz="8" w:color="auto"/>
            </w:tcBorders>
            <w:shd w:val="clear" w:color="auto" w:fill="CCEECC"/>
          </w:tcPr>
          <w:p>
            <w:pPr>
              <w:ind w:left="80"/>
              <w:spacing w:after="0" w:line="195" w:lineRule="exact"/>
              <w:rPr>
                <w:sz w:val="20"/>
                <w:szCs w:val="20"/>
                <w:color w:val="auto"/>
              </w:rPr>
            </w:pPr>
            <w:r>
              <w:rPr>
                <w:rFonts w:ascii="Arial" w:cs="Arial" w:eastAsia="Arial" w:hAnsi="Arial"/>
                <w:sz w:val="18"/>
                <w:szCs w:val="18"/>
                <w:color w:val="auto"/>
                <w:w w:val="96"/>
              </w:rPr>
              <w:t>Chief Operating Officer, Secretary, Treasurer</w:t>
            </w:r>
          </w:p>
        </w:tc>
      </w:tr>
      <w:tr>
        <w:trPr>
          <w:trHeight w:val="230"/>
        </w:trPr>
        <w:tc>
          <w:tcPr>
            <w:tcW w:w="1140" w:type="dxa"/>
            <w:vAlign w:val="bottom"/>
            <w:shd w:val="clear" w:color="auto" w:fill="CCEECC"/>
          </w:tcPr>
          <w:p>
            <w:pPr>
              <w:ind w:left="80"/>
              <w:spacing w:after="0"/>
              <w:rPr>
                <w:sz w:val="20"/>
                <w:szCs w:val="20"/>
                <w:color w:val="auto"/>
              </w:rPr>
            </w:pPr>
            <w:r>
              <w:rPr>
                <w:rFonts w:ascii="Arial" w:cs="Arial" w:eastAsia="Arial" w:hAnsi="Arial"/>
                <w:sz w:val="18"/>
                <w:szCs w:val="18"/>
                <w:color w:val="auto"/>
              </w:rPr>
              <w:t>David Lester</w:t>
            </w:r>
          </w:p>
        </w:tc>
        <w:tc>
          <w:tcPr>
            <w:tcW w:w="9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56</w:t>
            </w:r>
          </w:p>
        </w:tc>
        <w:tc>
          <w:tcPr>
            <w:tcW w:w="60" w:type="dxa"/>
            <w:vAlign w:val="bottom"/>
            <w:shd w:val="clear" w:color="auto" w:fill="CCEECC"/>
          </w:tcPr>
          <w:p>
            <w:pPr>
              <w:spacing w:after="0"/>
              <w:rPr>
                <w:sz w:val="20"/>
                <w:szCs w:val="20"/>
                <w:color w:val="auto"/>
              </w:rPr>
            </w:pPr>
          </w:p>
        </w:tc>
        <w:tc>
          <w:tcPr>
            <w:tcW w:w="3580" w:type="dxa"/>
            <w:vAlign w:val="bottom"/>
            <w:shd w:val="clear" w:color="auto" w:fill="CCEECC"/>
          </w:tcPr>
          <w:p>
            <w:pPr>
              <w:ind w:left="80"/>
              <w:spacing w:after="0"/>
              <w:rPr>
                <w:sz w:val="20"/>
                <w:szCs w:val="20"/>
                <w:color w:val="auto"/>
              </w:rPr>
            </w:pPr>
            <w:r>
              <w:rPr>
                <w:rFonts w:ascii="Arial" w:cs="Arial" w:eastAsia="Arial" w:hAnsi="Arial"/>
                <w:sz w:val="18"/>
                <w:szCs w:val="18"/>
                <w:color w:val="auto"/>
              </w:rPr>
              <w:t>and Director</w:t>
            </w:r>
          </w:p>
        </w:tc>
      </w:tr>
      <w:tr>
        <w:trPr>
          <w:trHeight w:val="202"/>
        </w:trPr>
        <w:tc>
          <w:tcPr>
            <w:tcW w:w="1140" w:type="dxa"/>
            <w:vAlign w:val="bottom"/>
          </w:tcPr>
          <w:p>
            <w:pPr>
              <w:ind w:left="80"/>
              <w:spacing w:after="0" w:line="201" w:lineRule="exact"/>
              <w:rPr>
                <w:sz w:val="20"/>
                <w:szCs w:val="20"/>
                <w:color w:val="auto"/>
              </w:rPr>
            </w:pPr>
            <w:r>
              <w:rPr>
                <w:rFonts w:ascii="Arial" w:cs="Arial" w:eastAsia="Arial" w:hAnsi="Arial"/>
                <w:sz w:val="18"/>
                <w:szCs w:val="18"/>
                <w:color w:val="auto"/>
              </w:rPr>
              <w:t>David A.</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80" w:type="dxa"/>
            <w:vAlign w:val="bottom"/>
          </w:tcPr>
          <w:p>
            <w:pPr>
              <w:ind w:left="80"/>
              <w:spacing w:after="0" w:line="201" w:lineRule="exact"/>
              <w:rPr>
                <w:sz w:val="20"/>
                <w:szCs w:val="20"/>
                <w:color w:val="auto"/>
              </w:rPr>
            </w:pPr>
            <w:r>
              <w:rPr>
                <w:rFonts w:ascii="Arial" w:cs="Arial" w:eastAsia="Arial" w:hAnsi="Arial"/>
                <w:sz w:val="18"/>
                <w:szCs w:val="18"/>
                <w:color w:val="auto"/>
              </w:rPr>
              <w:t>Chairman, Chief Executive Officer, Chief</w:t>
            </w:r>
          </w:p>
        </w:tc>
      </w:tr>
      <w:tr>
        <w:trPr>
          <w:trHeight w:val="230"/>
        </w:trPr>
        <w:tc>
          <w:tcPr>
            <w:tcW w:w="1140" w:type="dxa"/>
            <w:vAlign w:val="bottom"/>
          </w:tcPr>
          <w:p>
            <w:pPr>
              <w:ind w:left="80"/>
              <w:spacing w:after="0"/>
              <w:rPr>
                <w:sz w:val="20"/>
                <w:szCs w:val="20"/>
                <w:color w:val="auto"/>
              </w:rPr>
            </w:pPr>
            <w:r>
              <w:rPr>
                <w:rFonts w:ascii="Arial" w:cs="Arial" w:eastAsia="Arial" w:hAnsi="Arial"/>
                <w:sz w:val="18"/>
                <w:szCs w:val="18"/>
                <w:color w:val="auto"/>
              </w:rPr>
              <w:t>Harrell</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48</w:t>
            </w:r>
          </w:p>
        </w:tc>
        <w:tc>
          <w:tcPr>
            <w:tcW w:w="60" w:type="dxa"/>
            <w:vAlign w:val="bottom"/>
          </w:tcPr>
          <w:p>
            <w:pPr>
              <w:spacing w:after="0"/>
              <w:rPr>
                <w:sz w:val="20"/>
                <w:szCs w:val="20"/>
                <w:color w:val="auto"/>
              </w:rPr>
            </w:pPr>
          </w:p>
        </w:tc>
        <w:tc>
          <w:tcPr>
            <w:tcW w:w="3580" w:type="dxa"/>
            <w:vAlign w:val="bottom"/>
          </w:tcPr>
          <w:p>
            <w:pPr>
              <w:ind w:left="80"/>
              <w:spacing w:after="0"/>
              <w:rPr>
                <w:sz w:val="20"/>
                <w:szCs w:val="20"/>
                <w:color w:val="auto"/>
              </w:rPr>
            </w:pPr>
            <w:r>
              <w:rPr>
                <w:rFonts w:ascii="Arial" w:cs="Arial" w:eastAsia="Arial" w:hAnsi="Arial"/>
                <w:sz w:val="18"/>
                <w:szCs w:val="18"/>
                <w:color w:val="auto"/>
              </w:rPr>
              <w:t>Strategic Officer and Director</w:t>
            </w:r>
          </w:p>
        </w:tc>
      </w:tr>
      <w:tr>
        <w:trPr>
          <w:trHeight w:val="202"/>
        </w:trPr>
        <w:tc>
          <w:tcPr>
            <w:tcW w:w="114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Terence J.</w:t>
            </w:r>
          </w:p>
        </w:tc>
        <w:tc>
          <w:tcPr>
            <w:tcW w:w="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3580" w:type="dxa"/>
            <w:vAlign w:val="bottom"/>
            <w:shd w:val="clear" w:color="auto" w:fill="CCEECC"/>
          </w:tcPr>
          <w:p>
            <w:pPr>
              <w:spacing w:after="0"/>
              <w:rPr>
                <w:sz w:val="17"/>
                <w:szCs w:val="17"/>
                <w:color w:val="auto"/>
              </w:rPr>
            </w:pPr>
          </w:p>
        </w:tc>
      </w:tr>
      <w:tr>
        <w:trPr>
          <w:trHeight w:val="230"/>
        </w:trPr>
        <w:tc>
          <w:tcPr>
            <w:tcW w:w="1140" w:type="dxa"/>
            <w:vAlign w:val="bottom"/>
            <w:shd w:val="clear" w:color="auto" w:fill="CCEECC"/>
          </w:tcPr>
          <w:p>
            <w:pPr>
              <w:ind w:left="80"/>
              <w:spacing w:after="0"/>
              <w:rPr>
                <w:sz w:val="20"/>
                <w:szCs w:val="20"/>
                <w:color w:val="auto"/>
              </w:rPr>
            </w:pPr>
            <w:r>
              <w:rPr>
                <w:rFonts w:ascii="Arial" w:cs="Arial" w:eastAsia="Arial" w:hAnsi="Arial"/>
                <w:sz w:val="18"/>
                <w:szCs w:val="18"/>
                <w:color w:val="auto"/>
              </w:rPr>
              <w:t>Hamilton</w:t>
            </w:r>
          </w:p>
        </w:tc>
        <w:tc>
          <w:tcPr>
            <w:tcW w:w="9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48</w:t>
            </w:r>
          </w:p>
        </w:tc>
        <w:tc>
          <w:tcPr>
            <w:tcW w:w="60" w:type="dxa"/>
            <w:vAlign w:val="bottom"/>
            <w:shd w:val="clear" w:color="auto" w:fill="CCEECC"/>
          </w:tcPr>
          <w:p>
            <w:pPr>
              <w:spacing w:after="0"/>
              <w:rPr>
                <w:sz w:val="20"/>
                <w:szCs w:val="20"/>
                <w:color w:val="auto"/>
              </w:rPr>
            </w:pPr>
          </w:p>
        </w:tc>
        <w:tc>
          <w:tcPr>
            <w:tcW w:w="3580" w:type="dxa"/>
            <w:vAlign w:val="bottom"/>
            <w:shd w:val="clear" w:color="auto" w:fill="CCEECC"/>
          </w:tcPr>
          <w:p>
            <w:pPr>
              <w:ind w:left="80"/>
              <w:spacing w:after="0"/>
              <w:rPr>
                <w:sz w:val="20"/>
                <w:szCs w:val="20"/>
                <w:color w:val="auto"/>
              </w:rPr>
            </w:pPr>
            <w:r>
              <w:rPr>
                <w:rFonts w:ascii="Arial" w:cs="Arial" w:eastAsia="Arial" w:hAnsi="Arial"/>
                <w:sz w:val="18"/>
                <w:szCs w:val="18"/>
                <w:color w:val="auto"/>
              </w:rPr>
              <w:t>Director and VP of Sales</w:t>
            </w:r>
          </w:p>
        </w:tc>
      </w:tr>
      <w:tr>
        <w:trPr>
          <w:trHeight w:val="202"/>
        </w:trPr>
        <w:tc>
          <w:tcPr>
            <w:tcW w:w="114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Douglas</w:t>
            </w:r>
          </w:p>
        </w:tc>
        <w:tc>
          <w:tcPr>
            <w:tcW w:w="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3580" w:type="dxa"/>
            <w:vAlign w:val="bottom"/>
            <w:shd w:val="clear" w:color="auto" w:fill="CCEECC"/>
          </w:tcPr>
          <w:p>
            <w:pPr>
              <w:spacing w:after="0"/>
              <w:rPr>
                <w:sz w:val="17"/>
                <w:szCs w:val="17"/>
                <w:color w:val="auto"/>
              </w:rPr>
            </w:pPr>
          </w:p>
        </w:tc>
      </w:tr>
      <w:tr>
        <w:trPr>
          <w:trHeight w:val="230"/>
        </w:trPr>
        <w:tc>
          <w:tcPr>
            <w:tcW w:w="1140" w:type="dxa"/>
            <w:vAlign w:val="bottom"/>
            <w:shd w:val="clear" w:color="auto" w:fill="CCEECC"/>
          </w:tcPr>
          <w:p>
            <w:pPr>
              <w:ind w:left="80"/>
              <w:spacing w:after="0"/>
              <w:rPr>
                <w:sz w:val="20"/>
                <w:szCs w:val="20"/>
                <w:color w:val="auto"/>
              </w:rPr>
            </w:pPr>
            <w:r>
              <w:rPr>
                <w:rFonts w:ascii="Arial" w:cs="Arial" w:eastAsia="Arial" w:hAnsi="Arial"/>
                <w:sz w:val="18"/>
                <w:szCs w:val="18"/>
                <w:color w:val="auto"/>
              </w:rPr>
              <w:t>Baker</w:t>
            </w:r>
          </w:p>
        </w:tc>
        <w:tc>
          <w:tcPr>
            <w:tcW w:w="920" w:type="dxa"/>
            <w:vAlign w:val="bottom"/>
            <w:gridSpan w:val="2"/>
            <w:shd w:val="clear" w:color="auto" w:fill="CCEECC"/>
          </w:tcPr>
          <w:p>
            <w:pPr>
              <w:jc w:val="right"/>
              <w:ind w:right="230"/>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CC"/>
          </w:tcPr>
          <w:p>
            <w:pPr>
              <w:spacing w:after="0"/>
              <w:rPr>
                <w:sz w:val="20"/>
                <w:szCs w:val="20"/>
                <w:color w:val="auto"/>
              </w:rPr>
            </w:pPr>
          </w:p>
        </w:tc>
        <w:tc>
          <w:tcPr>
            <w:tcW w:w="3580" w:type="dxa"/>
            <w:vAlign w:val="bottom"/>
            <w:shd w:val="clear" w:color="auto" w:fill="CCEECC"/>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Lester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Harrell founded the Company in January of 2006 and has served as our President and Chief Executive Officer. He became a director when the Company changed from a limited liability to a corporation in 2007.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ectPr>
          <w:pgSz w:w="11900" w:h="16838" w:orient="portrait"/>
          <w:cols w:equalWidth="0" w:num="1">
            <w:col w:w="11420"/>
          </w:cols>
          <w:pgMar w:left="240" w:top="233" w:right="23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Baker joined the Company as its CFO on May 19, 2014. Mr. Baker brings with him over 23 years of public company experience. He served as CFO and director of Applied Nanotech Holdings, Inc., a public company, from 1996 to 2014, and as CEO of the same company from 2009 to 2014. Mr. Baker has agreed to act as a consultant to Nanotech for a period of up to one year on an as needed basis.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Baker holds a Bachelors and Masters of Business Administration from the University of Michigan, has been a Certified Public Accountant since 1980, is a member of the Institute of Certified Public Accountants, member of the Michigan Association of Certified Public Accountants and has served on the Board of Directors of Total Health Care, Inc., a nonprofit health maintenance organization since 1987.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authorize two (2) directors unless changed by the Board of Directors. The board has since changed the number of directors authorized, and we currently have three (3)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the best of our knowledge, during the past ten years, none of the following occurred with respect to our present or former director, executive officer, or employee: (1) any bankruptcy petition filed by or against any business of which such person was a general partner or executive officer either 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sets forth, as of May 20, 2014, the beneficial ownership of our common and preferred stock by each executive officer and director, by each person known by us to beneficially own more than 5% of the our common stock and by the executive officers and directors as a group. Unless otherwise noted, the address of each beneficial owner is located at 400 Water Street, Ste. 200, Rochester, MI 48307.</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10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Name and address of</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Amount of</w:t>
            </w:r>
          </w:p>
        </w:tc>
        <w:tc>
          <w:tcPr>
            <w:tcW w:w="1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2100" w:type="dxa"/>
            <w:vAlign w:val="bottom"/>
            <w:gridSpan w:val="3"/>
            <w:vMerge w:val="continue"/>
          </w:tcPr>
          <w:p>
            <w:pPr>
              <w:spacing w:after="0"/>
              <w:rPr>
                <w:sz w:val="15"/>
                <w:szCs w:val="15"/>
                <w:color w:val="auto"/>
              </w:rPr>
            </w:pPr>
          </w:p>
        </w:tc>
        <w:tc>
          <w:tcPr>
            <w:tcW w:w="1440" w:type="dxa"/>
            <w:vAlign w:val="bottom"/>
            <w:gridSpan w:val="2"/>
          </w:tcPr>
          <w:p>
            <w:pPr>
              <w:spacing w:after="0" w:line="181" w:lineRule="exact"/>
              <w:rPr>
                <w:sz w:val="20"/>
                <w:szCs w:val="20"/>
                <w:color w:val="auto"/>
              </w:rPr>
            </w:pPr>
            <w:r>
              <w:rPr>
                <w:rFonts w:ascii="Arial" w:cs="Arial" w:eastAsia="Arial" w:hAnsi="Arial"/>
                <w:sz w:val="18"/>
                <w:szCs w:val="18"/>
                <w:b w:val="1"/>
                <w:bCs w:val="1"/>
                <w:color w:val="auto"/>
              </w:rPr>
              <w:t>beneficial</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class</w:t>
            </w:r>
          </w:p>
        </w:tc>
        <w:tc>
          <w:tcPr>
            <w:tcW w:w="120" w:type="dxa"/>
            <w:vAlign w:val="bottom"/>
            <w:tcBorders>
              <w:bottom w:val="single" w:sz="8" w:color="CCEECC"/>
            </w:tcBorders>
          </w:tcPr>
          <w:p>
            <w:pPr>
              <w:spacing w:after="0"/>
              <w:rPr>
                <w:sz w:val="23"/>
                <w:szCs w:val="23"/>
                <w:color w:val="auto"/>
              </w:rPr>
            </w:pPr>
          </w:p>
        </w:tc>
        <w:tc>
          <w:tcPr>
            <w:tcW w:w="1780" w:type="dxa"/>
            <w:vAlign w:val="bottom"/>
            <w:tcBorders>
              <w:bottom w:val="single" w:sz="8" w:color="auto"/>
            </w:tcBorders>
          </w:tcPr>
          <w:p>
            <w:pPr>
              <w:spacing w:after="0" w:line="269" w:lineRule="exact"/>
              <w:rPr>
                <w:sz w:val="20"/>
                <w:szCs w:val="20"/>
                <w:color w:val="auto"/>
              </w:rPr>
            </w:pPr>
            <w:r>
              <w:rPr>
                <w:rFonts w:ascii="Arial" w:cs="Arial" w:eastAsia="Arial" w:hAnsi="Arial"/>
                <w:sz w:val="18"/>
                <w:szCs w:val="18"/>
                <w:b w:val="1"/>
                <w:bCs w:val="1"/>
                <w:color w:val="auto"/>
              </w:rPr>
              <w:t>beneficial owner</w:t>
            </w:r>
            <w:r>
              <w:rPr>
                <w:rFonts w:ascii="Arial" w:cs="Arial" w:eastAsia="Arial" w:hAnsi="Arial"/>
                <w:sz w:val="30"/>
                <w:szCs w:val="30"/>
                <w:b w:val="1"/>
                <w:bCs w:val="1"/>
                <w:color w:val="auto"/>
                <w:vertAlign w:val="superscript"/>
              </w:rPr>
              <w:t>(1)</w:t>
            </w:r>
          </w:p>
        </w:tc>
        <w:tc>
          <w:tcPr>
            <w:tcW w:w="200" w:type="dxa"/>
            <w:vAlign w:val="bottom"/>
            <w:tcBorders>
              <w:bottom w:val="single" w:sz="8" w:color="CCEECC"/>
            </w:tcBorders>
          </w:tcPr>
          <w:p>
            <w:pPr>
              <w:spacing w:after="0"/>
              <w:rPr>
                <w:sz w:val="23"/>
                <w:szCs w:val="23"/>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ownership</w:t>
            </w:r>
          </w:p>
        </w:tc>
        <w:tc>
          <w:tcPr>
            <w:tcW w:w="140" w:type="dxa"/>
            <w:vAlign w:val="bottom"/>
            <w:tcBorders>
              <w:bottom w:val="single" w:sz="8" w:color="CCEECC"/>
            </w:tcBorders>
          </w:tcPr>
          <w:p>
            <w:pPr>
              <w:spacing w:after="0"/>
              <w:rPr>
                <w:sz w:val="23"/>
                <w:szCs w:val="23"/>
                <w:color w:val="auto"/>
              </w:rPr>
            </w:pPr>
          </w:p>
        </w:tc>
        <w:tc>
          <w:tcPr>
            <w:tcW w:w="940" w:type="dxa"/>
            <w:vAlign w:val="bottom"/>
            <w:tcBorders>
              <w:bottom w:val="single" w:sz="8" w:color="auto"/>
            </w:tcBorders>
          </w:tcPr>
          <w:p>
            <w:pPr>
              <w:spacing w:after="0" w:line="269" w:lineRule="exact"/>
              <w:rPr>
                <w:sz w:val="20"/>
                <w:szCs w:val="20"/>
                <w:color w:val="auto"/>
              </w:rPr>
            </w:pPr>
            <w:r>
              <w:rPr>
                <w:rFonts w:ascii="Arial" w:cs="Arial" w:eastAsia="Arial" w:hAnsi="Arial"/>
                <w:sz w:val="18"/>
                <w:szCs w:val="18"/>
                <w:b w:val="1"/>
                <w:bCs w:val="1"/>
                <w:color w:val="auto"/>
              </w:rPr>
              <w:t xml:space="preserve">class </w:t>
            </w:r>
            <w:r>
              <w:rPr>
                <w:rFonts w:ascii="Arial" w:cs="Arial" w:eastAsia="Arial" w:hAnsi="Arial"/>
                <w:sz w:val="30"/>
                <w:szCs w:val="30"/>
                <w:b w:val="1"/>
                <w:bCs w:val="1"/>
                <w:color w:val="auto"/>
                <w:vertAlign w:val="superscript"/>
              </w:rPr>
              <w:t>(2)</w:t>
            </w:r>
          </w:p>
        </w:tc>
        <w:tc>
          <w:tcPr>
            <w:tcW w:w="160" w:type="dxa"/>
            <w:vAlign w:val="bottom"/>
            <w:tcBorders>
              <w:bottom w:val="single" w:sz="8" w:color="CCEECC"/>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Common</w:t>
            </w:r>
          </w:p>
        </w:tc>
        <w:tc>
          <w:tcPr>
            <w:tcW w:w="120" w:type="dxa"/>
            <w:vAlign w:val="bottom"/>
            <w:shd w:val="clear" w:color="auto" w:fill="CCEECC"/>
          </w:tcPr>
          <w:p>
            <w:pPr>
              <w:spacing w:after="0"/>
              <w:rPr>
                <w:sz w:val="21"/>
                <w:szCs w:val="21"/>
                <w:color w:val="auto"/>
              </w:rPr>
            </w:pPr>
          </w:p>
        </w:tc>
        <w:tc>
          <w:tcPr>
            <w:tcW w:w="1780" w:type="dxa"/>
            <w:vAlign w:val="bottom"/>
            <w:shd w:val="clear" w:color="auto" w:fill="CCEECC"/>
          </w:tcPr>
          <w:p>
            <w:pPr>
              <w:spacing w:after="0" w:line="250" w:lineRule="exact"/>
              <w:rPr>
                <w:sz w:val="20"/>
                <w:szCs w:val="20"/>
                <w:color w:val="auto"/>
              </w:rPr>
            </w:pPr>
            <w:r>
              <w:rPr>
                <w:rFonts w:ascii="Arial" w:cs="Arial" w:eastAsia="Arial" w:hAnsi="Arial"/>
                <w:sz w:val="17"/>
                <w:szCs w:val="17"/>
                <w:color w:val="auto"/>
              </w:rPr>
              <w:t>David Lester</w:t>
            </w:r>
            <w:r>
              <w:rPr>
                <w:rFonts w:ascii="Arial" w:cs="Arial" w:eastAsia="Arial" w:hAnsi="Arial"/>
                <w:sz w:val="28"/>
                <w:szCs w:val="28"/>
                <w:color w:val="auto"/>
                <w:vertAlign w:val="superscript"/>
              </w:rPr>
              <w:t>(3)</w:t>
            </w:r>
          </w:p>
        </w:tc>
        <w:tc>
          <w:tcPr>
            <w:tcW w:w="200" w:type="dxa"/>
            <w:vAlign w:val="bottom"/>
            <w:shd w:val="clear" w:color="auto" w:fill="CCEECC"/>
          </w:tcPr>
          <w:p>
            <w:pPr>
              <w:spacing w:after="0"/>
              <w:rPr>
                <w:sz w:val="21"/>
                <w:szCs w:val="21"/>
                <w:color w:val="auto"/>
              </w:rPr>
            </w:pPr>
          </w:p>
        </w:tc>
        <w:tc>
          <w:tcPr>
            <w:tcW w:w="14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483,348</w:t>
            </w: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0"/>
                <w:szCs w:val="20"/>
                <w:color w:val="auto"/>
              </w:rPr>
            </w:pPr>
            <w:r>
              <w:rPr>
                <w:rFonts w:ascii="Arial" w:cs="Arial" w:eastAsia="Arial" w:hAnsi="Arial"/>
                <w:sz w:val="18"/>
                <w:szCs w:val="18"/>
                <w:color w:val="auto"/>
              </w:rPr>
              <w:t>Common</w:t>
            </w:r>
          </w:p>
        </w:tc>
        <w:tc>
          <w:tcPr>
            <w:tcW w:w="2100" w:type="dxa"/>
            <w:vAlign w:val="bottom"/>
            <w:gridSpan w:val="3"/>
          </w:tcPr>
          <w:p>
            <w:pPr>
              <w:ind w:left="120"/>
              <w:spacing w:after="0" w:line="256" w:lineRule="exact"/>
              <w:rPr>
                <w:sz w:val="20"/>
                <w:szCs w:val="20"/>
                <w:color w:val="auto"/>
              </w:rPr>
            </w:pPr>
            <w:r>
              <w:rPr>
                <w:rFonts w:ascii="Arial" w:cs="Arial" w:eastAsia="Arial" w:hAnsi="Arial"/>
                <w:sz w:val="18"/>
                <w:szCs w:val="18"/>
                <w:color w:val="auto"/>
              </w:rPr>
              <w:t>David Harrell</w:t>
            </w:r>
            <w:r>
              <w:rPr>
                <w:rFonts w:ascii="Arial" w:cs="Arial" w:eastAsia="Arial" w:hAnsi="Arial"/>
                <w:sz w:val="29"/>
                <w:szCs w:val="29"/>
                <w:color w:val="auto"/>
                <w:vertAlign w:val="superscript"/>
              </w:rPr>
              <w:t>(4)</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3,177,187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7"/>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Common</w:t>
            </w:r>
          </w:p>
        </w:tc>
        <w:tc>
          <w:tcPr>
            <w:tcW w:w="2100" w:type="dxa"/>
            <w:vAlign w:val="bottom"/>
            <w:gridSpan w:val="3"/>
            <w:shd w:val="clear" w:color="auto" w:fill="CCEECC"/>
          </w:tcPr>
          <w:p>
            <w:pPr>
              <w:ind w:left="120"/>
              <w:spacing w:after="0" w:line="256" w:lineRule="exact"/>
              <w:rPr>
                <w:sz w:val="20"/>
                <w:szCs w:val="20"/>
                <w:color w:val="auto"/>
              </w:rPr>
            </w:pPr>
            <w:r>
              <w:rPr>
                <w:rFonts w:ascii="Arial" w:cs="Arial" w:eastAsia="Arial" w:hAnsi="Arial"/>
                <w:sz w:val="18"/>
                <w:szCs w:val="18"/>
                <w:color w:val="auto"/>
              </w:rPr>
              <w:t>Terence J. Hamilton</w:t>
            </w:r>
            <w:r>
              <w:rPr>
                <w:rFonts w:ascii="Arial" w:cs="Arial" w:eastAsia="Arial" w:hAnsi="Arial"/>
                <w:sz w:val="29"/>
                <w:szCs w:val="29"/>
                <w:color w:val="auto"/>
                <w:vertAlign w:val="superscript"/>
              </w:rPr>
              <w:t>(5)</w:t>
            </w:r>
          </w:p>
        </w:tc>
        <w:tc>
          <w:tcPr>
            <w:tcW w:w="14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749,812</w:t>
            </w: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Common</w:t>
            </w: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Douglas Baker</w:t>
            </w:r>
          </w:p>
        </w:tc>
        <w:tc>
          <w:tcPr>
            <w:tcW w:w="14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Arial" w:cs="Arial" w:eastAsia="Arial" w:hAnsi="Arial"/>
                <w:sz w:val="18"/>
                <w:szCs w:val="18"/>
                <w:b w:val="1"/>
                <w:bCs w:val="1"/>
                <w:color w:val="auto"/>
              </w:rPr>
              <w:t>Total of All Directors and</w:t>
            </w: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4,410,347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98"/>
        </w:trPr>
        <w:tc>
          <w:tcPr>
            <w:tcW w:w="2200" w:type="dxa"/>
            <w:vAlign w:val="bottom"/>
            <w:shd w:val="clear" w:color="auto" w:fill="CCEECC"/>
          </w:tcPr>
          <w:p>
            <w:pPr>
              <w:spacing w:after="0" w:line="198" w:lineRule="exact"/>
              <w:rPr>
                <w:sz w:val="20"/>
                <w:szCs w:val="20"/>
                <w:color w:val="auto"/>
              </w:rPr>
            </w:pPr>
            <w:r>
              <w:rPr>
                <w:rFonts w:ascii="Arial" w:cs="Arial" w:eastAsia="Arial" w:hAnsi="Arial"/>
                <w:sz w:val="18"/>
                <w:szCs w:val="18"/>
                <w:b w:val="1"/>
                <w:bCs w:val="1"/>
                <w:color w:val="auto"/>
              </w:rPr>
              <w:t>More Than 5% Beneficial</w:t>
            </w:r>
          </w:p>
        </w:tc>
        <w:tc>
          <w:tcPr>
            <w:tcW w:w="120" w:type="dxa"/>
            <w:vAlign w:val="bottom"/>
            <w:shd w:val="clear" w:color="auto" w:fill="CCEECC"/>
          </w:tcPr>
          <w:p>
            <w:pPr>
              <w:spacing w:after="0"/>
              <w:rPr>
                <w:sz w:val="17"/>
                <w:szCs w:val="17"/>
                <w:color w:val="auto"/>
              </w:rPr>
            </w:pPr>
          </w:p>
        </w:tc>
        <w:tc>
          <w:tcPr>
            <w:tcW w:w="178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3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Owners:</w:t>
            </w:r>
          </w:p>
        </w:tc>
        <w:tc>
          <w:tcPr>
            <w:tcW w:w="120" w:type="dxa"/>
            <w:vAlign w:val="bottom"/>
            <w:shd w:val="clear" w:color="auto" w:fill="CCEECC"/>
          </w:tcPr>
          <w:p>
            <w:pPr>
              <w:spacing w:after="0"/>
              <w:rPr>
                <w:sz w:val="20"/>
                <w:szCs w:val="20"/>
                <w:color w:val="auto"/>
              </w:rPr>
            </w:pPr>
          </w:p>
        </w:tc>
        <w:tc>
          <w:tcPr>
            <w:tcW w:w="178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130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94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21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Bradley Louis Radoff</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117 W Loop S, Ste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1625 Houston, TX</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2"/>
          </w:tcPr>
          <w:p>
            <w:pPr>
              <w:ind w:left="120"/>
              <w:spacing w:after="0"/>
              <w:rPr>
                <w:sz w:val="20"/>
                <w:szCs w:val="20"/>
                <w:color w:val="auto"/>
              </w:rPr>
            </w:pPr>
            <w:r>
              <w:rPr>
                <w:rFonts w:ascii="Arial" w:cs="Arial" w:eastAsia="Arial" w:hAnsi="Arial"/>
                <w:sz w:val="18"/>
                <w:szCs w:val="18"/>
                <w:color w:val="auto"/>
              </w:rPr>
              <w:t>77027</w:t>
            </w: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3,250,000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2"/>
        </w:trPr>
        <w:tc>
          <w:tcPr>
            <w:tcW w:w="2200" w:type="dxa"/>
            <w:vAlign w:val="bottom"/>
            <w:shd w:val="clear" w:color="auto" w:fill="CCEECC"/>
          </w:tcPr>
          <w:p>
            <w:pPr>
              <w:spacing w:after="0"/>
              <w:rPr>
                <w:sz w:val="17"/>
                <w:szCs w:val="17"/>
                <w:color w:val="auto"/>
              </w:rPr>
            </w:pPr>
          </w:p>
        </w:tc>
        <w:tc>
          <w:tcPr>
            <w:tcW w:w="2100" w:type="dxa"/>
            <w:vAlign w:val="bottom"/>
            <w:gridSpan w:val="3"/>
            <w:shd w:val="clear" w:color="auto" w:fill="CCEECC"/>
          </w:tcPr>
          <w:p>
            <w:pPr>
              <w:ind w:left="120"/>
              <w:spacing w:after="0" w:line="201" w:lineRule="exact"/>
              <w:rPr>
                <w:sz w:val="20"/>
                <w:szCs w:val="20"/>
                <w:color w:val="auto"/>
              </w:rPr>
            </w:pPr>
            <w:r>
              <w:rPr>
                <w:rFonts w:ascii="Arial" w:cs="Arial" w:eastAsia="Arial" w:hAnsi="Arial"/>
                <w:sz w:val="18"/>
                <w:szCs w:val="18"/>
                <w:color w:val="auto"/>
              </w:rPr>
              <w:t>Wolverine Flagship</w:t>
            </w:r>
          </w:p>
        </w:tc>
        <w:tc>
          <w:tcPr>
            <w:tcW w:w="13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Fund</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Trading Limited</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175 W Jackson Blvd,</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3rd Flr</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Common</w:t>
            </w: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Chicago, IL 60604</w:t>
            </w:r>
          </w:p>
        </w:tc>
        <w:tc>
          <w:tcPr>
            <w:tcW w:w="14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2,083,500</w:t>
            </w: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820" w:hanging="812"/>
        <w:spacing w:after="0" w:line="218" w:lineRule="auto"/>
        <w:tabs>
          <w:tab w:leader="none" w:pos="8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As used in this table, "beneficial ownership" means the sole or shared power to vote, or to direct the voting of, a security, or the sole or shared investment power with respect to a security (i.e., the power to dispose of, or to direct the disposition of, a security). In addition, for purposes of this table, a person is deemed, as of any date, to have "beneficial ownership" of any security that such person has the right to acquire within 60 days after such date.</w:t>
      </w:r>
    </w:p>
    <w:p>
      <w:pPr>
        <w:spacing w:after="0" w:line="1" w:lineRule="exact"/>
        <w:rPr>
          <w:rFonts w:ascii="Arial" w:cs="Arial" w:eastAsia="Arial" w:hAnsi="Arial"/>
          <w:sz w:val="30"/>
          <w:szCs w:val="30"/>
          <w:color w:val="auto"/>
          <w:vertAlign w:val="superscript"/>
        </w:rPr>
      </w:pPr>
    </w:p>
    <w:p>
      <w:pPr>
        <w:ind w:left="820" w:hanging="812"/>
        <w:spacing w:after="0" w:line="180" w:lineRule="auto"/>
        <w:tabs>
          <w:tab w:leader="none" w:pos="82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percent of class is based on 23,412,113 voting shares as of May 20, 2014.</w:t>
      </w:r>
    </w:p>
    <w:p>
      <w:pPr>
        <w:spacing w:after="0" w:line="2" w:lineRule="exact"/>
        <w:rPr>
          <w:rFonts w:ascii="Arial" w:cs="Arial" w:eastAsia="Arial" w:hAnsi="Arial"/>
          <w:sz w:val="25"/>
          <w:szCs w:val="25"/>
          <w:color w:val="auto"/>
          <w:vertAlign w:val="superscript"/>
        </w:rPr>
      </w:pPr>
    </w:p>
    <w:p>
      <w:pPr>
        <w:ind w:left="820" w:hanging="812"/>
        <w:spacing w:after="0" w:line="186" w:lineRule="auto"/>
        <w:tabs>
          <w:tab w:leader="none" w:pos="82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Includes 428,348 shares held in his name and options to purchase 55,000 shares of common stock at $1.00 per share.</w:t>
      </w:r>
    </w:p>
    <w:p>
      <w:pPr>
        <w:spacing w:after="0" w:line="2" w:lineRule="exact"/>
        <w:rPr>
          <w:rFonts w:ascii="Arial" w:cs="Arial" w:eastAsia="Arial" w:hAnsi="Arial"/>
          <w:sz w:val="24"/>
          <w:szCs w:val="24"/>
          <w:color w:val="auto"/>
          <w:vertAlign w:val="superscript"/>
        </w:rPr>
      </w:pPr>
    </w:p>
    <w:p>
      <w:pPr>
        <w:ind w:left="820" w:hanging="812"/>
        <w:spacing w:after="0" w:line="187" w:lineRule="auto"/>
        <w:tabs>
          <w:tab w:leader="none" w:pos="8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Includes 2,774,687 shares held in his name, options to purchase 402,500 shares of common stock at prices ranging from of $1.00 to $1.81 per share.</w:t>
      </w:r>
    </w:p>
    <w:p>
      <w:pPr>
        <w:ind w:left="820" w:hanging="812"/>
        <w:spacing w:after="0" w:line="180" w:lineRule="auto"/>
        <w:tabs>
          <w:tab w:leader="none" w:pos="82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Includes 522,312 shares held in his name and options to purchase 227,500 shares of common stock at a price of $1.00 per share.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descriptions are summaries of the material terms that are included in our amended and restated articles of incorporation (as amended) and our bylaws (as amended) as well as the specific agreements such descriptions relate to. This summary is qualified in its entirety by the specific terms and provisions contained in our restated articles of incorporation, bylaws and the specific agreements described herein, copies of which we have filed as exhibits to the registration statement of which this prospectus is a part, and by the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Capital Stock</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authorized capital stock consists of 500,000,000 shares of common stock and 10,000,000 shares of preferred stock, par value $0.001 per share. As of May 20, 2014 there were 23,412,113 shares of our common stock issued and outstanding and 0 shares of our preferred stock issued and outstanding.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March 2014 Private Placement, we entered into a registration rights agreement with each of the Selling Shareholders (the “Registration Rights Agreement”). The Registration Rights Agreement requires us to file a registration statement (the “Registration Statement”) with the Securities and Exchange Commission (the “SEC”) within forty-five (45) days of the closing date of the March 2014 Private Placement (the “Filing Date”) for the resale by the Selling Shareholders of all of the Common Shares acquired in the March 2014 Private Placement and all shares of Common Stock issuable upon any stock split, dividend or other distribution, recapitalization or similar event with respect thereto (the “Registrable Securities”). We agreed to use our commercially reasonable efforts to cause the Registration Statement to be declared effective by the SEC no later than ninety (90) days after the closing date of the March 2014 Private Placement (the “Effectiveness Date”) subject to certain adjustments. Upon the occurrence of certain events (each an “Event”), including, but not limited to, that the Registration Statement is not filed prior to the Filing Date, we will be required to pay liquidated damages to each of the Selling Shareholders equal to 1.5% of the aggregate purchase price paid by such Selling Shareholders for the Registrable Securities upon the date of the Event and then monthly thereafter until the earlier of: (i) the Event is cured, or (ii) the registrable shares are eligible for resale under Rule 144 without manner of sale or volume limitations. In no event shall the aggregate amount of liquidated damages payable to each of the Selling Shareholders exceed in the aggregate 10% of the aggregate purchase price paid by such Selling Shareholders for the Registrable Securities.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agreed to use our commercially reasonable efforts to keep the Registration Statement effective for resales until the earlier of (1) one year from the closing date (2) the date that all of the shares of our common stock included in the Registration Statement have been resold thereunder or under Rule 144 promulgated under the Securities Act, or (3) the date that all of the shares of our common stock covered by such registration statement may be sold without volume or manner of sale restrictions under Rule 144. The registration rights agreement contains cross-indemnification provisions between us and the Selling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had warrants outstanding to purchase 13,658,334shares of our common stock at a weighted average exercise price of $2.44 as of December 31, 2013.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options outstanding to purchase 125,000 shares of our common stock at a weighted average exercise price of $1.00 as of December 31, 2013.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Anti-Takeover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OTC Bulletin Board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NAMED 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Cane Clark LLP, our independent legal counsel, has provided an opinion on the validity of our common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Silberstein Ungar, PLLC, Certified Public Accountants and Advisors have audited our financial statements included in this prospectus and registration statement to the extent and for the periods set forth in their audit report. Silberstein Ungar, PLLC has presented their report with respect to our audited financial statements. The report of Silberstein Ungar, PLLC is included in reliance upon their authority as experts in accounting and auditing.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r>
        <w:rPr>
          <w:rFonts w:ascii="Arial" w:cs="Arial" w:eastAsia="Arial" w:hAnsi="Arial"/>
          <w:sz w:val="18"/>
          <w:szCs w:val="18"/>
          <w:color w:val="auto"/>
        </w:rPr>
        <w: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within 1st quarter 2014</w:t>
      </w:r>
    </w:p>
    <w:p>
      <w:pPr>
        <w:spacing w:after="0" w:line="225" w:lineRule="exact"/>
        <w:rPr>
          <w:sz w:val="20"/>
          <w:szCs w:val="20"/>
          <w:color w:val="auto"/>
        </w:rPr>
      </w:pPr>
    </w:p>
    <w:p>
      <w:pPr>
        <w:ind w:left="660" w:right="2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acquired $10 million dollars in new capital to exercise the negotiated buyout of Vicis, which netted out an additional $3 million dollars to us, and a reduction of approximately 7 million in fully diluted shares.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nearly doubled our sales over 1Q 2013 and net cash provided by operating activities was a positive $226,727.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settled a lawsuit with LDM to enable promotional access to over 100,000 new healthcare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launched VoucherDVM and engaged leading platforms to offer automated vet product savings.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completed and launched the SampleMD 2.0 technology platform to support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proved an outstanding Return on Investment associated with our pharmaceutical promotions through an independent analytics firm.</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sponsored and key noted the first CBInet Pharmaceutical EHR conference.</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initiated direct recruitment of a new CFO which resulted in the hiring of a highly experienced financial executive. We also recruited the former global marketing director from AstraZeneca to lead sales on the east coast.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finished the first quarter with revenues of $1,317,347, an increase of 97% over the same period 2013 generating positive net cash of $226,727 from operational activities. However, we had a net loss of $653,315 for the first quarter primarily due to two factors:</w:t>
      </w:r>
    </w:p>
    <w:p>
      <w:pPr>
        <w:spacing w:after="0" w:line="170"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one-time settlement to LDM, which resolved all patent issues and enables us to promote our eCoupons to their network of up to 100,000 healthcare providers, as well as receive additional revenue share through promotion of their sponsored patient education within OptimizeRx’s network.</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non cash payment of stock to vendors, former executive and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Moving forward, we expect growing profitability for the remainder of 2014 based primarily on escalation of revenues. Despite nearly doubling our sales over 1Q 2013, which is generally a slower sales quarter based on finalizing budgets and receiving new annual assets, 1Q 2014 revenues would have been higher based on two important factors:</w:t>
      </w:r>
    </w:p>
    <w:p>
      <w:pPr>
        <w:spacing w:after="0" w:line="181"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Allscripts had privacy and technical issues that affected their distribution of eCoupons and other programs during a significant period of time it took to fully resolve them.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of our largest clients interrupted their program to determine promotional impact and ROI.</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of the above have been resolved. Allscripts has resolved their technical and privacy issues, and is now beginning to roll out activation of SampleMD eCoupon automation unless providers “opt-out.” We anticipate this to have a significant impact on June sales and beyond once this is completed by increasing our reach to another 20,000 physicians.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Novartis’ Alcon has re-activated their program based on confirming through an independent auditing firm an outstanding ROI on SampleMD’s eCoupon promotion. Furthermore, this data was highlighted by Novartis during our corporate sponsorship of the inaugural CBInet Pharmaceutical EHR conference focused on leveraging opportunities for promotional effectiveness and brand awareness. The conference was attended by over 150 pharmaceutical brand and marketing executives and highlighted industry luminaries, panel discussions and client presentations. David Harrell, Chairman and Chief Executive Officer was a noted Keynote speaker, and many clients and partners cited unsolicited testimonials at the successes they have experienced engaging with us. We will be the lead sponsor for a similar conference in October as requested by many of the pharmaceutical client and partners we engage.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marketing efforts, along with our expert support team and proven reputation, has enabled us to acquire more manufacturers and brands—including Baush &amp; Lomb and AstraZeneca’s promoted portfolio of leading drugs like Crestor, Seroquel and others. AstraZeneca represents a very important win strategically, too, based on the fact that they were previously utilizing a competitive platform.</w:t>
      </w:r>
    </w:p>
    <w:p>
      <w:pPr>
        <w:sectPr>
          <w:pgSz w:w="11900" w:h="16838" w:orient="portrait"/>
          <w:cols w:equalWidth="0" w:num="1">
            <w:col w:w="11420"/>
          </w:cols>
          <w:pgMar w:left="240" w:top="233"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success of acquiring, integrating and expanding into other promotional EHR/eRx platforms continues to grow as well. We are just launching our first initial brands into eHealthline, as well as will be completing our integration into LDMs network and others.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expect to launch our patient savings and support within Quest Care360 by end of June 2014. Quest Diagnostics is the world’s leading provider of diagnostic information servicing approximately half of the physicians and hospitals in the U.S. and touches the lives of approximately 30% of American adults a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are in very productive discussions with other leading EHRs and expect our active network to nearly double by end of year.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With the growth of both our pharmaceutical products and our distribution network, we remain confident that our distributions will double over last year.</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support this growth, we have completed the development and migration of SampleMD 2.0’s on-demand, rule based content delivery platform. The system can now manage up to 1 million rules and return the appropriate content within under 1 second. This allows unsurpassed response time to avoid delays, and the ability to meet the upcoming dramatic scale we expect.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top of building out our updated software solution, we also updated our infrastructure by replacing and updating our computers in a high availability environment, taking greater precautions for security and building out the architecture to facilitate disaster recovery with a secondary facilitated computer environment. We believe this technology investment will increase performance, simplify integrations, insure availability and protect the investments of our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Key Quarterly Events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first quarter we also successfully completed a $10 million capital raise and exercised the option to redeem Vicis Capital Master Fund’s holdings in our company. By successfully executing these initiatives we reduced fully diluted shares by approximately 7 million and provided an additional $3 Million in working capital to support the company's growth and eliminated dividend payments and other favorable provisions of Vicis preferred stock.</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after extensive negotiations, OPTIMIZERx and LDM executed a settlement agreement and filed a stipulation to dismiss the litigation with prejudice on March 17, 2014, which the District Court entered on March 19, 2014. This resolves all patent issues and enables us to promote our eCoupons to their network of up to 100,000 healthcare providers, as well as receive additional revenue share through promotion of their sponsored patient education within our network.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Chief Financial Officer</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Also Mr. Douglas P. Baker is joining the organization as its Chief Financial Officer. Doug brings with him over 23 years of public company experience and joins OPTIMIZERx after serving the last 18 years as CFO and Board Director for a publicly traded technology company in the nanotechnology field. Prior to that, Doug held CFO and Divisional Controller positions at large privately held companies after serving nearly 10 years as a CPA with Plante &amp; Moran.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Doug holds a Bachelors and Masters of Business Administration from the University of Michigan, has been a Certified Public Accountant since 1980, is a member of the Institute of Certified Public Accountants, member of the Michigan Association of Certified Public Accountants and has served on the Board of Directors of Total Health Care, Inc., a nonprofit health maintenance organization since 1987.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remains very excited about our core e-coupon business based on our proven impact and platform partnerships continuing to expand. We are also pleased with our current discussions and recognized value from leading veterinary platform providers whom are interested in partnering to deliver similar automated savings to animal owners—while allowing veterinarian’s to remain competitive in their pharmacy business. We are also exploring other new channels to automate savings which hold high promise and rapid growth.</w:t>
      </w:r>
    </w:p>
    <w:p>
      <w:pPr>
        <w:spacing w:after="0" w:line="180"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We expect very significant ramp up the second half of the year as we fully roll out our new channels to expand our promotional reach.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right="20" w:hanging="328"/>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SampleMD -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which led us during the past year to develop our direct to physician solution called SampleMD.</w:t>
      </w:r>
    </w:p>
    <w:p>
      <w:pPr>
        <w:spacing w:after="0" w:line="165" w:lineRule="exact"/>
        <w:rPr>
          <w:rFonts w:ascii="Arial" w:cs="Arial" w:eastAsia="Arial" w:hAnsi="Arial"/>
          <w:sz w:val="17"/>
          <w:szCs w:val="17"/>
          <w:color w:val="auto"/>
        </w:rPr>
      </w:pPr>
    </w:p>
    <w:p>
      <w:pPr>
        <w:jc w:val="both"/>
        <w:ind w:left="660" w:hanging="328"/>
        <w:spacing w:after="0" w:line="26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SampleMD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SampleMD eliminates the need for physicians to manage and store physical drug samples by offering a more convenient and efficient way to allocate, administer and track samples and co-pay savings provided to their patients.</w:t>
      </w:r>
    </w:p>
    <w:p>
      <w:pPr>
        <w:spacing w:after="0" w:line="2" w:lineRule="exact"/>
        <w:rPr>
          <w:rFonts w:ascii="Arial" w:cs="Arial" w:eastAsia="Arial" w:hAnsi="Arial"/>
          <w:sz w:val="17"/>
          <w:szCs w:val="17"/>
          <w:color w:val="auto"/>
        </w:rPr>
      </w:pPr>
    </w:p>
    <w:p>
      <w:pPr>
        <w:jc w:val="both"/>
        <w:ind w:left="660" w:hanging="328"/>
        <w:spacing w:after="0" w:line="29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OPTIMIZEHR – Our consulting practice focused at educating and working with pharmaceutical manufacturers on identifying, formulating, and implementing new eRx media strategies for promoting their product. Our consulting services include 1) Drug File Integration - a service to insure that the manufacturers drug is present in every ePrescribing platform available, 2) Sales Force Training – a service to educate the extended field sales force on this new integrated solution and what to look for within their client base to insure maximum exposure of their bands and 3) Strategy Development – a service that assists manufactures in identifying and building a competitive strategy to take advantage of this new digital frontier.</w:t>
      </w:r>
    </w:p>
    <w:p>
      <w:pPr>
        <w:spacing w:after="0" w:line="162" w:lineRule="exact"/>
        <w:rPr>
          <w:rFonts w:ascii="Arial" w:cs="Arial" w:eastAsia="Arial" w:hAnsi="Arial"/>
          <w:sz w:val="16"/>
          <w:szCs w:val="16"/>
          <w:color w:val="auto"/>
        </w:rPr>
      </w:pPr>
    </w:p>
    <w:p>
      <w:pPr>
        <w:jc w:val="both"/>
        <w:ind w:left="66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w:t>
      </w:r>
    </w:p>
    <w:p>
      <w:pPr>
        <w:sectPr>
          <w:pgSz w:w="11900" w:h="16838" w:orient="portrait"/>
          <w:cols w:equalWidth="0" w:num="1">
            <w:col w:w="11420"/>
          </w:cols>
          <w:pgMar w:left="240" w:top="233" w:right="239" w:bottom="0" w:gutter="0" w:footer="0" w:header="0"/>
        </w:sectPr>
      </w:pPr>
    </w:p>
    <w:bookmarkStart w:id="22" w:name="page23"/>
    <w:bookmarkEnd w:id="22"/>
    <w:p>
      <w:pPr>
        <w:spacing w:after="0" w:line="308" w:lineRule="auto"/>
        <w:rPr>
          <w:sz w:val="20"/>
          <w:szCs w:val="20"/>
          <w:color w:val="auto"/>
        </w:rPr>
      </w:pPr>
      <w:r>
        <w:rPr>
          <w:rFonts w:ascii="Arial" w:cs="Arial" w:eastAsia="Arial" w:hAnsi="Arial"/>
          <w:sz w:val="17"/>
          <w:szCs w:val="17"/>
          <w:color w:val="auto"/>
        </w:rPr>
        <w:t>condition in order to access educational information regarding their condition, information regarding their medication, coupons for instant savings when they purchase their medications, information on free drug trials, and guidance to any other savings programs available to them.</w:t>
      </w:r>
    </w:p>
    <w:p>
      <w:pPr>
        <w:spacing w:after="0" w:line="13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-130175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continue to extend our marketing efforts to build both brand and capabilities awareness to the market. As mentioned above, we continue to actively participate in industry and partner events such as exlPharma and the ACE – Allscripts Users Conference as well as taking a lead sponsor position in the inaugural CBInet eRx and EHR conference in March of 2014. During the course of the year, we also initiated and delivered successful email marketing campaigns, webinar with CMI Compass on What Physicians want within their HER’s, as well as successful public relations and press release communications initiatives. We ran advertising campaigns through Pharma Exec magazine that netted several responses and qualified leads.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2013, we also announced our strategic partnership with WPP/Grey Health Group, a leading agency within the healthcare marketplace. We plan to continue to increase our marketing efforts with all of our strategic partners, as we intend to continue to promote OPTIMIZERx and SampleMD primarily through the following:</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we have attracted and hired a highly seasoned Sales and Marketing Executive who has decades of global pharmaceutical marketing and sales experience at AstraZeneca and others as our Eastern Vice President of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invest in our technology and plan to release SampleMD 2.0 in 2014. This new and improved release will enhance the performance of our first version through quicker response times, easier integration to platform partners, modularity for the addition of new features and functions and an entirely updated user interface to speed and enhance the setup of new programs and campaigns. We will continue to offer reporting portal access to our clients with a new and improved user interface and updated reporting capabilities for monitoring program and campaign performance.</w:t>
      </w:r>
    </w:p>
    <w:p>
      <w:pPr>
        <w:spacing w:after="0" w:line="3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SampleMD 2.0 release will also be supported by a new and updated infrastructure that is a high availability clustered environment with remote disaster recovery enabling us to be back up and running from the worst facility catastrophe in very short order.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continue our commitment to educate both our direct and our extended teams through an understanding of all market dynamics that have the potential to affect our business in both the short and long term. Our primary goal is to help patients better afford and access the medicines their doctors prescribe, as well as other healthcare products and services they need. Based on this goal, we continually seek better ways to meet this mission through the use of improved technology, user feedback, and working closely with the pharmaceutical industry. We are continually seeking new ways we can engage the pharmaceutical industry to provide new support programs to patients in need of their products.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OPTIMIZERx, we are still keen on the opinions and input that we gain from all stakeholders by which our products and solutions cross. From the prescribing clinicians that utilize our solutions to add value to the patients they serve, to the partners we use to leverage their channels for distribution and promotion of the services, we are able to greatly assist the pharmaceutical manufacturing clients that depend on our solutions to increase their brand awareness and assist patients in need of their offerings. This “Voice of the Stakeholder” is a mantra that we leverage in analyzing industry trends and market shifts and identifying enhancements and new offerings through our SampleMD™ solution. This effort involves all of our officers and directors as part of our continual research development team while monitoring new technologies, trends, services, and partnerships that can help us provide additional services and increased value to the healthcare and pharmaceutical industries and to the patients they serve.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technology roadmap for potential new solutions continues to grow as we continued to finalize the two development programs initiated this year featuring a live chat or conversation between the health provider and product manufacturer or service, as well as a one click way to request a representative visit. These solutions address major access barriers that limit doctors’ interaction with the manufacturer and allow the health system or provider to access needed information when they want it. As we are in collaboration with our partners, further content and information delivery solutions are being flushed out as we continue to integrate with new channels and partners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leadership of the Director of Technology and Director of Software Development, whom were added late in 2011 to strengthen our core technical team, we have added an additional developer and a technical intern while leveraging a new development partner in Simple eSolutions, whom provided valuable architecture, system design and database management support on the SampleMD 2.0 effort. We also continued to work with the Engineering and Information Technology department of Oakland University in Rochester Michigan. As the University has opened the doors of its new medical school, it also brings highly skilled technology and application developers whom possess a solid knowledge of medical industry IT requirements.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SampleMD has faced some competition based on the growth in the space primarily by Physicians Interactive. As noted, we have filed a patent infringement suit against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OptimizeRx.com website continues to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that provide online advertising competition to OPTIMIZERx.com, including Quality Health, WebMD, McKesson, and Drugs.com.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these competitors, we do not have major competition in our space of the market. We have been experiencing a growing list of potential partners whom either have content that want to deliver through the SampleMD engine and network, or whom have complementary technology and want to integrate our solution as a channel partner, expanding the reach to clinicians for OPTIMIZERx.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fourth quarter of 2012, we were awarded a patent for our innovative SampleMD solution (US Patent No. 8,341,015). This award highlighted our continued research and development efforts. The awarded claims cover our ability to electronically process, display and distribute eligible prescription savings on the medications and therapies healthcare providers wish to prescribe for their patients. We have also recently submitted and will be preparing additional filings to protect our intellectual property on forthcoming solutions that will further assist and support physicians, pharmacists and patients.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we have hired Harness, Dickey &amp; Pierce, a nationally ranked IP firm, to further expand and protect our intellectual property. Through them, we have filed two additional patents on our technology. We also used the firm to file a patent infringement lawsuit against Physicians Interactive. Management believes the current and expanding IP will allow us to continue being the leader in this rapidly growing space. OPTIMIZERx is a licensed trademark. SampleMD is a licensed trademark.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is developed significantly each month. Since inception, we have developed and launched OFFERx and ADHERxE, and we are further integrating these platforms to provide more robust offerings. OPTIMIZERx.com and OFFERx are patent pending.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May 20, 2014, we had 14 employees in addition to 4 contracted programmers through our established relationship with Simple eSolutions a technical and programming resources partner. Additionally we have one contracted business development individual targeting new EMR channel and pharma client.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we do not own any real estate. Our principal executive offices are located at 400 Water Street, Suite 200, Rochester, Michigan, 48307. We have entered into a 3 year lease for this 2,886 square foot facility, with a cost of approximately$5,049.25 per month.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revenue reported for Q1 2014 was $1,317,347, an increase of $648,057 or 97% from Q1 2013.</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increased revenue for Q1 2014 as compared with Q1 2013 is a result of the continued viability of our SampleMD solution and the setup and integration fees for pharmaceutical manufacturers whom are participating within this offering. The bulk of our revenue for Q1 2014 came mainly from our core SampleMD solutions as opposed to our new consulting business. We expect revenues to increase on our consulting business for the rest of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increased to $1,471,958 for Q1 2014 from $733,969 for Q1 2013. Our major expenses for Q1 2014 were stock-based compensation of $421,577, a settlement expense with LDM for $400,000, salaries, wages and benefits of $349,096, professional fees of $92,553, general and administrative expenses of $89,264 and depreciation and amortization of $58,906. In comparison, our major expenses for Q1 2013 were salaries, wages and benefits of $375,071, general and administrative expenses of $218,794, professional fees of $53,098, depreciation and amortization of $48,111, and consulting fees of $20,407.</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expenses increased in Q1 2014 as compared with Q1 2013 largely as a result of stock based compensation of $421,577 and a one-time settlement expenses of $400,000.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for Q1 2014 was $653,315, compared to net loss of $224,438, for Q1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Years Ended December 31, 2013 and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revenue reported for year ended December 31, 2013 was $4,957,016, an increase from $1,989,086 from the prior year.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increased revenue for the year ended December 31, 2013 as compared with the prior year is a result of the continued viability of our SampleMD solution and the setup and integration fees for pharmaceutical manufacturers whom are participating within this offering. The bulk of our revenue for the year ended December 31, 2013 came mainly from our core SampleMD solutions as opposed to our new consulting business. We expect revenues to increase on our consulting business for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expenses increased to $2,973,990 for the year ended December 31, 2013 from $2,328,648 for the year ended December 31, 2012. Our major expenses for the year ended December 31, 2013 were salaries, wages and benefits of $1,319,712, professional fees of $552,824, stock-based compensation of $411,412, general and administrative expenses of $288,297, depreciation and amortization of $193,971, and consulting fees of $100,077. Our expenses increased in 2013 as compared with 2012 largely as a result of salaries, wages and benefits, professional fees and stock-based compensation.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operating expenses to increase slightly, with the most increase coming as we will continue to add personnel to strengthen our operations, sales and marketing efforts going forward.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year ended December 31, 2013 was $215,847, compared to net loss of $ $454,553 for the year ended December 31, 2012.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company is starting to show real signs of improvement with positive income this year. With increased sales forecasted for next year, we believe that we will achieve a small improvement to net income in 2014.</w:t>
      </w:r>
    </w:p>
    <w:p>
      <w:pPr>
        <w:sectPr>
          <w:pgSz w:w="11900" w:h="16838" w:orient="portrait"/>
          <w:cols w:equalWidth="0" w:num="1">
            <w:col w:w="11420"/>
          </w:cols>
          <w:pgMar w:left="240" w:top="233" w:right="239" w:bottom="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2014, we had total current assets of $5,153,914 and total assets in the amount of $6,515,322. Our total current liabilities as of March 31, 2014 were $1,912,659. We had working capital of $3,241,255 as of March 31, 2014.</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activities provided $226,727 in cash for the three months ended March 31, 2014. Our decrease in accounts receivable of $455,585, stock-based compensation of $421,577, an increase in revenue share payable of $395,935, and an increase in deferred revenue of $164,462 were the primary components of our positive operating cash flow, offset mainly by our net loss of $653,315 and a decrease in accrued expenses of $134,042.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Investing activities used $109,272 during the three months ended March 31, 2014 largely as a result of patent rights and website development costs.</w:t>
      </w:r>
    </w:p>
    <w:p>
      <w:pPr>
        <w:spacing w:after="0" w:line="230" w:lineRule="exact"/>
        <w:rPr>
          <w:sz w:val="20"/>
          <w:szCs w:val="20"/>
          <w:color w:val="auto"/>
        </w:rPr>
      </w:pPr>
    </w:p>
    <w:p>
      <w:pPr>
        <w:ind w:right="220"/>
        <w:spacing w:after="0" w:line="235" w:lineRule="auto"/>
        <w:rPr>
          <w:sz w:val="20"/>
          <w:szCs w:val="20"/>
          <w:color w:val="auto"/>
        </w:rPr>
      </w:pPr>
      <w:r>
        <w:rPr>
          <w:rFonts w:ascii="Arial" w:cs="Arial" w:eastAsia="Arial" w:hAnsi="Arial"/>
          <w:sz w:val="22"/>
          <w:szCs w:val="22"/>
          <w:color w:val="auto"/>
        </w:rPr>
        <w:t>Financing activities provided $2,795,032 during the three months ended March 31, 2104. On March 17, 2014, we entered into a securities purchase agreement with accredited investors pursuant to which we sold an aggregate of 8,333,333 shares of our common stock, par value $0.001 per share, for $1.20 per share, or gross proceeds of $10,000,000. We used $6,000,000 of the proceeds to exercise our option to redeem Vicis Capital Master Fund’s holdings in our company. The balance of the proceeds will be used for working capital. With the financing and cash on hand, we have sufficient cash to operate our business for the next twelve months.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there were no off 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in Note 2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the transactions described below and under the heading “Executive Compensation” (or with respect to which such information is omitted in accordance with SEC regulations), since January 1, 2013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17, 2014, we raised gross proceeds of $10,000,000 in the March 2014 Private Placement with certain accredited investors. We used a portion of the net proceeds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35 shares of Series A Convertible Preferred Stock, 30 shares of Series B Convertible Preferred Stock, 886,340 shares of common stock, and warrants to purchase 10,000,000 shares of common stock held by Vicis in our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2012</w:t>
      </w:r>
    </w:p>
    <w:p>
      <w:pPr>
        <w:spacing w:after="0" w:line="23" w:lineRule="exact"/>
        <w:rPr>
          <w:sz w:val="20"/>
          <w:szCs w:val="20"/>
          <w:color w:val="auto"/>
        </w:rPr>
      </w:pPr>
    </w:p>
    <w:tbl>
      <w:tblPr>
        <w:tblLayout w:type="fixed"/>
        <w:tblInd w:w="2880" w:type="dxa"/>
        <w:tblCellMar>
          <w:top w:w="0" w:type="dxa"/>
          <w:left w:w="0" w:type="dxa"/>
          <w:bottom w:w="0" w:type="dxa"/>
          <w:right w:w="0" w:type="dxa"/>
        </w:tblCellMar>
      </w:tblPr>
      <w:tr>
        <w:trPr>
          <w:trHeight w:val="210"/>
        </w:trPr>
        <w:tc>
          <w:tcPr>
            <w:tcW w:w="19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9"/>
              </w:rPr>
              <w:t>Quarter Ended</w:t>
            </w:r>
          </w:p>
        </w:tc>
        <w:tc>
          <w:tcPr>
            <w:tcW w:w="2440" w:type="dxa"/>
            <w:vAlign w:val="bottom"/>
            <w:tcBorders>
              <w:top w:val="single" w:sz="8" w:color="auto"/>
            </w:tcBorders>
            <w:gridSpan w:val="4"/>
          </w:tcPr>
          <w:p>
            <w:pPr>
              <w:jc w:val="center"/>
              <w:ind w:right="580"/>
              <w:spacing w:after="0"/>
              <w:rPr>
                <w:sz w:val="20"/>
                <w:szCs w:val="20"/>
                <w:color w:val="auto"/>
              </w:rPr>
            </w:pPr>
            <w:r>
              <w:rPr>
                <w:rFonts w:ascii="Arial" w:cs="Arial" w:eastAsia="Arial" w:hAnsi="Arial"/>
                <w:sz w:val="18"/>
                <w:szCs w:val="18"/>
                <w:color w:val="auto"/>
                <w:w w:val="96"/>
              </w:rPr>
              <w:t>High $</w:t>
            </w:r>
          </w:p>
        </w:tc>
        <w:tc>
          <w:tcPr>
            <w:tcW w:w="130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9"/>
              </w:rPr>
              <w:t>Low $</w:t>
            </w:r>
          </w:p>
        </w:tc>
      </w:tr>
      <w:tr>
        <w:trPr>
          <w:trHeight w:val="210"/>
        </w:trPr>
        <w:tc>
          <w:tcPr>
            <w:tcW w:w="1900" w:type="dxa"/>
            <w:vAlign w:val="bottom"/>
            <w:tcBorders>
              <w:top w:val="single" w:sz="8" w:color="auto"/>
            </w:tcBorders>
            <w:gridSpan w:val="2"/>
            <w:shd w:val="clear" w:color="auto" w:fill="CCEECC"/>
          </w:tcPr>
          <w:p>
            <w:pPr>
              <w:jc w:val="center"/>
              <w:ind w:right="40"/>
              <w:spacing w:after="0"/>
              <w:rPr>
                <w:sz w:val="20"/>
                <w:szCs w:val="20"/>
                <w:color w:val="auto"/>
              </w:rPr>
            </w:pPr>
            <w:r>
              <w:rPr>
                <w:rFonts w:ascii="Arial" w:cs="Arial" w:eastAsia="Arial" w:hAnsi="Arial"/>
                <w:sz w:val="18"/>
                <w:szCs w:val="18"/>
                <w:color w:val="auto"/>
                <w:w w:val="89"/>
              </w:rPr>
              <w:t>December 31, 2012</w:t>
            </w:r>
          </w:p>
        </w:tc>
        <w:tc>
          <w:tcPr>
            <w:tcW w:w="60" w:type="dxa"/>
            <w:vAlign w:val="bottom"/>
            <w:tcBorders>
              <w:top w:val="single" w:sz="8" w:color="CCEECC"/>
            </w:tcBorders>
            <w:shd w:val="clear" w:color="auto" w:fill="CCEECC"/>
          </w:tcPr>
          <w:p>
            <w:pPr>
              <w:spacing w:after="0"/>
              <w:rPr>
                <w:sz w:val="18"/>
                <w:szCs w:val="18"/>
                <w:color w:val="auto"/>
              </w:rPr>
            </w:pPr>
          </w:p>
        </w:tc>
        <w:tc>
          <w:tcPr>
            <w:tcW w:w="182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5"/>
              </w:rPr>
              <w:t>1.61</w:t>
            </w:r>
          </w:p>
        </w:tc>
        <w:tc>
          <w:tcPr>
            <w:tcW w:w="40" w:type="dxa"/>
            <w:vAlign w:val="bottom"/>
            <w:tcBorders>
              <w:top w:val="single" w:sz="8" w:color="auto"/>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520" w:type="dxa"/>
            <w:vAlign w:val="bottom"/>
            <w:tcBorders>
              <w:top w:val="single" w:sz="8" w:color="auto"/>
            </w:tcBorders>
            <w:shd w:val="clear" w:color="auto" w:fill="CCEECC"/>
          </w:tcPr>
          <w:p>
            <w:pPr>
              <w:spacing w:after="0"/>
              <w:rPr>
                <w:sz w:val="18"/>
                <w:szCs w:val="18"/>
                <w:color w:val="auto"/>
              </w:rPr>
            </w:pPr>
          </w:p>
        </w:tc>
        <w:tc>
          <w:tcPr>
            <w:tcW w:w="1240" w:type="dxa"/>
            <w:vAlign w:val="bottom"/>
            <w:tcBorders>
              <w:top w:val="single" w:sz="8" w:color="auto"/>
            </w:tcBorders>
            <w:shd w:val="clear" w:color="auto" w:fill="CCEECC"/>
          </w:tcPr>
          <w:p>
            <w:pPr>
              <w:jc w:val="center"/>
              <w:ind w:right="390"/>
              <w:spacing w:after="0"/>
              <w:rPr>
                <w:sz w:val="20"/>
                <w:szCs w:val="20"/>
                <w:color w:val="auto"/>
              </w:rPr>
            </w:pPr>
            <w:r>
              <w:rPr>
                <w:rFonts w:ascii="Arial" w:cs="Arial" w:eastAsia="Arial" w:hAnsi="Arial"/>
                <w:sz w:val="18"/>
                <w:szCs w:val="18"/>
                <w:color w:val="auto"/>
                <w:w w:val="91"/>
              </w:rPr>
              <w:t>0.85</w:t>
            </w:r>
          </w:p>
        </w:tc>
        <w:tc>
          <w:tcPr>
            <w:tcW w:w="60" w:type="dxa"/>
            <w:vAlign w:val="bottom"/>
            <w:tcBorders>
              <w:top w:val="single" w:sz="8" w:color="auto"/>
            </w:tcBorders>
            <w:shd w:val="clear" w:color="auto" w:fill="CCEECC"/>
          </w:tcPr>
          <w:p>
            <w:pPr>
              <w:spacing w:after="0"/>
              <w:rPr>
                <w:sz w:val="18"/>
                <w:szCs w:val="18"/>
                <w:color w:val="auto"/>
              </w:rPr>
            </w:pPr>
          </w:p>
        </w:tc>
      </w:tr>
      <w:tr>
        <w:trPr>
          <w:trHeight w:val="216"/>
        </w:trPr>
        <w:tc>
          <w:tcPr>
            <w:tcW w:w="19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September 30, 2012</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1.85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0.43</w:t>
            </w:r>
          </w:p>
        </w:tc>
        <w:tc>
          <w:tcPr>
            <w:tcW w:w="60" w:type="dxa"/>
            <w:vAlign w:val="bottom"/>
          </w:tcPr>
          <w:p>
            <w:pPr>
              <w:spacing w:after="0"/>
              <w:rPr>
                <w:sz w:val="18"/>
                <w:szCs w:val="18"/>
                <w:color w:val="auto"/>
              </w:rPr>
            </w:pPr>
          </w:p>
        </w:tc>
      </w:tr>
      <w:tr>
        <w:trPr>
          <w:trHeight w:val="216"/>
        </w:trPr>
        <w:tc>
          <w:tcPr>
            <w:tcW w:w="1960" w:type="dxa"/>
            <w:vAlign w:val="bottom"/>
            <w:gridSpan w:val="3"/>
            <w:shd w:val="clear" w:color="auto" w:fill="CCEECC"/>
          </w:tcPr>
          <w:p>
            <w:pPr>
              <w:jc w:val="center"/>
              <w:ind w:right="80"/>
              <w:spacing w:after="0"/>
              <w:rPr>
                <w:sz w:val="20"/>
                <w:szCs w:val="20"/>
                <w:color w:val="auto"/>
              </w:rPr>
            </w:pPr>
            <w:r>
              <w:rPr>
                <w:rFonts w:ascii="Arial" w:cs="Arial" w:eastAsia="Arial" w:hAnsi="Arial"/>
                <w:sz w:val="18"/>
                <w:szCs w:val="18"/>
                <w:color w:val="auto"/>
                <w:w w:val="87"/>
              </w:rPr>
              <w:t>June 30, 2012</w:t>
            </w:r>
          </w:p>
        </w:tc>
        <w:tc>
          <w:tcPr>
            <w:tcW w:w="182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5"/>
              </w:rPr>
              <w:t>1.35</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20" w:type="dxa"/>
            <w:vAlign w:val="bottom"/>
            <w:shd w:val="clear" w:color="auto" w:fill="CCEECC"/>
          </w:tcPr>
          <w:p>
            <w:pPr>
              <w:spacing w:after="0"/>
              <w:rPr>
                <w:sz w:val="18"/>
                <w:szCs w:val="18"/>
                <w:color w:val="auto"/>
              </w:rPr>
            </w:pPr>
          </w:p>
        </w:tc>
        <w:tc>
          <w:tcPr>
            <w:tcW w:w="1240" w:type="dxa"/>
            <w:vAlign w:val="bottom"/>
            <w:shd w:val="clear" w:color="auto" w:fill="CCEECC"/>
          </w:tcPr>
          <w:p>
            <w:pPr>
              <w:jc w:val="center"/>
              <w:ind w:right="390"/>
              <w:spacing w:after="0"/>
              <w:rPr>
                <w:sz w:val="20"/>
                <w:szCs w:val="20"/>
                <w:color w:val="auto"/>
              </w:rPr>
            </w:pPr>
            <w:r>
              <w:rPr>
                <w:rFonts w:ascii="Arial" w:cs="Arial" w:eastAsia="Arial" w:hAnsi="Arial"/>
                <w:sz w:val="18"/>
                <w:szCs w:val="18"/>
                <w:color w:val="auto"/>
                <w:w w:val="91"/>
              </w:rPr>
              <w:t>0.75</w:t>
            </w:r>
          </w:p>
        </w:tc>
        <w:tc>
          <w:tcPr>
            <w:tcW w:w="60" w:type="dxa"/>
            <w:vAlign w:val="bottom"/>
            <w:shd w:val="clear" w:color="auto" w:fill="CCEECC"/>
          </w:tcPr>
          <w:p>
            <w:pPr>
              <w:spacing w:after="0"/>
              <w:rPr>
                <w:sz w:val="18"/>
                <w:szCs w:val="18"/>
                <w:color w:val="auto"/>
              </w:rPr>
            </w:pPr>
          </w:p>
        </w:tc>
      </w:tr>
      <w:tr>
        <w:trPr>
          <w:trHeight w:val="230"/>
        </w:trPr>
        <w:tc>
          <w:tcPr>
            <w:tcW w:w="19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March 31, 2012</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0.53</w:t>
            </w:r>
          </w:p>
        </w:tc>
        <w:tc>
          <w:tcPr>
            <w:tcW w:w="60" w:type="dxa"/>
            <w:vAlign w:val="bottom"/>
          </w:tcPr>
          <w:p>
            <w:pPr>
              <w:spacing w:after="0"/>
              <w:rPr>
                <w:sz w:val="20"/>
                <w:szCs w:val="20"/>
                <w:color w:val="auto"/>
              </w:rPr>
            </w:pPr>
          </w:p>
        </w:tc>
      </w:tr>
      <w:tr>
        <w:trPr>
          <w:trHeight w:val="418"/>
        </w:trPr>
        <w:tc>
          <w:tcPr>
            <w:tcW w:w="4400" w:type="dxa"/>
            <w:vAlign w:val="bottom"/>
            <w:tcBorders>
              <w:bottom w:val="single" w:sz="8" w:color="auto"/>
            </w:tcBorders>
            <w:gridSpan w:val="7"/>
          </w:tcPr>
          <w:p>
            <w:pPr>
              <w:ind w:left="1420"/>
              <w:spacing w:after="0"/>
              <w:rPr>
                <w:sz w:val="20"/>
                <w:szCs w:val="20"/>
                <w:color w:val="auto"/>
              </w:rPr>
            </w:pPr>
            <w:r>
              <w:rPr>
                <w:rFonts w:ascii="Arial" w:cs="Arial" w:eastAsia="Arial" w:hAnsi="Arial"/>
                <w:sz w:val="18"/>
                <w:szCs w:val="18"/>
                <w:color w:val="auto"/>
                <w:w w:val="94"/>
              </w:rPr>
              <w:t>Fiscal Year Ending December 31, 2013</w:t>
            </w: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0"/>
        </w:trPr>
        <w:tc>
          <w:tcPr>
            <w:tcW w:w="19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Quarter Ended</w:t>
            </w:r>
          </w:p>
        </w:tc>
        <w:tc>
          <w:tcPr>
            <w:tcW w:w="2440" w:type="dxa"/>
            <w:vAlign w:val="bottom"/>
            <w:gridSpan w:val="4"/>
          </w:tcPr>
          <w:p>
            <w:pPr>
              <w:jc w:val="center"/>
              <w:ind w:right="580"/>
              <w:spacing w:after="0"/>
              <w:rPr>
                <w:sz w:val="20"/>
                <w:szCs w:val="20"/>
                <w:color w:val="auto"/>
              </w:rPr>
            </w:pPr>
            <w:r>
              <w:rPr>
                <w:rFonts w:ascii="Arial" w:cs="Arial" w:eastAsia="Arial" w:hAnsi="Arial"/>
                <w:sz w:val="18"/>
                <w:szCs w:val="18"/>
                <w:color w:val="auto"/>
                <w:w w:val="96"/>
              </w:rPr>
              <w:t>High $</w:t>
            </w: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Low $</w:t>
            </w:r>
          </w:p>
        </w:tc>
      </w:tr>
      <w:tr>
        <w:trPr>
          <w:trHeight w:val="210"/>
        </w:trPr>
        <w:tc>
          <w:tcPr>
            <w:tcW w:w="182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9"/>
              </w:rPr>
              <w:t>December 31, 2013</w:t>
            </w:r>
          </w:p>
        </w:tc>
        <w:tc>
          <w:tcPr>
            <w:tcW w:w="8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182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5"/>
              </w:rPr>
              <w:t>1.65</w:t>
            </w:r>
          </w:p>
        </w:tc>
        <w:tc>
          <w:tcPr>
            <w:tcW w:w="4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520" w:type="dxa"/>
            <w:vAlign w:val="bottom"/>
            <w:tcBorders>
              <w:top w:val="single" w:sz="8" w:color="auto"/>
            </w:tcBorders>
            <w:shd w:val="clear" w:color="auto" w:fill="CCEECC"/>
          </w:tcPr>
          <w:p>
            <w:pPr>
              <w:spacing w:after="0"/>
              <w:rPr>
                <w:sz w:val="18"/>
                <w:szCs w:val="18"/>
                <w:color w:val="auto"/>
              </w:rPr>
            </w:pPr>
          </w:p>
        </w:tc>
        <w:tc>
          <w:tcPr>
            <w:tcW w:w="1240" w:type="dxa"/>
            <w:vAlign w:val="bottom"/>
            <w:tcBorders>
              <w:top w:val="single" w:sz="8" w:color="auto"/>
            </w:tcBorders>
            <w:shd w:val="clear" w:color="auto" w:fill="CCEECC"/>
          </w:tcPr>
          <w:p>
            <w:pPr>
              <w:jc w:val="center"/>
              <w:ind w:right="390"/>
              <w:spacing w:after="0"/>
              <w:rPr>
                <w:sz w:val="20"/>
                <w:szCs w:val="20"/>
                <w:color w:val="auto"/>
              </w:rPr>
            </w:pPr>
            <w:r>
              <w:rPr>
                <w:rFonts w:ascii="Arial" w:cs="Arial" w:eastAsia="Arial" w:hAnsi="Arial"/>
                <w:sz w:val="18"/>
                <w:szCs w:val="18"/>
                <w:color w:val="auto"/>
                <w:w w:val="91"/>
              </w:rPr>
              <w:t>0.91</w:t>
            </w:r>
          </w:p>
        </w:tc>
        <w:tc>
          <w:tcPr>
            <w:tcW w:w="60" w:type="dxa"/>
            <w:vAlign w:val="bottom"/>
            <w:tcBorders>
              <w:top w:val="single" w:sz="8" w:color="CCEECC"/>
            </w:tcBorders>
            <w:shd w:val="clear" w:color="auto" w:fill="CCEECC"/>
          </w:tcPr>
          <w:p>
            <w:pPr>
              <w:spacing w:after="0"/>
              <w:rPr>
                <w:sz w:val="18"/>
                <w:szCs w:val="18"/>
                <w:color w:val="auto"/>
              </w:rPr>
            </w:pPr>
          </w:p>
        </w:tc>
      </w:tr>
      <w:tr>
        <w:trPr>
          <w:trHeight w:val="216"/>
        </w:trPr>
        <w:tc>
          <w:tcPr>
            <w:tcW w:w="19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September 30, 2013</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0.88</w:t>
            </w:r>
          </w:p>
        </w:tc>
        <w:tc>
          <w:tcPr>
            <w:tcW w:w="60" w:type="dxa"/>
            <w:vAlign w:val="bottom"/>
          </w:tcPr>
          <w:p>
            <w:pPr>
              <w:spacing w:after="0"/>
              <w:rPr>
                <w:sz w:val="18"/>
                <w:szCs w:val="18"/>
                <w:color w:val="auto"/>
              </w:rPr>
            </w:pPr>
          </w:p>
        </w:tc>
      </w:tr>
      <w:tr>
        <w:trPr>
          <w:trHeight w:val="216"/>
        </w:trPr>
        <w:tc>
          <w:tcPr>
            <w:tcW w:w="1960" w:type="dxa"/>
            <w:vAlign w:val="bottom"/>
            <w:gridSpan w:val="3"/>
            <w:shd w:val="clear" w:color="auto" w:fill="CCEECC"/>
          </w:tcPr>
          <w:p>
            <w:pPr>
              <w:jc w:val="center"/>
              <w:ind w:right="80"/>
              <w:spacing w:after="0"/>
              <w:rPr>
                <w:sz w:val="20"/>
                <w:szCs w:val="20"/>
                <w:color w:val="auto"/>
              </w:rPr>
            </w:pPr>
            <w:r>
              <w:rPr>
                <w:rFonts w:ascii="Arial" w:cs="Arial" w:eastAsia="Arial" w:hAnsi="Arial"/>
                <w:sz w:val="18"/>
                <w:szCs w:val="18"/>
                <w:color w:val="auto"/>
                <w:w w:val="87"/>
              </w:rPr>
              <w:t>June 30, 2013</w:t>
            </w:r>
          </w:p>
        </w:tc>
        <w:tc>
          <w:tcPr>
            <w:tcW w:w="182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5"/>
              </w:rPr>
              <w:t>1.91</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20" w:type="dxa"/>
            <w:vAlign w:val="bottom"/>
            <w:shd w:val="clear" w:color="auto" w:fill="CCEECC"/>
          </w:tcPr>
          <w:p>
            <w:pPr>
              <w:spacing w:after="0"/>
              <w:rPr>
                <w:sz w:val="18"/>
                <w:szCs w:val="18"/>
                <w:color w:val="auto"/>
              </w:rPr>
            </w:pPr>
          </w:p>
        </w:tc>
        <w:tc>
          <w:tcPr>
            <w:tcW w:w="1240" w:type="dxa"/>
            <w:vAlign w:val="bottom"/>
            <w:shd w:val="clear" w:color="auto" w:fill="CCEECC"/>
          </w:tcPr>
          <w:p>
            <w:pPr>
              <w:jc w:val="center"/>
              <w:ind w:right="390"/>
              <w:spacing w:after="0"/>
              <w:rPr>
                <w:sz w:val="20"/>
                <w:szCs w:val="20"/>
                <w:color w:val="auto"/>
              </w:rPr>
            </w:pPr>
            <w:r>
              <w:rPr>
                <w:rFonts w:ascii="Arial" w:cs="Arial" w:eastAsia="Arial" w:hAnsi="Arial"/>
                <w:sz w:val="18"/>
                <w:szCs w:val="18"/>
                <w:color w:val="auto"/>
                <w:w w:val="91"/>
              </w:rPr>
              <w:t>1.12</w:t>
            </w:r>
          </w:p>
        </w:tc>
        <w:tc>
          <w:tcPr>
            <w:tcW w:w="60" w:type="dxa"/>
            <w:vAlign w:val="bottom"/>
            <w:shd w:val="clear" w:color="auto" w:fill="CCEECC"/>
          </w:tcPr>
          <w:p>
            <w:pPr>
              <w:spacing w:after="0"/>
              <w:rPr>
                <w:sz w:val="18"/>
                <w:szCs w:val="18"/>
                <w:color w:val="auto"/>
              </w:rPr>
            </w:pPr>
          </w:p>
        </w:tc>
      </w:tr>
      <w:tr>
        <w:trPr>
          <w:trHeight w:val="230"/>
        </w:trPr>
        <w:tc>
          <w:tcPr>
            <w:tcW w:w="19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March 31, 2013</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1.42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0.96</w:t>
            </w:r>
          </w:p>
        </w:tc>
        <w:tc>
          <w:tcPr>
            <w:tcW w:w="6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May 19, 2014, the last sales price per share of our common stock was $1.72.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May 20, 2014, we had 23,412,113 shares of our common stock issued and outstanding, held by 316 shareholders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184"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Plan, we may issue up to an aggregate total of 1,500,000 incentive or non-qualified options to purchase our common stock or stock awards.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as of December 31, 2013</w:t>
            </w: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rPr>
              <w:t>A</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B</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C</w:t>
            </w:r>
          </w:p>
        </w:tc>
      </w:tr>
      <w:tr>
        <w:trPr>
          <w:trHeight w:val="195"/>
        </w:trPr>
        <w:tc>
          <w:tcPr>
            <w:tcW w:w="2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Number of securities</w:t>
            </w:r>
          </w:p>
        </w:tc>
        <w:tc>
          <w:tcPr>
            <w:tcW w:w="20" w:type="dxa"/>
            <w:vAlign w:val="bottom"/>
          </w:tcPr>
          <w:p>
            <w:pPr>
              <w:spacing w:after="0"/>
              <w:rPr>
                <w:sz w:val="16"/>
                <w:szCs w:val="16"/>
                <w:color w:val="auto"/>
              </w:rPr>
            </w:pP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remaining available</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securities to be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for future issuance</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issued upon</w:t>
            </w:r>
          </w:p>
        </w:tc>
        <w:tc>
          <w:tcPr>
            <w:tcW w:w="40" w:type="dxa"/>
            <w:vAlign w:val="bottom"/>
          </w:tcPr>
          <w:p>
            <w:pPr>
              <w:spacing w:after="0"/>
              <w:rPr>
                <w:sz w:val="18"/>
                <w:szCs w:val="18"/>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8"/>
                <w:szCs w:val="18"/>
                <w:color w:val="auto"/>
                <w:w w:val="88"/>
              </w:rPr>
              <w:t>Weighted-average</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under equity</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exercise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exercise price of</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compensation plans</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outstanding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outstanding</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(excluding securities</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options, warrants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options, warrants</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reflected in column</w:t>
            </w:r>
          </w:p>
        </w:tc>
      </w:tr>
      <w:tr>
        <w:trPr>
          <w:trHeight w:val="230"/>
        </w:trPr>
        <w:tc>
          <w:tcPr>
            <w:tcW w:w="4580" w:type="dxa"/>
            <w:vAlign w:val="bottom"/>
            <w:gridSpan w:val="2"/>
          </w:tcPr>
          <w:p>
            <w:pPr>
              <w:ind w:left="2300"/>
              <w:spacing w:after="0"/>
              <w:rPr>
                <w:sz w:val="20"/>
                <w:szCs w:val="20"/>
                <w:color w:val="auto"/>
              </w:rPr>
            </w:pPr>
            <w:r>
              <w:rPr>
                <w:rFonts w:ascii="Arial" w:cs="Arial" w:eastAsia="Arial" w:hAnsi="Arial"/>
                <w:sz w:val="18"/>
                <w:szCs w:val="18"/>
                <w:color w:val="auto"/>
              </w:rPr>
              <w:t>Plan Category</w:t>
            </w: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and rights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and right</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(A))</w:t>
            </w:r>
          </w:p>
        </w:tc>
      </w:tr>
      <w:tr>
        <w:trPr>
          <w:trHeight w:val="182"/>
        </w:trPr>
        <w:tc>
          <w:tcPr>
            <w:tcW w:w="4580" w:type="dxa"/>
            <w:vAlign w:val="bottom"/>
            <w:gridSpan w:val="2"/>
          </w:tcPr>
          <w:p>
            <w:pPr>
              <w:ind w:left="2300"/>
              <w:spacing w:after="0" w:line="182" w:lineRule="exact"/>
              <w:rPr>
                <w:sz w:val="20"/>
                <w:szCs w:val="20"/>
                <w:color w:val="auto"/>
              </w:rPr>
            </w:pPr>
            <w:r>
              <w:rPr>
                <w:rFonts w:ascii="Arial" w:cs="Arial" w:eastAsia="Arial" w:hAnsi="Arial"/>
                <w:sz w:val="18"/>
                <w:szCs w:val="18"/>
                <w:color w:val="auto"/>
              </w:rPr>
              <w:t>Equity compensation plans</w:t>
            </w:r>
          </w:p>
        </w:tc>
        <w:tc>
          <w:tcPr>
            <w:tcW w:w="1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580" w:type="dxa"/>
            <w:vAlign w:val="bottom"/>
            <w:gridSpan w:val="2"/>
          </w:tcPr>
          <w:p>
            <w:pPr>
              <w:ind w:left="2300"/>
              <w:spacing w:after="0"/>
              <w:rPr>
                <w:sz w:val="20"/>
                <w:szCs w:val="20"/>
                <w:color w:val="auto"/>
              </w:rPr>
            </w:pPr>
            <w:r>
              <w:rPr>
                <w:rFonts w:ascii="Arial" w:cs="Arial" w:eastAsia="Arial" w:hAnsi="Arial"/>
                <w:sz w:val="18"/>
                <w:szCs w:val="18"/>
                <w:color w:val="auto"/>
                <w:w w:val="98"/>
              </w:rPr>
              <w:t>approved by security holders</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182"/>
        </w:trPr>
        <w:tc>
          <w:tcPr>
            <w:tcW w:w="2300" w:type="dxa"/>
            <w:vAlign w:val="bottom"/>
          </w:tcPr>
          <w:p>
            <w:pPr>
              <w:spacing w:after="0"/>
              <w:rPr>
                <w:sz w:val="15"/>
                <w:szCs w:val="15"/>
                <w:color w:val="auto"/>
              </w:rPr>
            </w:pPr>
          </w:p>
        </w:tc>
        <w:tc>
          <w:tcPr>
            <w:tcW w:w="2280" w:type="dxa"/>
            <w:vAlign w:val="bottom"/>
            <w:tcBorders>
              <w:top w:val="single" w:sz="8" w:color="CCEECC"/>
            </w:tcBorders>
            <w:shd w:val="clear" w:color="auto" w:fill="CCEECC"/>
          </w:tcPr>
          <w:p>
            <w:pPr>
              <w:ind w:left="80"/>
              <w:spacing w:after="0" w:line="182" w:lineRule="exact"/>
              <w:rPr>
                <w:sz w:val="20"/>
                <w:szCs w:val="20"/>
                <w:color w:val="auto"/>
              </w:rPr>
            </w:pPr>
            <w:r>
              <w:rPr>
                <w:rFonts w:ascii="Arial" w:cs="Arial" w:eastAsia="Arial" w:hAnsi="Arial"/>
                <w:sz w:val="18"/>
                <w:szCs w:val="18"/>
                <w:color w:val="auto"/>
              </w:rPr>
              <w:t>Equity compensation plans</w:t>
            </w:r>
          </w:p>
        </w:tc>
        <w:tc>
          <w:tcPr>
            <w:tcW w:w="13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2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560" w:type="dxa"/>
            <w:vAlign w:val="bottom"/>
            <w:tcBorders>
              <w:top w:val="single" w:sz="8" w:color="auto"/>
              <w:right w:val="single" w:sz="8" w:color="CCEECC"/>
            </w:tcBorders>
            <w:shd w:val="clear" w:color="auto" w:fill="CCEECC"/>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300" w:type="dxa"/>
            <w:vAlign w:val="bottom"/>
          </w:tcPr>
          <w:p>
            <w:pPr>
              <w:spacing w:after="0"/>
              <w:rPr>
                <w:sz w:val="18"/>
                <w:szCs w:val="18"/>
                <w:color w:val="auto"/>
              </w:rPr>
            </w:pPr>
          </w:p>
        </w:tc>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not approved by security</w:t>
            </w:r>
          </w:p>
        </w:tc>
        <w:tc>
          <w:tcPr>
            <w:tcW w:w="13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560" w:type="dxa"/>
            <w:vAlign w:val="bottom"/>
            <w:tcBorders>
              <w:right w:val="single" w:sz="8" w:color="CCEECC"/>
            </w:tcBorders>
            <w:shd w:val="clear" w:color="auto" w:fill="CCEEC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holders</w:t>
            </w:r>
          </w:p>
        </w:tc>
        <w:tc>
          <w:tcPr>
            <w:tcW w:w="14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13,783,334</w:t>
            </w:r>
          </w:p>
        </w:tc>
        <w:tc>
          <w:tcPr>
            <w:tcW w:w="40" w:type="dxa"/>
            <w:vAlign w:val="bottom"/>
            <w:shd w:val="clear" w:color="auto" w:fill="CCEECC"/>
          </w:tcPr>
          <w:p>
            <w:pPr>
              <w:spacing w:after="0"/>
              <w:rPr>
                <w:sz w:val="20"/>
                <w:szCs w:val="20"/>
                <w:color w:val="auto"/>
              </w:rPr>
            </w:pPr>
          </w:p>
        </w:tc>
        <w:tc>
          <w:tcPr>
            <w:tcW w:w="1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CC"/>
          </w:tcPr>
          <w:p>
            <w:pPr>
              <w:spacing w:after="0"/>
              <w:rPr>
                <w:sz w:val="20"/>
                <w:szCs w:val="20"/>
                <w:color w:val="auto"/>
              </w:rPr>
            </w:pPr>
          </w:p>
        </w:tc>
        <w:tc>
          <w:tcPr>
            <w:tcW w:w="1560" w:type="dxa"/>
            <w:vAlign w:val="bottom"/>
            <w:tcBorders>
              <w:right w:val="single" w:sz="8" w:color="CCEECC"/>
            </w:tcBorders>
            <w:shd w:val="clear" w:color="auto" w:fill="CCEECC"/>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13,783,334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14, 2013, we granted restricted stock awards under our 2013 Incentive Plan. Mr. David Harrell was awarded 121,875 shares of our common stock and Mr. Terry Hamilton was awarded 215,625 shares of our common stock. The restricted stock awards will vest 50% on the date six months and one day after the date of grant, and the remaining 50% one year after the first vesting date.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20, 2013, we entered into a Separation Agreement with Mr. Shad Stastney regarding the terms and conditions of his departure from our company (the “Agreement”). Under the Agreement, among other things, we agreed to issue to Mr. Stastney 500,000 shares of our common stock, half now and the rest by January 1, 2014.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On January 9, 2014, we awarded 200,000 shares of stock to David Harrell, David Lester and Terry Hamilton from our 2013 Incentive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29, 2014, David Lester exercised 500,000 stock warrants using the cashless exercise feature. In exchange for the 500,000 warrants, 410,348 shares of common stock were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2014, we issued 10,000 shares to North Coast Advisors, our consultant, for services rendered.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2014, we issued 267,500 stock options to five employees at exercise prices of $1.54 and $1.82.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2014, we issued 10,000 stock options to a non-employee at exercise price of $1.85.</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17, 2014, we entered into a securities purchase agreement with accredited investors, pursuant to which we sold an aggregate of 8,333,333 shares of the Company’s common stock, par value $0.001 per share, for $1.20 per Share, or gross proceeds of $10,000,000. We issued warrants to purchase 804,139 shares of our common stock with an exercise price of $1.20 per share and a term of 5 years to placement agents in the raise.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2013 and 2012.</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195"/>
        </w:trPr>
        <w:tc>
          <w:tcPr>
            <w:tcW w:w="1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Option</w:t>
            </w:r>
          </w:p>
        </w:tc>
        <w:tc>
          <w:tcPr>
            <w:tcW w:w="1120" w:type="dxa"/>
            <w:vAlign w:val="bottom"/>
            <w:tcBorders>
              <w:top w:val="single" w:sz="8" w:color="auto"/>
            </w:tcBorders>
            <w:gridSpan w:val="2"/>
          </w:tcPr>
          <w:p>
            <w:pPr>
              <w:jc w:val="center"/>
              <w:ind w:right="60"/>
              <w:spacing w:after="0" w:line="195" w:lineRule="exact"/>
              <w:rPr>
                <w:sz w:val="20"/>
                <w:szCs w:val="20"/>
                <w:color w:val="auto"/>
              </w:rPr>
            </w:pPr>
            <w:r>
              <w:rPr>
                <w:rFonts w:ascii="Arial" w:cs="Arial" w:eastAsia="Arial" w:hAnsi="Arial"/>
                <w:sz w:val="18"/>
                <w:szCs w:val="18"/>
                <w:color w:val="auto"/>
                <w:w w:val="96"/>
              </w:rPr>
              <w:t>Non-Equity</w:t>
            </w:r>
          </w:p>
        </w:tc>
        <w:tc>
          <w:tcPr>
            <w:tcW w:w="1120" w:type="dxa"/>
            <w:vAlign w:val="bottom"/>
            <w:tcBorders>
              <w:top w:val="single" w:sz="8" w:color="auto"/>
            </w:tcBorders>
            <w:gridSpan w:val="2"/>
          </w:tcPr>
          <w:p>
            <w:pPr>
              <w:jc w:val="center"/>
              <w:ind w:right="60"/>
              <w:spacing w:after="0" w:line="195" w:lineRule="exact"/>
              <w:rPr>
                <w:sz w:val="20"/>
                <w:szCs w:val="20"/>
                <w:color w:val="auto"/>
              </w:rPr>
            </w:pPr>
            <w:r>
              <w:rPr>
                <w:rFonts w:ascii="Arial" w:cs="Arial" w:eastAsia="Arial" w:hAnsi="Arial"/>
                <w:sz w:val="18"/>
                <w:szCs w:val="18"/>
                <w:color w:val="auto"/>
                <w:w w:val="93"/>
              </w:rPr>
              <w:t>Nonqualified</w:t>
            </w:r>
          </w:p>
        </w:tc>
        <w:tc>
          <w:tcPr>
            <w:tcW w:w="1120" w:type="dxa"/>
            <w:vAlign w:val="bottom"/>
            <w:tcBorders>
              <w:top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9"/>
              </w:rPr>
              <w:t>All Other</w:t>
            </w: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Name and</w:t>
            </w:r>
          </w:p>
        </w:tc>
        <w:tc>
          <w:tcPr>
            <w:tcW w:w="580" w:type="dxa"/>
            <w:vAlign w:val="bottom"/>
            <w:gridSpan w:val="2"/>
            <w:vMerge w:val="restart"/>
          </w:tcPr>
          <w:p>
            <w:pPr>
              <w:ind w:left="120"/>
              <w:spacing w:after="0"/>
              <w:rPr>
                <w:sz w:val="20"/>
                <w:szCs w:val="20"/>
                <w:color w:val="auto"/>
              </w:rPr>
            </w:pPr>
            <w:r>
              <w:rPr>
                <w:rFonts w:ascii="Arial" w:cs="Arial" w:eastAsia="Arial" w:hAnsi="Arial"/>
                <w:sz w:val="18"/>
                <w:szCs w:val="18"/>
                <w:color w:val="auto"/>
              </w:rPr>
              <w:t>Year</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Salary</w:t>
            </w:r>
          </w:p>
        </w:tc>
        <w:tc>
          <w:tcPr>
            <w:tcW w:w="640" w:type="dxa"/>
            <w:vAlign w:val="bottom"/>
            <w:gridSpan w:val="2"/>
            <w:vMerge w:val="restart"/>
          </w:tcPr>
          <w:p>
            <w:pPr>
              <w:ind w:left="60"/>
              <w:spacing w:after="0"/>
              <w:rPr>
                <w:sz w:val="20"/>
                <w:szCs w:val="20"/>
                <w:color w:val="auto"/>
              </w:rPr>
            </w:pPr>
            <w:r>
              <w:rPr>
                <w:rFonts w:ascii="Arial" w:cs="Arial" w:eastAsia="Arial" w:hAnsi="Arial"/>
                <w:sz w:val="18"/>
                <w:szCs w:val="18"/>
                <w:color w:val="auto"/>
              </w:rPr>
              <w:t>Bonus</w:t>
            </w:r>
          </w:p>
        </w:tc>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Stock</w:t>
            </w:r>
          </w:p>
        </w:tc>
        <w:tc>
          <w:tcPr>
            <w:tcW w:w="680" w:type="dxa"/>
            <w:vAlign w:val="bottom"/>
            <w:gridSpan w:val="2"/>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w w:val="93"/>
              </w:rPr>
              <w:t>Incentive Plan</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Deferred</w:t>
            </w:r>
          </w:p>
        </w:tc>
        <w:tc>
          <w:tcPr>
            <w:tcW w:w="1120" w:type="dxa"/>
            <w:vAlign w:val="bottom"/>
            <w:gridSpan w:val="2"/>
            <w:vMerge w:val="continue"/>
          </w:tcPr>
          <w:p>
            <w:pPr>
              <w:spacing w:after="0"/>
              <w:rPr>
                <w:sz w:val="18"/>
                <w:szCs w:val="18"/>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7"/>
        </w:trPr>
        <w:tc>
          <w:tcPr>
            <w:tcW w:w="1220" w:type="dxa"/>
            <w:vAlign w:val="bottom"/>
            <w:gridSpan w:val="2"/>
          </w:tcPr>
          <w:p>
            <w:pPr>
              <w:ind w:left="20"/>
              <w:spacing w:after="0" w:line="177" w:lineRule="exact"/>
              <w:rPr>
                <w:sz w:val="20"/>
                <w:szCs w:val="20"/>
                <w:color w:val="auto"/>
              </w:rPr>
            </w:pPr>
            <w:r>
              <w:rPr>
                <w:rFonts w:ascii="Arial" w:cs="Arial" w:eastAsia="Arial" w:hAnsi="Arial"/>
                <w:sz w:val="18"/>
                <w:szCs w:val="18"/>
                <w:color w:val="auto"/>
              </w:rPr>
              <w:t>principal</w:t>
            </w:r>
          </w:p>
        </w:tc>
        <w:tc>
          <w:tcPr>
            <w:tcW w:w="580" w:type="dxa"/>
            <w:vAlign w:val="bottom"/>
            <w:gridSpan w:val="2"/>
            <w:vMerge w:val="continue"/>
          </w:tcPr>
          <w:p>
            <w:pPr>
              <w:spacing w:after="0"/>
              <w:rPr>
                <w:sz w:val="15"/>
                <w:szCs w:val="15"/>
                <w:color w:val="auto"/>
              </w:rPr>
            </w:pPr>
          </w:p>
        </w:tc>
        <w:tc>
          <w:tcPr>
            <w:tcW w:w="640" w:type="dxa"/>
            <w:vAlign w:val="bottom"/>
          </w:tcPr>
          <w:p>
            <w:pPr>
              <w:jc w:val="center"/>
              <w:spacing w:after="0" w:line="177"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00" w:type="dxa"/>
            <w:vAlign w:val="bottom"/>
            <w:gridSpan w:val="2"/>
          </w:tcPr>
          <w:p>
            <w:pPr>
              <w:jc w:val="center"/>
              <w:ind w:right="80"/>
              <w:spacing w:after="0" w:line="177" w:lineRule="exact"/>
              <w:rPr>
                <w:sz w:val="20"/>
                <w:szCs w:val="20"/>
                <w:color w:val="auto"/>
              </w:rPr>
            </w:pPr>
            <w:r>
              <w:rPr>
                <w:rFonts w:ascii="Arial" w:cs="Arial" w:eastAsia="Arial" w:hAnsi="Arial"/>
                <w:sz w:val="18"/>
                <w:szCs w:val="18"/>
                <w:color w:val="auto"/>
                <w:w w:val="89"/>
              </w:rPr>
              <w:t>Awards</w:t>
            </w:r>
          </w:p>
        </w:tc>
        <w:tc>
          <w:tcPr>
            <w:tcW w:w="680" w:type="dxa"/>
            <w:vAlign w:val="bottom"/>
            <w:gridSpan w:val="2"/>
          </w:tcPr>
          <w:p>
            <w:pPr>
              <w:jc w:val="center"/>
              <w:ind w:right="20"/>
              <w:spacing w:after="0" w:line="177" w:lineRule="exact"/>
              <w:rPr>
                <w:sz w:val="20"/>
                <w:szCs w:val="20"/>
                <w:color w:val="auto"/>
              </w:rPr>
            </w:pPr>
            <w:r>
              <w:rPr>
                <w:rFonts w:ascii="Arial" w:cs="Arial" w:eastAsia="Arial" w:hAnsi="Arial"/>
                <w:sz w:val="18"/>
                <w:szCs w:val="18"/>
                <w:color w:val="auto"/>
                <w:w w:val="89"/>
              </w:rPr>
              <w:t>Awards</w:t>
            </w:r>
          </w:p>
        </w:tc>
        <w:tc>
          <w:tcPr>
            <w:tcW w:w="3360" w:type="dxa"/>
            <w:vAlign w:val="bottom"/>
            <w:gridSpan w:val="6"/>
          </w:tcPr>
          <w:p>
            <w:pPr>
              <w:jc w:val="center"/>
              <w:ind w:right="20"/>
              <w:spacing w:after="0" w:line="177" w:lineRule="exact"/>
              <w:rPr>
                <w:sz w:val="20"/>
                <w:szCs w:val="20"/>
                <w:color w:val="auto"/>
              </w:rPr>
            </w:pPr>
            <w:r>
              <w:rPr>
                <w:rFonts w:ascii="Arial" w:cs="Arial" w:eastAsia="Arial" w:hAnsi="Arial"/>
                <w:sz w:val="18"/>
                <w:szCs w:val="18"/>
                <w:color w:val="auto"/>
                <w:w w:val="92"/>
              </w:rPr>
              <w:t>Compensation Compensation Compensation</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position</w:t>
            </w: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40" w:type="dxa"/>
            <w:vAlign w:val="bottom"/>
          </w:tcPr>
          <w:p>
            <w:pPr>
              <w:spacing w:after="0"/>
              <w:rPr>
                <w:sz w:val="23"/>
                <w:szCs w:val="23"/>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20" w:type="dxa"/>
            <w:vAlign w:val="bottom"/>
          </w:tcPr>
          <w:p>
            <w:pPr>
              <w:jc w:val="center"/>
              <w:spacing w:after="0" w:line="268" w:lineRule="exact"/>
              <w:rPr>
                <w:sz w:val="20"/>
                <w:szCs w:val="20"/>
                <w:color w:val="auto"/>
              </w:rPr>
            </w:pPr>
            <w:r>
              <w:rPr>
                <w:rFonts w:ascii="Arial" w:cs="Arial" w:eastAsia="Arial" w:hAnsi="Arial"/>
                <w:sz w:val="18"/>
                <w:szCs w:val="18"/>
                <w:color w:val="auto"/>
                <w:w w:val="81"/>
              </w:rPr>
              <w:t>($)</w:t>
            </w:r>
            <w:r>
              <w:rPr>
                <w:rFonts w:ascii="Arial" w:cs="Arial" w:eastAsia="Arial" w:hAnsi="Arial"/>
                <w:sz w:val="30"/>
                <w:szCs w:val="30"/>
                <w:color w:val="auto"/>
                <w:w w:val="81"/>
                <w:vertAlign w:val="superscript"/>
              </w:rPr>
              <w:t>(2)</w:t>
            </w:r>
          </w:p>
        </w:tc>
        <w:tc>
          <w:tcPr>
            <w:tcW w:w="60" w:type="dxa"/>
            <w:vAlign w:val="bottom"/>
          </w:tcPr>
          <w:p>
            <w:pPr>
              <w:spacing w:after="0"/>
              <w:rPr>
                <w:sz w:val="23"/>
                <w:szCs w:val="23"/>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Earnings ($)</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195"/>
        </w:trPr>
        <w:tc>
          <w:tcPr>
            <w:tcW w:w="1180" w:type="dxa"/>
            <w:vAlign w:val="bottom"/>
            <w:tcBorders>
              <w:top w:val="single" w:sz="8" w:color="auto"/>
            </w:tcBorders>
            <w:shd w:val="clear" w:color="auto" w:fill="CCEECC"/>
          </w:tcPr>
          <w:p>
            <w:pPr>
              <w:ind w:left="20"/>
              <w:spacing w:after="0" w:line="195" w:lineRule="exact"/>
              <w:rPr>
                <w:sz w:val="20"/>
                <w:szCs w:val="20"/>
                <w:color w:val="auto"/>
              </w:rPr>
            </w:pPr>
            <w:r>
              <w:rPr>
                <w:rFonts w:ascii="Arial" w:cs="Arial" w:eastAsia="Arial" w:hAnsi="Arial"/>
                <w:sz w:val="18"/>
                <w:szCs w:val="18"/>
                <w:color w:val="auto"/>
                <w:w w:val="97"/>
              </w:rPr>
              <w:t>Shad Stastney</w:t>
            </w:r>
          </w:p>
        </w:tc>
        <w:tc>
          <w:tcPr>
            <w:tcW w:w="40" w:type="dxa"/>
            <w:vAlign w:val="bottom"/>
            <w:tcBorders>
              <w:top w:val="single" w:sz="8" w:color="CCEECC"/>
            </w:tcBorders>
            <w:shd w:val="clear" w:color="auto" w:fill="CCEECC"/>
          </w:tcPr>
          <w:p>
            <w:pPr>
              <w:spacing w:after="0"/>
              <w:rPr>
                <w:sz w:val="16"/>
                <w:szCs w:val="16"/>
                <w:color w:val="auto"/>
              </w:rPr>
            </w:pPr>
          </w:p>
        </w:tc>
        <w:tc>
          <w:tcPr>
            <w:tcW w:w="54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6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60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6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62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660" w:type="dxa"/>
            <w:vAlign w:val="bottom"/>
            <w:tcBorders>
              <w:top w:val="single" w:sz="8" w:color="auto"/>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Former</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Chairman,</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w w:val="94"/>
              </w:rPr>
              <w:t>President, CEO</w:t>
            </w:r>
          </w:p>
        </w:tc>
        <w:tc>
          <w:tcPr>
            <w:tcW w:w="540" w:type="dxa"/>
            <w:vAlign w:val="bottom"/>
            <w:vMerge w:val="restart"/>
            <w:shd w:val="clear" w:color="auto" w:fill="CCEECC"/>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shd w:val="clear" w:color="auto" w:fill="CCEECC"/>
          </w:tcPr>
          <w:p>
            <w:pPr>
              <w:spacing w:after="0"/>
              <w:rPr>
                <w:sz w:val="18"/>
                <w:szCs w:val="18"/>
                <w:color w:val="auto"/>
              </w:rPr>
            </w:pPr>
          </w:p>
        </w:tc>
        <w:tc>
          <w:tcPr>
            <w:tcW w:w="64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176"/>
        </w:trPr>
        <w:tc>
          <w:tcPr>
            <w:tcW w:w="1220" w:type="dxa"/>
            <w:vAlign w:val="bottom"/>
            <w:gridSpan w:val="2"/>
            <w:shd w:val="clear" w:color="auto" w:fill="CCEECC"/>
          </w:tcPr>
          <w:p>
            <w:pPr>
              <w:ind w:left="20"/>
              <w:spacing w:after="0" w:line="176" w:lineRule="exact"/>
              <w:rPr>
                <w:sz w:val="20"/>
                <w:szCs w:val="20"/>
                <w:color w:val="auto"/>
              </w:rPr>
            </w:pPr>
            <w:r>
              <w:rPr>
                <w:rFonts w:ascii="Arial" w:cs="Arial" w:eastAsia="Arial" w:hAnsi="Arial"/>
                <w:sz w:val="18"/>
                <w:szCs w:val="18"/>
                <w:color w:val="auto"/>
              </w:rPr>
              <w:t>and Director</w:t>
            </w:r>
          </w:p>
        </w:tc>
        <w:tc>
          <w:tcPr>
            <w:tcW w:w="540" w:type="dxa"/>
            <w:vAlign w:val="bottom"/>
            <w:vMerge w:val="continue"/>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vMerge w:val="continue"/>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0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2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60" w:type="dxa"/>
            <w:vAlign w:val="bottom"/>
            <w:vMerge w:val="continue"/>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540" w:type="dxa"/>
            <w:vAlign w:val="bottom"/>
            <w:shd w:val="clear" w:color="auto" w:fill="CCEECC"/>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126,762</w:t>
            </w:r>
          </w:p>
        </w:tc>
        <w:tc>
          <w:tcPr>
            <w:tcW w:w="60" w:type="dxa"/>
            <w:vAlign w:val="bottom"/>
            <w:shd w:val="clear" w:color="auto" w:fill="CCEECC"/>
          </w:tcPr>
          <w:p>
            <w:pPr>
              <w:spacing w:after="0"/>
              <w:rPr>
                <w:sz w:val="19"/>
                <w:szCs w:val="19"/>
                <w:color w:val="auto"/>
              </w:rPr>
            </w:pPr>
          </w:p>
        </w:tc>
        <w:tc>
          <w:tcPr>
            <w:tcW w:w="60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62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126,762</w:t>
            </w:r>
          </w:p>
        </w:tc>
        <w:tc>
          <w:tcPr>
            <w:tcW w:w="0" w:type="dxa"/>
            <w:vAlign w:val="bottom"/>
          </w:tcPr>
          <w:p>
            <w:pPr>
              <w:spacing w:after="0"/>
              <w:rPr>
                <w:sz w:val="1"/>
                <w:szCs w:val="1"/>
                <w:color w:val="auto"/>
              </w:rPr>
            </w:pPr>
          </w:p>
        </w:tc>
      </w:tr>
      <w:tr>
        <w:trPr>
          <w:trHeight w:val="202"/>
        </w:trPr>
        <w:tc>
          <w:tcPr>
            <w:tcW w:w="12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David Lester</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COO,</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Secretary,</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Treasurer and</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0"/>
              </w:rPr>
              <w:t>10,000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167,500</w:t>
            </w:r>
          </w:p>
        </w:tc>
        <w:tc>
          <w:tcPr>
            <w:tcW w:w="0" w:type="dxa"/>
            <w:vAlign w:val="bottom"/>
          </w:tcPr>
          <w:p>
            <w:pPr>
              <w:spacing w:after="0"/>
              <w:rPr>
                <w:sz w:val="1"/>
                <w:szCs w:val="1"/>
                <w:color w:val="auto"/>
              </w:rPr>
            </w:pPr>
          </w:p>
        </w:tc>
      </w:tr>
      <w:tr>
        <w:trPr>
          <w:trHeight w:val="176"/>
        </w:trPr>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Director</w:t>
            </w: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92"/>
              </w:rPr>
              <w:t>172,500</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15,000</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20" w:type="dxa"/>
            <w:vAlign w:val="bottom"/>
            <w:gridSpan w:val="2"/>
            <w:shd w:val="clear" w:color="auto" w:fill="CCEECC"/>
          </w:tcPr>
          <w:p>
            <w:pPr>
              <w:ind w:left="20"/>
              <w:spacing w:after="0" w:line="201" w:lineRule="exact"/>
              <w:rPr>
                <w:sz w:val="20"/>
                <w:szCs w:val="20"/>
                <w:color w:val="auto"/>
              </w:rPr>
            </w:pPr>
            <w:r>
              <w:rPr>
                <w:rFonts w:ascii="Arial" w:cs="Arial" w:eastAsia="Arial" w:hAnsi="Arial"/>
                <w:sz w:val="18"/>
                <w:szCs w:val="18"/>
                <w:color w:val="auto"/>
              </w:rPr>
              <w:t>David A.</w:t>
            </w:r>
          </w:p>
        </w:tc>
        <w:tc>
          <w:tcPr>
            <w:tcW w:w="54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Harrell</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Chairman,</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Chief</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Executive</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Officer, Chief</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Strategic</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Officer and</w:t>
            </w:r>
          </w:p>
        </w:tc>
        <w:tc>
          <w:tcPr>
            <w:tcW w:w="540" w:type="dxa"/>
            <w:vAlign w:val="bottom"/>
            <w:vMerge w:val="restart"/>
            <w:shd w:val="clear" w:color="auto" w:fill="CCEECC"/>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shd w:val="clear" w:color="auto" w:fill="CCEECC"/>
          </w:tcPr>
          <w:p>
            <w:pPr>
              <w:spacing w:after="0"/>
              <w:rPr>
                <w:sz w:val="18"/>
                <w:szCs w:val="18"/>
                <w:color w:val="auto"/>
              </w:rPr>
            </w:pPr>
          </w:p>
        </w:tc>
        <w:tc>
          <w:tcPr>
            <w:tcW w:w="64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89"/>
              </w:rPr>
              <w:t>166,698</w:t>
            </w:r>
          </w:p>
        </w:tc>
        <w:tc>
          <w:tcPr>
            <w:tcW w:w="60" w:type="dxa"/>
            <w:vAlign w:val="bottom"/>
            <w:shd w:val="clear" w:color="auto" w:fill="CCEECC"/>
          </w:tcPr>
          <w:p>
            <w:pPr>
              <w:spacing w:after="0"/>
              <w:rPr>
                <w:sz w:val="18"/>
                <w:szCs w:val="18"/>
                <w:color w:val="auto"/>
              </w:rPr>
            </w:pPr>
          </w:p>
        </w:tc>
        <w:tc>
          <w:tcPr>
            <w:tcW w:w="60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90"/>
              </w:rPr>
              <w:t>50,000</w:t>
            </w: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216,698</w:t>
            </w:r>
          </w:p>
        </w:tc>
        <w:tc>
          <w:tcPr>
            <w:tcW w:w="0" w:type="dxa"/>
            <w:vAlign w:val="bottom"/>
          </w:tcPr>
          <w:p>
            <w:pPr>
              <w:spacing w:after="0"/>
              <w:rPr>
                <w:sz w:val="1"/>
                <w:szCs w:val="1"/>
                <w:color w:val="auto"/>
              </w:rPr>
            </w:pPr>
          </w:p>
        </w:tc>
      </w:tr>
      <w:tr>
        <w:trPr>
          <w:trHeight w:val="176"/>
        </w:trPr>
        <w:tc>
          <w:tcPr>
            <w:tcW w:w="1220" w:type="dxa"/>
            <w:vAlign w:val="bottom"/>
            <w:gridSpan w:val="2"/>
            <w:shd w:val="clear" w:color="auto" w:fill="CCEECC"/>
          </w:tcPr>
          <w:p>
            <w:pPr>
              <w:ind w:left="20"/>
              <w:spacing w:after="0" w:line="176" w:lineRule="exact"/>
              <w:rPr>
                <w:sz w:val="20"/>
                <w:szCs w:val="20"/>
                <w:color w:val="auto"/>
              </w:rPr>
            </w:pPr>
            <w:r>
              <w:rPr>
                <w:rFonts w:ascii="Arial" w:cs="Arial" w:eastAsia="Arial" w:hAnsi="Arial"/>
                <w:sz w:val="18"/>
                <w:szCs w:val="18"/>
                <w:color w:val="auto"/>
              </w:rPr>
              <w:t>Director</w:t>
            </w:r>
          </w:p>
        </w:tc>
        <w:tc>
          <w:tcPr>
            <w:tcW w:w="540" w:type="dxa"/>
            <w:vAlign w:val="bottom"/>
            <w:vMerge w:val="continue"/>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vMerge w:val="continue"/>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00" w:type="dxa"/>
            <w:vAlign w:val="bottom"/>
            <w:vMerge w:val="continue"/>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2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6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92"/>
              </w:rPr>
              <w:t>199,255</w:t>
            </w:r>
          </w:p>
        </w:tc>
        <w:tc>
          <w:tcPr>
            <w:tcW w:w="0" w:type="dxa"/>
            <w:vAlign w:val="bottom"/>
          </w:tcPr>
          <w:p>
            <w:pPr>
              <w:spacing w:after="0"/>
              <w:rPr>
                <w:sz w:val="1"/>
                <w:szCs w:val="1"/>
                <w:color w:val="auto"/>
              </w:rPr>
            </w:pPr>
          </w:p>
        </w:tc>
      </w:tr>
      <w:tr>
        <w:trPr>
          <w:trHeight w:val="230"/>
        </w:trPr>
        <w:tc>
          <w:tcPr>
            <w:tcW w:w="11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540" w:type="dxa"/>
            <w:vAlign w:val="bottom"/>
            <w:shd w:val="clear" w:color="auto" w:fill="CCEECC"/>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180,104</w:t>
            </w:r>
          </w:p>
        </w:tc>
        <w:tc>
          <w:tcPr>
            <w:tcW w:w="60" w:type="dxa"/>
            <w:vAlign w:val="bottom"/>
            <w:shd w:val="clear" w:color="auto" w:fill="CCEECC"/>
          </w:tcPr>
          <w:p>
            <w:pPr>
              <w:spacing w:after="0"/>
              <w:rPr>
                <w:sz w:val="19"/>
                <w:szCs w:val="19"/>
                <w:color w:val="auto"/>
              </w:rPr>
            </w:pPr>
          </w:p>
        </w:tc>
        <w:tc>
          <w:tcPr>
            <w:tcW w:w="6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0"/>
              </w:rPr>
              <w:t>19,151</w:t>
            </w: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62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6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Terence J.</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Hamilton</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VP of Sales and</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8"/>
              </w:rPr>
              <w:t>7,000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164,500</w:t>
            </w:r>
          </w:p>
        </w:tc>
        <w:tc>
          <w:tcPr>
            <w:tcW w:w="0" w:type="dxa"/>
            <w:vAlign w:val="bottom"/>
          </w:tcPr>
          <w:p>
            <w:pPr>
              <w:spacing w:after="0"/>
              <w:rPr>
                <w:sz w:val="1"/>
                <w:szCs w:val="1"/>
                <w:color w:val="auto"/>
              </w:rPr>
            </w:pPr>
          </w:p>
        </w:tc>
      </w:tr>
      <w:tr>
        <w:trPr>
          <w:trHeight w:val="176"/>
        </w:trPr>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Director</w:t>
            </w: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92"/>
              </w:rPr>
              <w:t>168,500</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11,000</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14, 2013, we entered into a written Employment Agreement with Shad Stastney. Pursuant to the terms and conditions of the Employment Agreement:</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Stastney will serve as Chairman and Chief Executive Officer of our company for a period of twelve (12) months;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Stastney will earn a base salary of $175,000;</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issue to Mr. Stastney an option to acquire two million (2,000,000) shares of our common stock at an exercise price per share of $1.00 with a term of 5 years;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Stastney will be entitled to participate in any employee benefit plans, as established by our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Stastney also agreed to keep certain information confidential and not compete with or solicit from our company for a period of time.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August 14, 2013, we amended the employment agreement with Mr. Stastney. Pursuant to the terms and conditions of the Amendment to Employment Agreement with Shad Stastney:</w:t>
      </w:r>
    </w:p>
    <w:p>
      <w:pPr>
        <w:spacing w:after="0" w:line="170"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Stastney agreed to non-competition and non-solicitation restrictions with our company during the term of his employment and two years thereafter;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 of Mr. Stastney’s employment shall be for one year, and shall automatically renew for each year thereafter unless terminated on thirty day’s notice before the end of the term;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Stastney shall be entitled to two years of severance pay if he is terminated with or without cause.</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20, 2013, we entered into a Separation Agreement with Mr. Stastney regarding the terms and conditions of his departure from the Company (the “Agreement”). Pursuant to the provisions of the Agreement, we agreed with Mr. Stastney as follows:</w:t>
      </w:r>
    </w:p>
    <w:p>
      <w:pPr>
        <w:spacing w:after="0" w:line="170"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the date of the Agreement, Mr. Stastney is no longer an officer or director of our company and all prior agreements with Mr. Stastney are terminated in their entirety;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Stastney shall receive 500,000 shares of our common stock, half now and the rest by January 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agreed to use our best efforts to register Mr. Stastney’s shares on Form S-8 by March 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agreed to pay Mr. Stastney $126,762 and his reasonable out of pocket expenses incurred on our behalf;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parties agreed to a mutual release of all claims and Mr. Stastney further agreed to certain covenants as provided for in the Agreement; and</w:t>
      </w:r>
    </w:p>
    <w:p>
      <w:pPr>
        <w:spacing w:after="0" w:line="32" w:lineRule="exact"/>
        <w:rPr>
          <w:rFonts w:ascii="Arial" w:cs="Arial" w:eastAsia="Arial" w:hAnsi="Arial"/>
          <w:sz w:val="16"/>
          <w:szCs w:val="16"/>
          <w:color w:val="auto"/>
        </w:rPr>
      </w:pPr>
    </w:p>
    <w:p>
      <w:pPr>
        <w:ind w:left="660" w:right="2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Stastney will be involved with our company in a limited role as a consultant for one year to assist us on financing, strategic and legal initiatives and to help the transition with several ongoing projects.</w:t>
      </w:r>
    </w:p>
    <w:p>
      <w:pPr>
        <w:spacing w:after="0" w:line="1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6, 2009, we entered into an employment agreement with Mr. Lester to serve as our Chief Executive Officer. The agreement was amended on January 14, 2013 to account for his new positions as COO, Secretary and Treasurer.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2013, we amended the employment agreement with Mr. Lester. Pursuant to the terms and conditions of the Amendment to Employment Agreement with David Lester:</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Lester will serve as Chief Operating Officer of our company;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Lester will earn a base salary of $157,500 per year.</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14, 2013, we amended the employment agreement with Mr. Hamilton. Pursuant to the terms and conditions of the Amendment to Employment Agreement with Terry Hamilton:</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Hamilton will earn a base salary of $157,500 per year.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August 14, 2013 we granted restricted stock awards under our 2013 Incentive Plan. Mr. Hamilton was awarded 215,625 shares of our common stock. The restricted stock awards will vest 50% on the date six months and one day after the date of grant, and the remaining 50% one year after the first vesting date.</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1, 2008, we entered into an employment agreement with Mr. Harrell to serve as our CEO. The agreement was amended on January 14, 2013 to account for his new positions as CSO and Vice Chairman. The terms of his compensation, which is still in effect, are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$152,004 annually.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2013, we amended the employment agreement with Mr. Harrell Pursuant to the terms and conditions of the Amendment to Employment Agreement with David Harrell:</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Harrell will serve as Vice Chairman of the Board and Chief Strategy Officer of our company;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 of Mr. Harrell’s employment shall be for one year, and shall automatically renew for each year thereafter unless terminated on thirty day’s notice before the end of the term;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Harrell will earn a base salary of $183,750 per year;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14, 2013 we granted restricted stock awards under our 2013 Incentive Plan. Mr. David Harrell was awarded 121,875 shares of our common stock. The restricted stock awards will vest 50% on the date six months and one day after the date of grant, and the remaining 50% one year after the first vesting date.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12, 2014, we entered into an employment agreement with Mr. Baker, our new Chief Financial Officer. Under the agreement, we agreed to compensate Mr. Baker $125,000 annually and we granted him options to purchase 100,000 shares of our common stock, with 50% vesting after one year and 50% vesting after two years of hire. Mr. Baker is also eligible for additional quarterly and annual bonus compensation, stock options, and stock grants based on performance metrics outlined by our board of directors. He is entitled to vacation and sick days, and other benefits included in the agreement.</w:t>
      </w:r>
    </w:p>
    <w:p>
      <w:pPr>
        <w:sectPr>
          <w:pgSz w:w="11900" w:h="16838" w:orient="portrait"/>
          <w:cols w:equalWidth="0" w:num="1">
            <w:col w:w="11420"/>
          </w:cols>
          <w:pgMar w:left="240" w:top="233"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2013.</w:t>
      </w:r>
    </w:p>
    <w:p>
      <w:pPr>
        <w:spacing w:after="0" w:line="166"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0" w:type="dxa"/>
            <w:vAlign w:val="bottom"/>
            <w:gridSpan w:val="11"/>
          </w:tcPr>
          <w:p>
            <w:pPr>
              <w:jc w:val="center"/>
              <w:ind w:right="50"/>
              <w:spacing w:after="0"/>
              <w:rPr>
                <w:sz w:val="20"/>
                <w:szCs w:val="20"/>
                <w:color w:val="auto"/>
              </w:rPr>
            </w:pPr>
            <w:r>
              <w:rPr>
                <w:rFonts w:ascii="Arial" w:cs="Arial" w:eastAsia="Arial" w:hAnsi="Arial"/>
                <w:sz w:val="18"/>
                <w:szCs w:val="18"/>
                <w:b w:val="1"/>
                <w:bCs w:val="1"/>
                <w:color w:val="auto"/>
                <w:w w:val="99"/>
              </w:rPr>
              <w:t>OUTSTANDING EQUITY AWARDS AT FISCAL YEAR-END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00" w:type="dxa"/>
            <w:vAlign w:val="bottom"/>
            <w:gridSpan w:val="4"/>
          </w:tcPr>
          <w:p>
            <w:pPr>
              <w:ind w:left="340"/>
              <w:spacing w:after="0"/>
              <w:rPr>
                <w:sz w:val="20"/>
                <w:szCs w:val="20"/>
                <w:color w:val="auto"/>
              </w:rPr>
            </w:pPr>
            <w:r>
              <w:rPr>
                <w:rFonts w:ascii="Arial" w:cs="Arial" w:eastAsia="Arial" w:hAnsi="Arial"/>
                <w:sz w:val="18"/>
                <w:szCs w:val="18"/>
                <w:b w:val="1"/>
                <w:bCs w:val="1"/>
                <w:color w:val="auto"/>
              </w:rPr>
              <w:t>OPTION AWARDS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gridSpan w:val="4"/>
          </w:tcPr>
          <w:p>
            <w:pPr>
              <w:ind w:left="40"/>
              <w:spacing w:after="0"/>
              <w:rPr>
                <w:sz w:val="20"/>
                <w:szCs w:val="20"/>
                <w:color w:val="auto"/>
              </w:rPr>
            </w:pPr>
            <w:r>
              <w:rPr>
                <w:rFonts w:ascii="Arial" w:cs="Arial" w:eastAsia="Arial" w:hAnsi="Arial"/>
                <w:sz w:val="18"/>
                <w:szCs w:val="18"/>
                <w:b w:val="1"/>
                <w:bCs w:val="1"/>
                <w:color w:val="auto"/>
              </w:rPr>
              <w:t>STOCK AWARDS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Equity</w:t>
            </w:r>
          </w:p>
        </w:tc>
        <w:tc>
          <w:tcPr>
            <w:tcW w:w="800" w:type="dxa"/>
            <w:vAlign w:val="bottom"/>
            <w:gridSpan w:val="2"/>
          </w:tcPr>
          <w:p>
            <w:pPr>
              <w:spacing w:after="0"/>
              <w:rPr>
                <w:sz w:val="20"/>
                <w:szCs w:val="20"/>
                <w:color w:val="auto"/>
              </w:rPr>
            </w:pPr>
            <w:r>
              <w:rPr>
                <w:rFonts w:ascii="Arial" w:cs="Arial" w:eastAsia="Arial" w:hAnsi="Arial"/>
                <w:sz w:val="18"/>
                <w:szCs w:val="18"/>
                <w:color w:val="auto"/>
              </w:rPr>
              <w:t>Equity</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Incentive</w:t>
            </w:r>
          </w:p>
        </w:tc>
        <w:tc>
          <w:tcPr>
            <w:tcW w:w="800" w:type="dxa"/>
            <w:vAlign w:val="bottom"/>
            <w:gridSpan w:val="2"/>
          </w:tcPr>
          <w:p>
            <w:pPr>
              <w:spacing w:after="0"/>
              <w:rPr>
                <w:sz w:val="20"/>
                <w:szCs w:val="20"/>
                <w:color w:val="auto"/>
              </w:rPr>
            </w:pPr>
            <w:r>
              <w:rPr>
                <w:rFonts w:ascii="Arial" w:cs="Arial" w:eastAsia="Arial" w:hAnsi="Arial"/>
                <w:sz w:val="18"/>
                <w:szCs w:val="18"/>
                <w:color w:val="auto"/>
              </w:rPr>
              <w:t>Incentive</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Plan</w:t>
            </w:r>
          </w:p>
        </w:tc>
        <w:tc>
          <w:tcPr>
            <w:tcW w:w="800" w:type="dxa"/>
            <w:vAlign w:val="bottom"/>
            <w:gridSpan w:val="2"/>
          </w:tcPr>
          <w:p>
            <w:pPr>
              <w:spacing w:after="0"/>
              <w:rPr>
                <w:sz w:val="20"/>
                <w:szCs w:val="20"/>
                <w:color w:val="auto"/>
              </w:rPr>
            </w:pPr>
            <w:r>
              <w:rPr>
                <w:rFonts w:ascii="Arial" w:cs="Arial" w:eastAsia="Arial" w:hAnsi="Arial"/>
                <w:sz w:val="18"/>
                <w:szCs w:val="18"/>
                <w:color w:val="auto"/>
              </w:rPr>
              <w:t>Plan</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w w:val="90"/>
              </w:rPr>
              <w:t>Market</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Awards:</w:t>
            </w:r>
          </w:p>
        </w:tc>
        <w:tc>
          <w:tcPr>
            <w:tcW w:w="800" w:type="dxa"/>
            <w:vAlign w:val="bottom"/>
            <w:gridSpan w:val="2"/>
          </w:tcPr>
          <w:p>
            <w:pPr>
              <w:spacing w:after="0"/>
              <w:rPr>
                <w:sz w:val="20"/>
                <w:szCs w:val="20"/>
                <w:color w:val="auto"/>
              </w:rPr>
            </w:pPr>
            <w:r>
              <w:rPr>
                <w:rFonts w:ascii="Arial" w:cs="Arial" w:eastAsia="Arial" w:hAnsi="Arial"/>
                <w:sz w:val="18"/>
                <w:szCs w:val="18"/>
                <w:color w:val="auto"/>
              </w:rPr>
              <w:t>Awards: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Value</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Number</w:t>
            </w:r>
          </w:p>
        </w:tc>
        <w:tc>
          <w:tcPr>
            <w:tcW w:w="800" w:type="dxa"/>
            <w:vAlign w:val="bottom"/>
            <w:gridSpan w:val="2"/>
          </w:tcPr>
          <w:p>
            <w:pPr>
              <w:spacing w:after="0"/>
              <w:rPr>
                <w:sz w:val="20"/>
                <w:szCs w:val="20"/>
                <w:color w:val="auto"/>
              </w:rPr>
            </w:pPr>
            <w:r>
              <w:rPr>
                <w:rFonts w:ascii="Arial" w:cs="Arial" w:eastAsia="Arial" w:hAnsi="Arial"/>
                <w:sz w:val="18"/>
                <w:szCs w:val="18"/>
                <w:color w:val="auto"/>
              </w:rPr>
              <w:t>Market or</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9"/>
              </w:rPr>
              <w:t>Number</w:t>
            </w:r>
          </w:p>
        </w:tc>
        <w:tc>
          <w:tcPr>
            <w:tcW w:w="620" w:type="dxa"/>
            <w:vAlign w:val="bottom"/>
          </w:tcPr>
          <w:p>
            <w:pPr>
              <w:ind w:left="100"/>
              <w:spacing w:after="0"/>
              <w:rPr>
                <w:sz w:val="20"/>
                <w:szCs w:val="20"/>
                <w:color w:val="auto"/>
              </w:rPr>
            </w:pPr>
            <w:r>
              <w:rPr>
                <w:rFonts w:ascii="Arial" w:cs="Arial" w:eastAsia="Arial" w:hAnsi="Arial"/>
                <w:sz w:val="18"/>
                <w:szCs w:val="18"/>
                <w:color w:val="auto"/>
              </w:rPr>
              <w:t>of</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of</w:t>
            </w:r>
          </w:p>
        </w:tc>
        <w:tc>
          <w:tcPr>
            <w:tcW w:w="800" w:type="dxa"/>
            <w:vAlign w:val="bottom"/>
            <w:gridSpan w:val="2"/>
          </w:tcPr>
          <w:p>
            <w:pPr>
              <w:spacing w:after="0"/>
              <w:rPr>
                <w:sz w:val="20"/>
                <w:szCs w:val="20"/>
                <w:color w:val="auto"/>
              </w:rPr>
            </w:pPr>
            <w:r>
              <w:rPr>
                <w:rFonts w:ascii="Arial" w:cs="Arial" w:eastAsia="Arial" w:hAnsi="Arial"/>
                <w:sz w:val="18"/>
                <w:szCs w:val="18"/>
                <w:color w:val="auto"/>
              </w:rPr>
              <w:t>Payout</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Incentive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of</w:t>
            </w:r>
          </w:p>
        </w:tc>
        <w:tc>
          <w:tcPr>
            <w:tcW w:w="620" w:type="dxa"/>
            <w:vAlign w:val="bottom"/>
          </w:tcPr>
          <w:p>
            <w:pPr>
              <w:ind w:left="100"/>
              <w:spacing w:after="0"/>
              <w:rPr>
                <w:sz w:val="20"/>
                <w:szCs w:val="20"/>
                <w:color w:val="auto"/>
              </w:rPr>
            </w:pPr>
            <w:r>
              <w:rPr>
                <w:rFonts w:ascii="Arial" w:cs="Arial" w:eastAsia="Arial" w:hAnsi="Arial"/>
                <w:sz w:val="18"/>
                <w:szCs w:val="18"/>
                <w:color w:val="auto"/>
                <w:w w:val="87"/>
              </w:rPr>
              <w:t>Shares</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Unearned</w:t>
            </w:r>
          </w:p>
        </w:tc>
        <w:tc>
          <w:tcPr>
            <w:tcW w:w="800" w:type="dxa"/>
            <w:vAlign w:val="bottom"/>
            <w:gridSpan w:val="2"/>
          </w:tcPr>
          <w:p>
            <w:pPr>
              <w:spacing w:after="0"/>
              <w:rPr>
                <w:sz w:val="20"/>
                <w:szCs w:val="20"/>
                <w:color w:val="auto"/>
              </w:rPr>
            </w:pPr>
            <w:r>
              <w:rPr>
                <w:rFonts w:ascii="Arial" w:cs="Arial" w:eastAsia="Arial" w:hAnsi="Arial"/>
                <w:sz w:val="18"/>
                <w:szCs w:val="18"/>
                <w:color w:val="auto"/>
              </w:rPr>
              <w:t>Value of</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Plan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Shares</w:t>
            </w:r>
          </w:p>
        </w:tc>
        <w:tc>
          <w:tcPr>
            <w:tcW w:w="620" w:type="dxa"/>
            <w:vAlign w:val="bottom"/>
          </w:tcPr>
          <w:p>
            <w:pPr>
              <w:ind w:left="100"/>
              <w:spacing w:after="0"/>
              <w:rPr>
                <w:sz w:val="20"/>
                <w:szCs w:val="20"/>
                <w:color w:val="auto"/>
              </w:rPr>
            </w:pPr>
            <w:r>
              <w:rPr>
                <w:rFonts w:ascii="Arial" w:cs="Arial" w:eastAsia="Arial" w:hAnsi="Arial"/>
                <w:sz w:val="18"/>
                <w:szCs w:val="18"/>
                <w:color w:val="auto"/>
              </w:rPr>
              <w:t>or</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Shares,</w:t>
            </w:r>
          </w:p>
        </w:tc>
        <w:tc>
          <w:tcPr>
            <w:tcW w:w="800" w:type="dxa"/>
            <w:vAlign w:val="bottom"/>
            <w:gridSpan w:val="2"/>
          </w:tcPr>
          <w:p>
            <w:pPr>
              <w:spacing w:after="0"/>
              <w:rPr>
                <w:sz w:val="20"/>
                <w:szCs w:val="20"/>
                <w:color w:val="auto"/>
              </w:rPr>
            </w:pPr>
            <w:r>
              <w:rPr>
                <w:rFonts w:ascii="Arial" w:cs="Arial" w:eastAsia="Arial" w:hAnsi="Arial"/>
                <w:sz w:val="18"/>
                <w:szCs w:val="18"/>
                <w:color w:val="auto"/>
                <w:w w:val="98"/>
              </w:rPr>
              <w:t>Unearned</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Awards: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or Units</w:t>
            </w:r>
          </w:p>
        </w:tc>
        <w:tc>
          <w:tcPr>
            <w:tcW w:w="620" w:type="dxa"/>
            <w:vAlign w:val="bottom"/>
          </w:tcPr>
          <w:p>
            <w:pPr>
              <w:ind w:left="100"/>
              <w:spacing w:after="0"/>
              <w:rPr>
                <w:sz w:val="20"/>
                <w:szCs w:val="20"/>
                <w:color w:val="auto"/>
              </w:rPr>
            </w:pPr>
            <w:r>
              <w:rPr>
                <w:rFonts w:ascii="Arial" w:cs="Arial" w:eastAsia="Arial" w:hAnsi="Arial"/>
                <w:sz w:val="18"/>
                <w:szCs w:val="18"/>
                <w:color w:val="auto"/>
              </w:rPr>
              <w:t>Units</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Units or</w:t>
            </w:r>
          </w:p>
        </w:tc>
        <w:tc>
          <w:tcPr>
            <w:tcW w:w="800" w:type="dxa"/>
            <w:vAlign w:val="bottom"/>
            <w:gridSpan w:val="2"/>
          </w:tcPr>
          <w:p>
            <w:pPr>
              <w:spacing w:after="0"/>
              <w:rPr>
                <w:sz w:val="20"/>
                <w:szCs w:val="20"/>
                <w:color w:val="auto"/>
              </w:rPr>
            </w:pPr>
            <w:r>
              <w:rPr>
                <w:rFonts w:ascii="Arial" w:cs="Arial" w:eastAsia="Arial" w:hAnsi="Arial"/>
                <w:sz w:val="18"/>
                <w:szCs w:val="18"/>
                <w:color w:val="auto"/>
              </w:rPr>
              <w:t>Shares,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of</w:t>
            </w:r>
          </w:p>
        </w:tc>
        <w:tc>
          <w:tcPr>
            <w:tcW w:w="620" w:type="dxa"/>
            <w:vAlign w:val="bottom"/>
          </w:tcPr>
          <w:p>
            <w:pPr>
              <w:ind w:left="100"/>
              <w:spacing w:after="0"/>
              <w:rPr>
                <w:sz w:val="20"/>
                <w:szCs w:val="20"/>
                <w:color w:val="auto"/>
              </w:rPr>
            </w:pPr>
            <w:r>
              <w:rPr>
                <w:rFonts w:ascii="Arial" w:cs="Arial" w:eastAsia="Arial" w:hAnsi="Arial"/>
                <w:sz w:val="18"/>
                <w:szCs w:val="18"/>
                <w:color w:val="auto"/>
              </w:rPr>
              <w:t>of</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spacing w:after="0"/>
              <w:rPr>
                <w:sz w:val="20"/>
                <w:szCs w:val="20"/>
                <w:color w:val="auto"/>
              </w:rPr>
            </w:pPr>
            <w:r>
              <w:rPr>
                <w:rFonts w:ascii="Arial" w:cs="Arial" w:eastAsia="Arial" w:hAnsi="Arial"/>
                <w:sz w:val="18"/>
                <w:szCs w:val="18"/>
                <w:color w:val="auto"/>
              </w:rPr>
              <w:t>Units or</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Stock</w:t>
            </w:r>
          </w:p>
        </w:tc>
        <w:tc>
          <w:tcPr>
            <w:tcW w:w="620" w:type="dxa"/>
            <w:vAlign w:val="bottom"/>
          </w:tcPr>
          <w:p>
            <w:pPr>
              <w:ind w:left="100"/>
              <w:spacing w:after="0"/>
              <w:rPr>
                <w:sz w:val="20"/>
                <w:szCs w:val="20"/>
                <w:color w:val="auto"/>
              </w:rPr>
            </w:pPr>
            <w:r>
              <w:rPr>
                <w:rFonts w:ascii="Arial" w:cs="Arial" w:eastAsia="Arial" w:hAnsi="Arial"/>
                <w:sz w:val="18"/>
                <w:szCs w:val="18"/>
                <w:color w:val="auto"/>
              </w:rPr>
              <w:t>Stock</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Rights</w:t>
            </w:r>
          </w:p>
        </w:tc>
        <w:tc>
          <w:tcPr>
            <w:tcW w:w="800" w:type="dxa"/>
            <w:vAlign w:val="bottom"/>
            <w:gridSpan w:val="2"/>
          </w:tcPr>
          <w:p>
            <w:pPr>
              <w:spacing w:after="0"/>
              <w:rPr>
                <w:sz w:val="20"/>
                <w:szCs w:val="20"/>
                <w:color w:val="auto"/>
              </w:rPr>
            </w:pPr>
            <w:r>
              <w:rPr>
                <w:rFonts w:ascii="Arial" w:cs="Arial" w:eastAsia="Arial" w:hAnsi="Arial"/>
                <w:sz w:val="18"/>
                <w:szCs w:val="18"/>
                <w:color w:val="auto"/>
              </w:rPr>
              <w:t>Other</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Underlying</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Underlying</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Underlying</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That</w:t>
            </w:r>
          </w:p>
        </w:tc>
        <w:tc>
          <w:tcPr>
            <w:tcW w:w="620" w:type="dxa"/>
            <w:vAlign w:val="bottom"/>
          </w:tcPr>
          <w:p>
            <w:pPr>
              <w:ind w:left="100"/>
              <w:spacing w:after="0"/>
              <w:rPr>
                <w:sz w:val="20"/>
                <w:szCs w:val="20"/>
                <w:color w:val="auto"/>
              </w:rPr>
            </w:pPr>
            <w:r>
              <w:rPr>
                <w:rFonts w:ascii="Arial" w:cs="Arial" w:eastAsia="Arial" w:hAnsi="Arial"/>
                <w:sz w:val="18"/>
                <w:szCs w:val="18"/>
                <w:color w:val="auto"/>
              </w:rPr>
              <w:t>That</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That</w:t>
            </w:r>
          </w:p>
        </w:tc>
        <w:tc>
          <w:tcPr>
            <w:tcW w:w="800" w:type="dxa"/>
            <w:vAlign w:val="bottom"/>
            <w:gridSpan w:val="2"/>
          </w:tcPr>
          <w:p>
            <w:pPr>
              <w:spacing w:after="0"/>
              <w:rPr>
                <w:sz w:val="20"/>
                <w:szCs w:val="20"/>
                <w:color w:val="auto"/>
              </w:rPr>
            </w:pPr>
            <w:r>
              <w:rPr>
                <w:rFonts w:ascii="Arial" w:cs="Arial" w:eastAsia="Arial" w:hAnsi="Arial"/>
                <w:sz w:val="18"/>
                <w:szCs w:val="18"/>
                <w:color w:val="auto"/>
              </w:rPr>
              <w:t>Rights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w w:val="91"/>
              </w:rPr>
              <w:t>Unexercised</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Unexercised</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7"/>
              </w:rPr>
              <w:t>Unexercised</w:t>
            </w:r>
          </w:p>
        </w:tc>
        <w:tc>
          <w:tcPr>
            <w:tcW w:w="820" w:type="dxa"/>
            <w:vAlign w:val="bottom"/>
            <w:gridSpan w:val="2"/>
          </w:tcPr>
          <w:p>
            <w:pPr>
              <w:spacing w:after="0"/>
              <w:rPr>
                <w:sz w:val="20"/>
                <w:szCs w:val="20"/>
                <w:color w:val="auto"/>
              </w:rPr>
            </w:pPr>
            <w:r>
              <w:rPr>
                <w:rFonts w:ascii="Arial" w:cs="Arial" w:eastAsia="Arial" w:hAnsi="Arial"/>
                <w:sz w:val="18"/>
                <w:szCs w:val="18"/>
                <w:color w:val="auto"/>
              </w:rPr>
              <w:t>Option</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Have</w:t>
            </w:r>
          </w:p>
        </w:tc>
        <w:tc>
          <w:tcPr>
            <w:tcW w:w="620" w:type="dxa"/>
            <w:vAlign w:val="bottom"/>
          </w:tcPr>
          <w:p>
            <w:pPr>
              <w:ind w:left="100"/>
              <w:spacing w:after="0"/>
              <w:rPr>
                <w:sz w:val="20"/>
                <w:szCs w:val="20"/>
                <w:color w:val="auto"/>
              </w:rPr>
            </w:pPr>
            <w:r>
              <w:rPr>
                <w:rFonts w:ascii="Arial" w:cs="Arial" w:eastAsia="Arial" w:hAnsi="Arial"/>
                <w:sz w:val="18"/>
                <w:szCs w:val="18"/>
                <w:color w:val="auto"/>
              </w:rPr>
              <w:t>Have</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Have</w:t>
            </w:r>
          </w:p>
        </w:tc>
        <w:tc>
          <w:tcPr>
            <w:tcW w:w="800" w:type="dxa"/>
            <w:vAlign w:val="bottom"/>
            <w:gridSpan w:val="2"/>
          </w:tcPr>
          <w:p>
            <w:pPr>
              <w:spacing w:after="0"/>
              <w:rPr>
                <w:sz w:val="20"/>
                <w:szCs w:val="20"/>
                <w:color w:val="auto"/>
              </w:rPr>
            </w:pPr>
            <w:r>
              <w:rPr>
                <w:rFonts w:ascii="Arial" w:cs="Arial" w:eastAsia="Arial" w:hAnsi="Arial"/>
                <w:sz w:val="18"/>
                <w:szCs w:val="18"/>
                <w:color w:val="auto"/>
              </w:rPr>
              <w:t>That</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Options</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Options</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Unearned</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Exercise</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Option</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Not</w:t>
            </w:r>
          </w:p>
        </w:tc>
        <w:tc>
          <w:tcPr>
            <w:tcW w:w="620" w:type="dxa"/>
            <w:vAlign w:val="bottom"/>
          </w:tcPr>
          <w:p>
            <w:pPr>
              <w:ind w:left="100"/>
              <w:spacing w:after="0"/>
              <w:rPr>
                <w:sz w:val="20"/>
                <w:szCs w:val="20"/>
                <w:color w:val="auto"/>
              </w:rPr>
            </w:pPr>
            <w:r>
              <w:rPr>
                <w:rFonts w:ascii="Arial" w:cs="Arial" w:eastAsia="Arial" w:hAnsi="Arial"/>
                <w:sz w:val="18"/>
                <w:szCs w:val="18"/>
                <w:color w:val="auto"/>
              </w:rPr>
              <w:t>Not</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Not</w:t>
            </w:r>
          </w:p>
        </w:tc>
        <w:tc>
          <w:tcPr>
            <w:tcW w:w="800" w:type="dxa"/>
            <w:vAlign w:val="bottom"/>
            <w:gridSpan w:val="2"/>
          </w:tcPr>
          <w:p>
            <w:pPr>
              <w:spacing w:after="0"/>
              <w:rPr>
                <w:sz w:val="20"/>
                <w:szCs w:val="20"/>
                <w:color w:val="auto"/>
              </w:rPr>
            </w:pPr>
            <w:r>
              <w:rPr>
                <w:rFonts w:ascii="Arial" w:cs="Arial" w:eastAsia="Arial" w:hAnsi="Arial"/>
                <w:sz w:val="18"/>
                <w:szCs w:val="18"/>
                <w:color w:val="auto"/>
              </w:rPr>
              <w:t>Have Not</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ind w:lef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Options</w:t>
            </w:r>
          </w:p>
        </w:tc>
        <w:tc>
          <w:tcPr>
            <w:tcW w:w="820" w:type="dxa"/>
            <w:vAlign w:val="bottom"/>
            <w:gridSpan w:val="2"/>
          </w:tcPr>
          <w:p>
            <w:pPr>
              <w:spacing w:after="0"/>
              <w:rPr>
                <w:sz w:val="20"/>
                <w:szCs w:val="20"/>
                <w:color w:val="auto"/>
              </w:rPr>
            </w:pPr>
            <w:r>
              <w:rPr>
                <w:rFonts w:ascii="Arial" w:cs="Arial" w:eastAsia="Arial" w:hAnsi="Arial"/>
                <w:sz w:val="18"/>
                <w:szCs w:val="18"/>
                <w:color w:val="auto"/>
              </w:rPr>
              <w:t>Price</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Expiration</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Vested</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Vested</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Vested</w:t>
            </w:r>
          </w:p>
        </w:tc>
        <w:tc>
          <w:tcPr>
            <w:tcW w:w="800" w:type="dxa"/>
            <w:vAlign w:val="bottom"/>
            <w:gridSpan w:val="2"/>
          </w:tcPr>
          <w:p>
            <w:pPr>
              <w:spacing w:after="0"/>
              <w:rPr>
                <w:sz w:val="20"/>
                <w:szCs w:val="20"/>
                <w:color w:val="auto"/>
              </w:rPr>
            </w:pPr>
            <w:r>
              <w:rPr>
                <w:rFonts w:ascii="Arial" w:cs="Arial" w:eastAsia="Arial" w:hAnsi="Arial"/>
                <w:sz w:val="18"/>
                <w:szCs w:val="18"/>
                <w:color w:val="auto"/>
              </w:rPr>
              <w:t>Vested</w:t>
            </w:r>
          </w:p>
        </w:tc>
      </w:tr>
      <w:tr>
        <w:trPr>
          <w:trHeight w:val="230"/>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Name</w:t>
            </w: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w w:val="98"/>
              </w:rPr>
              <w:t>Exercisable</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w w:val="94"/>
              </w:rPr>
              <w:t>Unexercisable</w:t>
            </w:r>
          </w:p>
        </w:tc>
        <w:tc>
          <w:tcPr>
            <w:tcW w:w="100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Date</w:t>
            </w:r>
          </w:p>
        </w:tc>
        <w:tc>
          <w:tcPr>
            <w:tcW w:w="680" w:type="dxa"/>
            <w:vAlign w:val="bottom"/>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39"/>
        </w:trPr>
        <w:tc>
          <w:tcPr>
            <w:tcW w:w="78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1000" w:type="dxa"/>
            <w:vAlign w:val="bottom"/>
            <w:tcBorders>
              <w:top w:val="single" w:sz="8" w:color="auto"/>
            </w:tcBorders>
            <w:shd w:val="clear" w:color="auto" w:fill="CCEECC"/>
          </w:tcPr>
          <w:p>
            <w:pPr>
              <w:ind w:left="220"/>
              <w:spacing w:after="0"/>
              <w:rPr>
                <w:sz w:val="20"/>
                <w:szCs w:val="20"/>
                <w:color w:val="auto"/>
              </w:rPr>
            </w:pPr>
            <w:r>
              <w:rPr>
                <w:rFonts w:ascii="Arial" w:cs="Arial" w:eastAsia="Arial" w:hAnsi="Arial"/>
                <w:sz w:val="18"/>
                <w:szCs w:val="18"/>
                <w:color w:val="auto"/>
              </w:rPr>
              <w:t>375,000</w:t>
            </w:r>
          </w:p>
        </w:tc>
        <w:tc>
          <w:tcPr>
            <w:tcW w:w="40" w:type="dxa"/>
            <w:vAlign w:val="bottom"/>
            <w:tcBorders>
              <w:top w:val="single" w:sz="8" w:color="CCEECC"/>
            </w:tcBorders>
            <w:shd w:val="clear" w:color="auto" w:fill="CCEECC"/>
          </w:tcPr>
          <w:p>
            <w:pPr>
              <w:spacing w:after="0"/>
              <w:rPr>
                <w:sz w:val="20"/>
                <w:szCs w:val="20"/>
                <w:color w:val="auto"/>
              </w:rPr>
            </w:pPr>
          </w:p>
        </w:tc>
        <w:tc>
          <w:tcPr>
            <w:tcW w:w="114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1000" w:type="dxa"/>
            <w:vAlign w:val="bottom"/>
            <w:tcBorders>
              <w:top w:val="single" w:sz="8" w:color="auto"/>
            </w:tcBorders>
            <w:shd w:val="clear" w:color="auto" w:fill="CCEECC"/>
          </w:tcPr>
          <w:p>
            <w:pPr>
              <w:spacing w:after="0"/>
              <w:rPr>
                <w:sz w:val="20"/>
                <w:szCs w:val="20"/>
                <w:color w:val="auto"/>
              </w:rPr>
            </w:pPr>
          </w:p>
        </w:tc>
        <w:tc>
          <w:tcPr>
            <w:tcW w:w="100" w:type="dxa"/>
            <w:vAlign w:val="bottom"/>
            <w:tcBorders>
              <w:top w:val="single" w:sz="8" w:color="CCEECC"/>
            </w:tcBorders>
            <w:shd w:val="clear" w:color="auto" w:fill="CCEECC"/>
          </w:tcPr>
          <w:p>
            <w:pPr>
              <w:spacing w:after="0"/>
              <w:rPr>
                <w:sz w:val="20"/>
                <w:szCs w:val="20"/>
                <w:color w:val="auto"/>
              </w:rPr>
            </w:pPr>
          </w:p>
        </w:tc>
        <w:tc>
          <w:tcPr>
            <w:tcW w:w="700" w:type="dxa"/>
            <w:vAlign w:val="bottom"/>
            <w:tcBorders>
              <w:top w:val="single" w:sz="8" w:color="auto"/>
            </w:tcBorders>
            <w:shd w:val="clear" w:color="auto" w:fill="CCEECC"/>
          </w:tcPr>
          <w:p>
            <w:pPr>
              <w:jc w:val="center"/>
              <w:spacing w:after="0" w:line="240" w:lineRule="exact"/>
              <w:rPr>
                <w:sz w:val="20"/>
                <w:szCs w:val="20"/>
                <w:color w:val="auto"/>
              </w:rPr>
            </w:pPr>
            <w:r>
              <w:rPr>
                <w:rFonts w:ascii="Arial" w:cs="Arial" w:eastAsia="Arial" w:hAnsi="Arial"/>
                <w:sz w:val="17"/>
                <w:szCs w:val="17"/>
                <w:color w:val="auto"/>
                <w:w w:val="89"/>
              </w:rPr>
              <w:t>$0.35</w:t>
            </w:r>
            <w:r>
              <w:rPr>
                <w:rFonts w:ascii="Arial" w:cs="Arial" w:eastAsia="Arial" w:hAnsi="Arial"/>
                <w:sz w:val="27"/>
                <w:szCs w:val="27"/>
                <w:color w:val="auto"/>
                <w:w w:val="89"/>
                <w:vertAlign w:val="superscript"/>
              </w:rPr>
              <w:t>(1)</w:t>
            </w:r>
          </w:p>
        </w:tc>
        <w:tc>
          <w:tcPr>
            <w:tcW w:w="120" w:type="dxa"/>
            <w:vAlign w:val="bottom"/>
            <w:tcBorders>
              <w:top w:val="single" w:sz="8" w:color="CCEECC"/>
            </w:tcBorders>
            <w:shd w:val="clear" w:color="auto" w:fill="CCEECC"/>
          </w:tcPr>
          <w:p>
            <w:pPr>
              <w:spacing w:after="0"/>
              <w:rPr>
                <w:sz w:val="20"/>
                <w:szCs w:val="20"/>
                <w:color w:val="auto"/>
              </w:rPr>
            </w:pPr>
          </w:p>
        </w:tc>
        <w:tc>
          <w:tcPr>
            <w:tcW w:w="860" w:type="dxa"/>
            <w:vAlign w:val="bottom"/>
            <w:tcBorders>
              <w:top w:val="single" w:sz="8" w:color="auto"/>
            </w:tcBorders>
            <w:shd w:val="clear" w:color="auto" w:fill="CCEECC"/>
          </w:tcPr>
          <w:p>
            <w:pPr>
              <w:jc w:val="right"/>
              <w:ind w:right="90"/>
              <w:spacing w:after="0"/>
              <w:rPr>
                <w:sz w:val="20"/>
                <w:szCs w:val="20"/>
                <w:color w:val="auto"/>
              </w:rPr>
            </w:pPr>
            <w:r>
              <w:rPr>
                <w:rFonts w:ascii="Arial" w:cs="Arial" w:eastAsia="Arial" w:hAnsi="Arial"/>
                <w:sz w:val="18"/>
                <w:szCs w:val="18"/>
                <w:color w:val="auto"/>
              </w:rPr>
              <w:t>10/1/14</w:t>
            </w:r>
          </w:p>
        </w:tc>
        <w:tc>
          <w:tcPr>
            <w:tcW w:w="60" w:type="dxa"/>
            <w:vAlign w:val="bottom"/>
            <w:tcBorders>
              <w:top w:val="single" w:sz="8" w:color="CCEECC"/>
            </w:tcBorders>
            <w:shd w:val="clear" w:color="auto" w:fill="CCEECC"/>
          </w:tcPr>
          <w:p>
            <w:pPr>
              <w:spacing w:after="0"/>
              <w:rPr>
                <w:sz w:val="20"/>
                <w:szCs w:val="20"/>
                <w:color w:val="auto"/>
              </w:rPr>
            </w:pPr>
          </w:p>
        </w:tc>
        <w:tc>
          <w:tcPr>
            <w:tcW w:w="68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620" w:type="dxa"/>
            <w:vAlign w:val="bottom"/>
            <w:tcBorders>
              <w:top w:val="single" w:sz="8" w:color="auto"/>
            </w:tcBorders>
            <w:shd w:val="clear" w:color="auto" w:fill="CCEECC"/>
          </w:tcPr>
          <w:p>
            <w:pPr>
              <w:spacing w:after="0"/>
              <w:rPr>
                <w:sz w:val="20"/>
                <w:szCs w:val="20"/>
                <w:color w:val="auto"/>
              </w:rPr>
            </w:pPr>
          </w:p>
        </w:tc>
        <w:tc>
          <w:tcPr>
            <w:tcW w:w="100" w:type="dxa"/>
            <w:vAlign w:val="bottom"/>
            <w:tcBorders>
              <w:top w:val="single" w:sz="8" w:color="CCEECC"/>
            </w:tcBorders>
            <w:shd w:val="clear" w:color="auto" w:fill="CCEECC"/>
          </w:tcPr>
          <w:p>
            <w:pPr>
              <w:spacing w:after="0"/>
              <w:rPr>
                <w:sz w:val="20"/>
                <w:szCs w:val="20"/>
                <w:color w:val="auto"/>
              </w:rPr>
            </w:pPr>
          </w:p>
        </w:tc>
        <w:tc>
          <w:tcPr>
            <w:tcW w:w="700" w:type="dxa"/>
            <w:vAlign w:val="bottom"/>
            <w:tcBorders>
              <w:top w:val="single" w:sz="8" w:color="auto"/>
            </w:tcBorders>
            <w:shd w:val="clear" w:color="auto" w:fill="CCEECC"/>
          </w:tcPr>
          <w:p>
            <w:pPr>
              <w:spacing w:after="0"/>
              <w:rPr>
                <w:sz w:val="20"/>
                <w:szCs w:val="20"/>
                <w:color w:val="auto"/>
              </w:rPr>
            </w:pPr>
          </w:p>
        </w:tc>
        <w:tc>
          <w:tcPr>
            <w:tcW w:w="160" w:type="dxa"/>
            <w:vAlign w:val="bottom"/>
            <w:tcBorders>
              <w:top w:val="single" w:sz="8" w:color="CCEECC"/>
            </w:tcBorders>
            <w:shd w:val="clear" w:color="auto" w:fill="CCEECC"/>
          </w:tcPr>
          <w:p>
            <w:pPr>
              <w:spacing w:after="0"/>
              <w:rPr>
                <w:sz w:val="20"/>
                <w:szCs w:val="20"/>
                <w:color w:val="auto"/>
              </w:rPr>
            </w:pPr>
          </w:p>
        </w:tc>
        <w:tc>
          <w:tcPr>
            <w:tcW w:w="74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r>
      <w:tr>
        <w:trPr>
          <w:trHeight w:val="239"/>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David</w:t>
            </w:r>
          </w:p>
        </w:tc>
        <w:tc>
          <w:tcPr>
            <w:tcW w:w="1000" w:type="dxa"/>
            <w:vAlign w:val="bottom"/>
            <w:shd w:val="clear" w:color="auto" w:fill="CCEECC"/>
          </w:tcPr>
          <w:p>
            <w:pPr>
              <w:ind w:left="220"/>
              <w:spacing w:after="0"/>
              <w:rPr>
                <w:sz w:val="20"/>
                <w:szCs w:val="20"/>
                <w:color w:val="auto"/>
              </w:rPr>
            </w:pPr>
            <w:r>
              <w:rPr>
                <w:rFonts w:ascii="Arial" w:cs="Arial" w:eastAsia="Arial" w:hAnsi="Arial"/>
                <w:sz w:val="18"/>
                <w:szCs w:val="18"/>
                <w:color w:val="auto"/>
              </w:rPr>
              <w:t>125,000</w:t>
            </w:r>
          </w:p>
        </w:tc>
        <w:tc>
          <w:tcPr>
            <w:tcW w:w="4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jc w:val="center"/>
              <w:spacing w:after="0" w:line="240" w:lineRule="exact"/>
              <w:rPr>
                <w:sz w:val="20"/>
                <w:szCs w:val="20"/>
                <w:color w:val="auto"/>
              </w:rPr>
            </w:pPr>
            <w:r>
              <w:rPr>
                <w:rFonts w:ascii="Arial" w:cs="Arial" w:eastAsia="Arial" w:hAnsi="Arial"/>
                <w:sz w:val="17"/>
                <w:szCs w:val="17"/>
                <w:color w:val="auto"/>
                <w:w w:val="89"/>
              </w:rPr>
              <w:t>$0.35</w:t>
            </w:r>
            <w:r>
              <w:rPr>
                <w:rFonts w:ascii="Arial" w:cs="Arial" w:eastAsia="Arial" w:hAnsi="Arial"/>
                <w:sz w:val="27"/>
                <w:szCs w:val="27"/>
                <w:color w:val="auto"/>
                <w:w w:val="89"/>
                <w:vertAlign w:val="superscript"/>
              </w:rPr>
              <w:t>(1)</w:t>
            </w:r>
          </w:p>
        </w:tc>
        <w:tc>
          <w:tcPr>
            <w:tcW w:w="120" w:type="dxa"/>
            <w:vAlign w:val="bottom"/>
            <w:shd w:val="clear" w:color="auto" w:fill="CCEECC"/>
          </w:tcPr>
          <w:p>
            <w:pPr>
              <w:spacing w:after="0"/>
              <w:rPr>
                <w:sz w:val="20"/>
                <w:szCs w:val="20"/>
                <w:color w:val="auto"/>
              </w:rPr>
            </w:pPr>
          </w:p>
        </w:tc>
        <w:tc>
          <w:tcPr>
            <w:tcW w:w="86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w w:val="99"/>
              </w:rPr>
              <w:t>12/22/14</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30"/>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Lester</w:t>
            </w: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7"/>
              </w:rPr>
              <w:t>55,000</w:t>
            </w:r>
          </w:p>
        </w:tc>
        <w:tc>
          <w:tcPr>
            <w:tcW w:w="4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jc w:val="center"/>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CC"/>
          </w:tcPr>
          <w:p>
            <w:pPr>
              <w:spacing w:after="0"/>
              <w:rPr>
                <w:sz w:val="20"/>
                <w:szCs w:val="20"/>
                <w:color w:val="auto"/>
              </w:rPr>
            </w:pPr>
          </w:p>
        </w:tc>
        <w:tc>
          <w:tcPr>
            <w:tcW w:w="86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5/31/16</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02"/>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ind w:left="220"/>
              <w:spacing w:after="0" w:line="201" w:lineRule="exact"/>
              <w:rPr>
                <w:sz w:val="20"/>
                <w:szCs w:val="20"/>
                <w:color w:val="auto"/>
              </w:rPr>
            </w:pPr>
            <w:r>
              <w:rPr>
                <w:rFonts w:ascii="Arial" w:cs="Arial" w:eastAsia="Arial" w:hAnsi="Arial"/>
                <w:sz w:val="18"/>
                <w:szCs w:val="18"/>
                <w:color w:val="auto"/>
              </w:rPr>
              <w:t>100,000</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3"/>
              </w:rPr>
              <w:t>$1.00</w:t>
            </w:r>
          </w:p>
        </w:tc>
        <w:tc>
          <w:tcPr>
            <w:tcW w:w="120" w:type="dxa"/>
            <w:vAlign w:val="bottom"/>
          </w:tcPr>
          <w:p>
            <w:pPr>
              <w:spacing w:after="0"/>
              <w:rPr>
                <w:sz w:val="17"/>
                <w:szCs w:val="17"/>
                <w:color w:val="auto"/>
              </w:rPr>
            </w:pPr>
          </w:p>
        </w:tc>
        <w:tc>
          <w:tcPr>
            <w:tcW w:w="8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3/5/14</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David</w:t>
            </w:r>
          </w:p>
        </w:tc>
        <w:tc>
          <w:tcPr>
            <w:tcW w:w="1000" w:type="dxa"/>
            <w:vAlign w:val="bottom"/>
          </w:tcPr>
          <w:p>
            <w:pPr>
              <w:ind w:left="220"/>
              <w:spacing w:after="0"/>
              <w:rPr>
                <w:sz w:val="20"/>
                <w:szCs w:val="20"/>
                <w:color w:val="auto"/>
              </w:rPr>
            </w:pPr>
            <w:r>
              <w:rPr>
                <w:rFonts w:ascii="Arial" w:cs="Arial" w:eastAsia="Arial" w:hAnsi="Arial"/>
                <w:sz w:val="18"/>
                <w:szCs w:val="18"/>
                <w:color w:val="auto"/>
              </w:rPr>
              <w:t>200,000</w:t>
            </w: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$1.81</w:t>
            </w: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4/26/15</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Harrell</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102,500</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$1.00</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5/31/16</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121,875</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92"/>
              </w:rPr>
              <w:t>225,468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840" w:type="dxa"/>
            <w:vAlign w:val="bottom"/>
            <w:gridSpan w:val="2"/>
            <w:shd w:val="clear" w:color="auto" w:fill="CCEECC"/>
          </w:tcPr>
          <w:p>
            <w:pPr>
              <w:ind w:left="100"/>
              <w:spacing w:after="0" w:line="201" w:lineRule="exact"/>
              <w:rPr>
                <w:sz w:val="20"/>
                <w:szCs w:val="20"/>
                <w:color w:val="auto"/>
              </w:rPr>
            </w:pPr>
            <w:r>
              <w:rPr>
                <w:rFonts w:ascii="Arial" w:cs="Arial" w:eastAsia="Arial" w:hAnsi="Arial"/>
                <w:sz w:val="18"/>
                <w:szCs w:val="18"/>
                <w:color w:val="auto"/>
              </w:rPr>
              <w:t>Terence</w:t>
            </w:r>
          </w:p>
        </w:tc>
        <w:tc>
          <w:tcPr>
            <w:tcW w:w="10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16"/>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J.</w:t>
            </w:r>
          </w:p>
        </w:tc>
        <w:tc>
          <w:tcPr>
            <w:tcW w:w="1000" w:type="dxa"/>
            <w:vAlign w:val="bottom"/>
            <w:shd w:val="clear" w:color="auto" w:fill="CCEECC"/>
          </w:tcPr>
          <w:p>
            <w:pPr>
              <w:ind w:left="220"/>
              <w:spacing w:after="0"/>
              <w:rPr>
                <w:sz w:val="20"/>
                <w:szCs w:val="20"/>
                <w:color w:val="auto"/>
              </w:rPr>
            </w:pPr>
            <w:r>
              <w:rPr>
                <w:rFonts w:ascii="Arial" w:cs="Arial" w:eastAsia="Arial" w:hAnsi="Arial"/>
                <w:sz w:val="18"/>
                <w:szCs w:val="18"/>
                <w:color w:val="auto"/>
              </w:rPr>
              <w:t>150,000</w:t>
            </w:r>
          </w:p>
        </w:tc>
        <w:tc>
          <w:tcPr>
            <w:tcW w:w="4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3"/>
              </w:rPr>
              <w:t>$1.00</w:t>
            </w:r>
          </w:p>
        </w:tc>
        <w:tc>
          <w:tcPr>
            <w:tcW w:w="120" w:type="dxa"/>
            <w:vAlign w:val="bottom"/>
            <w:shd w:val="clear" w:color="auto" w:fill="CCEECC"/>
          </w:tcPr>
          <w:p>
            <w:pPr>
              <w:spacing w:after="0"/>
              <w:rPr>
                <w:sz w:val="18"/>
                <w:szCs w:val="18"/>
                <w:color w:val="auto"/>
              </w:rPr>
            </w:pPr>
          </w:p>
        </w:tc>
        <w:tc>
          <w:tcPr>
            <w:tcW w:w="86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3/5/14</w:t>
            </w:r>
          </w:p>
        </w:tc>
        <w:tc>
          <w:tcPr>
            <w:tcW w:w="6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r>
      <w:tr>
        <w:trPr>
          <w:trHeight w:val="230"/>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Hamilton</w:t>
            </w: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2"/>
              </w:rPr>
              <w:t>127,500</w:t>
            </w:r>
          </w:p>
        </w:tc>
        <w:tc>
          <w:tcPr>
            <w:tcW w:w="4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$1.00</w:t>
            </w:r>
          </w:p>
        </w:tc>
        <w:tc>
          <w:tcPr>
            <w:tcW w:w="120" w:type="dxa"/>
            <w:vAlign w:val="bottom"/>
            <w:shd w:val="clear" w:color="auto" w:fill="CCEECC"/>
          </w:tcPr>
          <w:p>
            <w:pPr>
              <w:spacing w:after="0"/>
              <w:rPr>
                <w:sz w:val="20"/>
                <w:szCs w:val="20"/>
                <w:color w:val="auto"/>
              </w:rPr>
            </w:pPr>
          </w:p>
        </w:tc>
        <w:tc>
          <w:tcPr>
            <w:tcW w:w="86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5/31/16</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r>
              <w:rPr>
                <w:rFonts w:ascii="Arial" w:cs="Arial" w:eastAsia="Arial" w:hAnsi="Arial"/>
                <w:sz w:val="18"/>
                <w:szCs w:val="18"/>
                <w:color w:val="auto"/>
              </w:rPr>
              <w:t>215,625</w:t>
            </w:r>
          </w:p>
        </w:tc>
        <w:tc>
          <w:tcPr>
            <w:tcW w:w="6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r>
              <w:rPr>
                <w:rFonts w:ascii="Arial" w:cs="Arial" w:eastAsia="Arial" w:hAnsi="Arial"/>
                <w:sz w:val="18"/>
                <w:szCs w:val="18"/>
                <w:color w:val="auto"/>
                <w:w w:val="92"/>
              </w:rPr>
              <w:t>398,906</w:t>
            </w: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bl>
    <w:p>
      <w:pPr>
        <w:spacing w:after="0" w:line="229" w:lineRule="exact"/>
        <w:rPr>
          <w:sz w:val="20"/>
          <w:szCs w:val="20"/>
          <w:color w:val="auto"/>
        </w:rPr>
      </w:pPr>
    </w:p>
    <w:p>
      <w:pPr>
        <w:ind w:left="5620" w:right="4500" w:hanging="4926"/>
        <w:spacing w:after="0" w:line="738" w:lineRule="auto"/>
        <w:tabs>
          <w:tab w:leader="none" w:pos="91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These are warrants that were revalued on October 1, 2009 to $0.35 per share.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233" w:right="6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5" w:lineRule="exact"/>
        <w:rPr>
          <w:sz w:val="20"/>
          <w:szCs w:val="20"/>
          <w:color w:val="auto"/>
        </w:rPr>
      </w:pPr>
    </w:p>
    <w:p>
      <w:pPr>
        <w:ind w:left="100" w:right="1939"/>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F-1 </w:t>
      </w:r>
      <w:hyperlink w:anchor="page36">
        <w:r>
          <w:rPr>
            <w:rFonts w:ascii="Arial" w:cs="Arial" w:eastAsia="Arial" w:hAnsi="Arial"/>
            <w:sz w:val="18"/>
            <w:szCs w:val="18"/>
            <w:u w:val="single" w:color="auto"/>
            <w:color w:val="0000EE"/>
          </w:rPr>
          <w:t>Consolidated Balance Sheets (Unaudited) as of March 31, 2014 and December 31, 2013;</w:t>
        </w:r>
      </w:hyperlink>
      <w:r>
        <w:rPr>
          <w:rFonts w:ascii="Arial" w:cs="Arial" w:eastAsia="Arial" w:hAnsi="Arial"/>
          <w:sz w:val="18"/>
          <w:szCs w:val="18"/>
          <w:color w:val="auto"/>
        </w:rPr>
        <w:t xml:space="preserve"> F-2 </w:t>
      </w:r>
      <w:hyperlink w:anchor="page37">
        <w:r>
          <w:rPr>
            <w:rFonts w:ascii="Arial" w:cs="Arial" w:eastAsia="Arial" w:hAnsi="Arial"/>
            <w:sz w:val="18"/>
            <w:szCs w:val="18"/>
            <w:u w:val="single" w:color="auto"/>
            <w:color w:val="0000EE"/>
          </w:rPr>
          <w:t>Consolidated Statements of Operations (Unaudited) for the Three Months Ended March 31, 2014 and 2013;</w:t>
        </w:r>
      </w:hyperlink>
      <w:r>
        <w:rPr>
          <w:rFonts w:ascii="Arial" w:cs="Arial" w:eastAsia="Arial" w:hAnsi="Arial"/>
          <w:sz w:val="18"/>
          <w:szCs w:val="18"/>
          <w:color w:val="auto"/>
        </w:rPr>
        <w:t xml:space="preserve"> F-3 </w:t>
      </w:r>
      <w:hyperlink w:anchor="page38">
        <w:r>
          <w:rPr>
            <w:rFonts w:ascii="Arial" w:cs="Arial" w:eastAsia="Arial" w:hAnsi="Arial"/>
            <w:sz w:val="18"/>
            <w:szCs w:val="18"/>
            <w:u w:val="single" w:color="auto"/>
            <w:color w:val="0000EE"/>
          </w:rPr>
          <w:t>Consolidated Statements of Cash Flows (Unaudited) for the Three Months Ended March 31, 2014 and 2013;</w:t>
        </w:r>
      </w:hyperlink>
      <w:r>
        <w:rPr>
          <w:rFonts w:ascii="Arial" w:cs="Arial" w:eastAsia="Arial" w:hAnsi="Arial"/>
          <w:sz w:val="18"/>
          <w:szCs w:val="18"/>
          <w:color w:val="auto"/>
        </w:rPr>
        <w:t xml:space="preserve"> F-4 </w:t>
      </w:r>
      <w:hyperlink w:anchor="page39">
        <w:r>
          <w:rPr>
            <w:rFonts w:ascii="Arial" w:cs="Arial" w:eastAsia="Arial" w:hAnsi="Arial"/>
            <w:sz w:val="18"/>
            <w:szCs w:val="18"/>
            <w:u w:val="single" w:color="auto"/>
            <w:color w:val="0000EE"/>
          </w:rPr>
          <w:t>Notes to Consolidated Financial Statements.</w:t>
        </w:r>
      </w:hyperlink>
    </w:p>
    <w:p>
      <w:pPr>
        <w:spacing w:after="0" w:line="18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7" w:lineRule="exact"/>
        <w:rPr>
          <w:rFonts w:ascii="Arial" w:cs="Arial" w:eastAsia="Arial" w:hAnsi="Arial"/>
          <w:sz w:val="18"/>
          <w:szCs w:val="18"/>
          <w:color w:val="auto"/>
        </w:rPr>
      </w:pPr>
    </w:p>
    <w:p>
      <w:pPr>
        <w:ind w:left="100"/>
        <w:spacing w:after="0"/>
        <w:tabs>
          <w:tab w:leader="none" w:pos="440" w:val="left"/>
        </w:tabs>
        <w:rPr>
          <w:rFonts w:ascii="Arial" w:cs="Arial" w:eastAsia="Arial" w:hAnsi="Arial"/>
          <w:sz w:val="16"/>
          <w:szCs w:val="16"/>
          <w:u w:val="single" w:color="auto"/>
          <w:color w:val="0000EE"/>
        </w:rPr>
      </w:pPr>
      <w:r>
        <w:rPr>
          <w:rFonts w:ascii="Arial" w:cs="Arial" w:eastAsia="Arial" w:hAnsi="Arial"/>
          <w:sz w:val="18"/>
          <w:szCs w:val="18"/>
          <w:color w:val="auto"/>
        </w:rPr>
        <w:t>F-</w:t>
      </w:r>
      <w:r>
        <w:rPr>
          <w:sz w:val="20"/>
          <w:szCs w:val="20"/>
          <w:color w:val="auto"/>
        </w:rPr>
        <w:tab/>
      </w:r>
      <w:hyperlink w:anchor="page51">
        <w:r>
          <w:rPr>
            <w:rFonts w:ascii="Arial" w:cs="Arial" w:eastAsia="Arial" w:hAnsi="Arial"/>
            <w:sz w:val="16"/>
            <w:szCs w:val="16"/>
            <w:u w:val="single" w:color="auto"/>
            <w:color w:val="0000EE"/>
          </w:rPr>
          <w:t>Report of Independent Registered Public Accounting Firm;</w:t>
        </w:r>
      </w:hyperlink>
    </w:p>
    <w:p>
      <w:pPr>
        <w:spacing w:after="0" w:line="9"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color w:val="auto"/>
        </w:rPr>
        <w:t>16</w:t>
      </w:r>
    </w:p>
    <w:p>
      <w:pPr>
        <w:spacing w:after="0" w:line="9" w:lineRule="exact"/>
        <w:rPr>
          <w:rFonts w:ascii="Arial" w:cs="Arial" w:eastAsia="Arial" w:hAnsi="Arial"/>
          <w:sz w:val="18"/>
          <w:szCs w:val="18"/>
          <w:color w:val="auto"/>
        </w:rPr>
      </w:pPr>
    </w:p>
    <w:p>
      <w:pPr>
        <w:ind w:left="100"/>
        <w:spacing w:after="0"/>
        <w:tabs>
          <w:tab w:leader="none" w:pos="440" w:val="left"/>
        </w:tabs>
        <w:rPr>
          <w:rFonts w:ascii="Arial" w:cs="Arial" w:eastAsia="Arial" w:hAnsi="Arial"/>
          <w:sz w:val="16"/>
          <w:szCs w:val="16"/>
          <w:u w:val="single" w:color="auto"/>
          <w:color w:val="0000EE"/>
        </w:rPr>
      </w:pPr>
      <w:r>
        <w:rPr>
          <w:rFonts w:ascii="Arial" w:cs="Arial" w:eastAsia="Arial" w:hAnsi="Arial"/>
          <w:sz w:val="18"/>
          <w:szCs w:val="18"/>
          <w:color w:val="auto"/>
        </w:rPr>
        <w:t>F-</w:t>
      </w:r>
      <w:r>
        <w:rPr>
          <w:sz w:val="20"/>
          <w:szCs w:val="20"/>
          <w:color w:val="auto"/>
        </w:rPr>
        <w:tab/>
      </w:r>
      <w:hyperlink w:anchor="page52">
        <w:r>
          <w:rPr>
            <w:rFonts w:ascii="Arial" w:cs="Arial" w:eastAsia="Arial" w:hAnsi="Arial"/>
            <w:sz w:val="16"/>
            <w:szCs w:val="16"/>
            <w:u w:val="single" w:color="auto"/>
            <w:color w:val="0000EE"/>
          </w:rPr>
          <w:t>Consolidated Balance Sheets as of December 31, 2013 and 2012;</w:t>
        </w:r>
      </w:hyperlink>
    </w:p>
    <w:p>
      <w:pPr>
        <w:spacing w:after="0" w:line="9"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color w:val="auto"/>
        </w:rPr>
        <w:t>17</w:t>
      </w:r>
    </w:p>
    <w:p>
      <w:pPr>
        <w:spacing w:after="0" w:line="9" w:lineRule="exact"/>
        <w:rPr>
          <w:rFonts w:ascii="Arial" w:cs="Arial" w:eastAsia="Arial" w:hAnsi="Arial"/>
          <w:sz w:val="18"/>
          <w:szCs w:val="18"/>
          <w:color w:val="auto"/>
        </w:rPr>
      </w:pPr>
    </w:p>
    <w:p>
      <w:pPr>
        <w:ind w:left="100" w:right="3299"/>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F- </w:t>
      </w:r>
      <w:hyperlink w:anchor="page53">
        <w:r>
          <w:rPr>
            <w:rFonts w:ascii="Arial" w:cs="Arial" w:eastAsia="Arial" w:hAnsi="Arial"/>
            <w:sz w:val="18"/>
            <w:szCs w:val="18"/>
            <w:u w:val="single" w:color="auto"/>
            <w:color w:val="0000EE"/>
          </w:rPr>
          <w:t>Consolidated Statements of Operations for the years ended December 31, 2013 and 2012;</w:t>
        </w:r>
      </w:hyperlink>
      <w:r>
        <w:rPr>
          <w:rFonts w:ascii="Arial" w:cs="Arial" w:eastAsia="Arial" w:hAnsi="Arial"/>
          <w:sz w:val="18"/>
          <w:szCs w:val="18"/>
          <w:color w:val="auto"/>
        </w:rPr>
        <w:t xml:space="preserve"> 18</w:t>
      </w:r>
    </w:p>
    <w:p>
      <w:pPr>
        <w:spacing w:after="0" w:line="1" w:lineRule="exact"/>
        <w:rPr>
          <w:rFonts w:ascii="Arial" w:cs="Arial" w:eastAsia="Arial" w:hAnsi="Arial"/>
          <w:sz w:val="18"/>
          <w:szCs w:val="18"/>
          <w:color w:val="auto"/>
        </w:rPr>
      </w:pPr>
    </w:p>
    <w:p>
      <w:pPr>
        <w:ind w:left="100" w:right="4379"/>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F- </w:t>
      </w:r>
      <w:hyperlink w:anchor="page54">
        <w:r>
          <w:rPr>
            <w:rFonts w:ascii="Arial" w:cs="Arial" w:eastAsia="Arial" w:hAnsi="Arial"/>
            <w:sz w:val="18"/>
            <w:szCs w:val="18"/>
            <w:u w:val="single" w:color="auto"/>
            <w:color w:val="0000EE"/>
          </w:rPr>
          <w:t>Consolidated Statement of Stockholders’ Equity as of December 31, 2013;</w:t>
        </w:r>
      </w:hyperlink>
      <w:r>
        <w:rPr>
          <w:rFonts w:ascii="Arial" w:cs="Arial" w:eastAsia="Arial" w:hAnsi="Arial"/>
          <w:sz w:val="18"/>
          <w:szCs w:val="18"/>
          <w:color w:val="auto"/>
        </w:rPr>
        <w:t xml:space="preserve"> 19</w:t>
      </w:r>
    </w:p>
    <w:p>
      <w:pPr>
        <w:spacing w:after="0" w:line="1" w:lineRule="exact"/>
        <w:rPr>
          <w:rFonts w:ascii="Arial" w:cs="Arial" w:eastAsia="Arial" w:hAnsi="Arial"/>
          <w:sz w:val="18"/>
          <w:szCs w:val="18"/>
          <w:color w:val="auto"/>
        </w:rPr>
      </w:pPr>
    </w:p>
    <w:p>
      <w:pPr>
        <w:ind w:left="100"/>
        <w:spacing w:after="0"/>
        <w:tabs>
          <w:tab w:leader="none" w:pos="440" w:val="left"/>
        </w:tabs>
        <w:rPr>
          <w:rFonts w:ascii="Arial" w:cs="Arial" w:eastAsia="Arial" w:hAnsi="Arial"/>
          <w:sz w:val="16"/>
          <w:szCs w:val="16"/>
          <w:u w:val="single" w:color="auto"/>
          <w:color w:val="0000EE"/>
        </w:rPr>
      </w:pPr>
      <w:r>
        <w:rPr>
          <w:rFonts w:ascii="Arial" w:cs="Arial" w:eastAsia="Arial" w:hAnsi="Arial"/>
          <w:sz w:val="18"/>
          <w:szCs w:val="18"/>
          <w:color w:val="auto"/>
        </w:rPr>
        <w:t>F-</w:t>
      </w:r>
      <w:r>
        <w:rPr>
          <w:sz w:val="20"/>
          <w:szCs w:val="20"/>
          <w:color w:val="auto"/>
        </w:rPr>
        <w:tab/>
      </w:r>
      <w:hyperlink w:anchor="page55">
        <w:r>
          <w:rPr>
            <w:rFonts w:ascii="Arial" w:cs="Arial" w:eastAsia="Arial" w:hAnsi="Arial"/>
            <w:sz w:val="16"/>
            <w:szCs w:val="16"/>
            <w:u w:val="single" w:color="auto"/>
            <w:color w:val="0000EE"/>
          </w:rPr>
          <w:t>Consolidated Statements of Cash Flows for the years ended December 31, 2013 and 2012; and</w:t>
        </w:r>
      </w:hyperlink>
    </w:p>
    <w:p>
      <w:pPr>
        <w:spacing w:after="0" w:line="9"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color w:val="auto"/>
        </w:rPr>
        <w:t>20</w:t>
      </w:r>
    </w:p>
    <w:p>
      <w:pPr>
        <w:spacing w:after="0" w:line="9" w:lineRule="exact"/>
        <w:rPr>
          <w:rFonts w:ascii="Arial" w:cs="Arial" w:eastAsia="Arial" w:hAnsi="Arial"/>
          <w:sz w:val="18"/>
          <w:szCs w:val="18"/>
          <w:color w:val="auto"/>
        </w:rPr>
      </w:pPr>
    </w:p>
    <w:p>
      <w:pPr>
        <w:ind w:left="100"/>
        <w:spacing w:after="0"/>
        <w:tabs>
          <w:tab w:leader="none" w:pos="440" w:val="left"/>
        </w:tabs>
        <w:rPr>
          <w:rFonts w:ascii="Arial" w:cs="Arial" w:eastAsia="Arial" w:hAnsi="Arial"/>
          <w:sz w:val="16"/>
          <w:szCs w:val="16"/>
          <w:u w:val="single" w:color="auto"/>
          <w:color w:val="0000EE"/>
        </w:rPr>
      </w:pPr>
      <w:r>
        <w:rPr>
          <w:rFonts w:ascii="Arial" w:cs="Arial" w:eastAsia="Arial" w:hAnsi="Arial"/>
          <w:sz w:val="18"/>
          <w:szCs w:val="18"/>
          <w:color w:val="auto"/>
        </w:rPr>
        <w:t>F-</w:t>
      </w:r>
      <w:r>
        <w:rPr>
          <w:sz w:val="20"/>
          <w:szCs w:val="20"/>
          <w:color w:val="auto"/>
        </w:rPr>
        <w:tab/>
      </w:r>
      <w:hyperlink w:anchor="page56">
        <w:r>
          <w:rPr>
            <w:rFonts w:ascii="Arial" w:cs="Arial" w:eastAsia="Arial" w:hAnsi="Arial"/>
            <w:sz w:val="16"/>
            <w:szCs w:val="16"/>
            <w:u w:val="single" w:color="auto"/>
            <w:color w:val="0000EE"/>
          </w:rPr>
          <w:t>Consolidated Notes to Financial Statements.</w:t>
        </w:r>
      </w:hyperlink>
    </w:p>
    <w:p>
      <w:pPr>
        <w:spacing w:after="0" w:line="9"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color w:val="auto"/>
        </w:rPr>
        <w:t>21</w:t>
      </w:r>
    </w:p>
    <w:p>
      <w:pPr>
        <w:spacing w:after="0" w:line="400" w:lineRule="exact"/>
        <w:rPr>
          <w:rFonts w:ascii="Arial" w:cs="Arial" w:eastAsia="Arial" w:hAnsi="Arial"/>
          <w:sz w:val="18"/>
          <w:szCs w:val="18"/>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2014 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506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w w:val="91"/>
              </w:rPr>
              <w:t>December 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060" w:type="dxa"/>
            <w:vAlign w:val="bottom"/>
            <w:tcBorders>
              <w:bottom w:val="single" w:sz="8" w:color="CCEECC"/>
            </w:tcBorders>
            <w:vMerge w:val="continue"/>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1"/>
              </w:rPr>
              <w:t>March 31, 2014</w:t>
            </w:r>
          </w:p>
        </w:tc>
        <w:tc>
          <w:tcPr>
            <w:tcW w:w="16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Current Assets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4,030,730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1,118,243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receivable</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1,111,379</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1,566,964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11,805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11,771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Current Assets</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5,153,914</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2,696,978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13,688</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Patent rights,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903,617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885,950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Web-based technology, net</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439,054</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404,986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Security deposit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5,049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Other Assets</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1,347,720</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1,295,985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20" w:type="dxa"/>
            <w:vAlign w:val="bottom"/>
            <w:vMerge w:val="continue"/>
          </w:tcPr>
          <w:p>
            <w:pPr>
              <w:spacing w:after="0"/>
              <w:rPr>
                <w:sz w:val="21"/>
                <w:szCs w:val="21"/>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6,515,322</w:t>
            </w:r>
          </w:p>
        </w:tc>
        <w:tc>
          <w:tcPr>
            <w:tcW w:w="2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4,008,020</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6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620"/>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230,178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188,739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 - related party</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570,000</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146,042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Revenue share payable</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797,725</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1,193,661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168,714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ind w:left="320"/>
              <w:spacing w:after="0"/>
              <w:rPr>
                <w:sz w:val="20"/>
                <w:szCs w:val="20"/>
                <w:color w:val="auto"/>
              </w:rPr>
            </w:pPr>
            <w:r>
              <w:rPr>
                <w:rFonts w:ascii="Arial" w:cs="Arial" w:eastAsia="Arial" w:hAnsi="Arial"/>
                <w:sz w:val="18"/>
                <w:szCs w:val="18"/>
                <w:color w:val="auto"/>
              </w:rPr>
              <w:t>Total Liabilities</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1,912,659</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1,968,652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5060" w:type="dxa"/>
            <w:vAlign w:val="bottom"/>
            <w:shd w:val="clear" w:color="auto" w:fill="CCEECC"/>
          </w:tcPr>
          <w:p>
            <w:pPr>
              <w:ind w:left="320"/>
              <w:spacing w:after="0" w:line="201" w:lineRule="exact"/>
              <w:rPr>
                <w:sz w:val="20"/>
                <w:szCs w:val="20"/>
                <w:color w:val="auto"/>
              </w:rPr>
            </w:pPr>
            <w:r>
              <w:rPr>
                <w:rFonts w:ascii="Arial" w:cs="Arial" w:eastAsia="Arial" w:hAnsi="Arial"/>
                <w:sz w:val="18"/>
                <w:szCs w:val="18"/>
                <w:color w:val="auto"/>
                <w:w w:val="90"/>
              </w:rPr>
              <w:t>Preferred stock, $.001 par value, 10,000,000 shares authorized, 0</w:t>
            </w:r>
          </w:p>
        </w:tc>
        <w:tc>
          <w:tcPr>
            <w:tcW w:w="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2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2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and 65 shares issued and outstanding</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5060" w:type="dxa"/>
            <w:vAlign w:val="bottom"/>
          </w:tcPr>
          <w:p>
            <w:pPr>
              <w:ind w:left="320"/>
              <w:spacing w:after="0" w:line="201" w:lineRule="exact"/>
              <w:rPr>
                <w:sz w:val="20"/>
                <w:szCs w:val="20"/>
                <w:color w:val="auto"/>
              </w:rPr>
            </w:pPr>
            <w:r>
              <w:rPr>
                <w:rFonts w:ascii="Arial" w:cs="Arial" w:eastAsia="Arial" w:hAnsi="Arial"/>
                <w:sz w:val="18"/>
                <w:szCs w:val="18"/>
                <w:color w:val="auto"/>
                <w:w w:val="91"/>
              </w:rPr>
              <w:t>Common stock, $.001 par value, 500,000,000 shares authorized,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23,168,337 and 14,773,496 shares issued and outstanding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23,168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14,773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warrants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3,147,709</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18,148,049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Additional paid-in-capital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27,155,730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8,726,708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Deferred stock compensation</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(454,409)</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(233,942)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(25,269,535)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(24,616,220)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4,602,663</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2,039,368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20" w:type="dxa"/>
            <w:vAlign w:val="bottom"/>
            <w:vMerge w:val="continue"/>
          </w:tcPr>
          <w:p>
            <w:pPr>
              <w:spacing w:after="0"/>
              <w:rPr>
                <w:sz w:val="21"/>
                <w:szCs w:val="21"/>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shd w:val="clear" w:color="auto" w:fill="CCEECC"/>
          </w:tcPr>
          <w:p>
            <w:pPr>
              <w:spacing w:after="0"/>
              <w:rPr>
                <w:sz w:val="21"/>
                <w:szCs w:val="21"/>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6,515,322</w:t>
            </w:r>
          </w:p>
        </w:tc>
        <w:tc>
          <w:tcPr>
            <w:tcW w:w="60" w:type="dxa"/>
            <w:vAlign w:val="bottom"/>
            <w:shd w:val="clear" w:color="auto" w:fill="CCEECC"/>
          </w:tcPr>
          <w:p>
            <w:pPr>
              <w:spacing w:after="0"/>
              <w:rPr>
                <w:sz w:val="21"/>
                <w:szCs w:val="21"/>
                <w:color w:val="auto"/>
              </w:rPr>
            </w:pPr>
          </w:p>
        </w:tc>
        <w:tc>
          <w:tcPr>
            <w:tcW w:w="2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4,008,020</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20" w:type="dxa"/>
            <w:vAlign w:val="bottom"/>
            <w:tcBorders>
              <w:top w:val="single" w:sz="8" w:color="CCEECC"/>
            </w:tcBorders>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CC"/>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6760" w:type="dxa"/>
            <w:vAlign w:val="bottom"/>
            <w:gridSpan w:val="7"/>
          </w:tcPr>
          <w:p>
            <w:pPr>
              <w:ind w:left="1320"/>
              <w:spacing w:after="0"/>
              <w:rPr>
                <w:sz w:val="20"/>
                <w:szCs w:val="20"/>
                <w:color w:val="auto"/>
              </w:rPr>
            </w:pPr>
            <w:r>
              <w:rPr>
                <w:rFonts w:ascii="Arial" w:cs="Arial" w:eastAsia="Arial" w:hAnsi="Arial"/>
                <w:sz w:val="18"/>
                <w:szCs w:val="18"/>
                <w:color w:val="auto"/>
                <w:w w:val="91"/>
              </w:rPr>
              <w:t>The accompanying notes are an integral part of these financial statements.</w:t>
            </w: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tcBorders>
              <w:bottom w:val="single" w:sz="8" w:color="auto"/>
            </w:tcBorders>
          </w:tcPr>
          <w:p>
            <w:pPr>
              <w:spacing w:after="0"/>
              <w:rPr>
                <w:sz w:val="16"/>
                <w:szCs w:val="16"/>
                <w:color w:val="auto"/>
              </w:rPr>
            </w:pPr>
          </w:p>
        </w:tc>
        <w:tc>
          <w:tcPr>
            <w:tcW w:w="5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5060" w:type="dxa"/>
            <w:vAlign w:val="bottom"/>
          </w:tcPr>
          <w:p>
            <w:pPr>
              <w:ind w:left="3860"/>
              <w:spacing w:after="0"/>
              <w:rPr>
                <w:sz w:val="20"/>
                <w:szCs w:val="20"/>
                <w:color w:val="auto"/>
              </w:rPr>
            </w:pPr>
            <w:r>
              <w:rPr>
                <w:rFonts w:ascii="Arial" w:cs="Arial" w:eastAsia="Arial" w:hAnsi="Arial"/>
                <w:sz w:val="18"/>
                <w:szCs w:val="18"/>
                <w:color w:val="auto"/>
              </w:rPr>
              <w:t>F-1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right"/>
        <w:ind w:right="179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2014 AND 2013</w:t>
      </w:r>
    </w:p>
    <w:p>
      <w:pPr>
        <w:sectPr>
          <w:pgSz w:w="11900" w:h="16838" w:orient="portrait"/>
          <w:cols w:equalWidth="0" w:num="1">
            <w:col w:w="10219"/>
          </w:cols>
          <w:pgMar w:left="240" w:top="2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NET REVENUE</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REVENUE SHARE EXPENSE</w:t>
      </w:r>
    </w:p>
    <w:p>
      <w:pPr>
        <w:spacing w:after="0" w:line="27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GROSS MARGIN</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EXPENSES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left="-49"/>
        <w:spacing w:after="0"/>
        <w:rPr>
          <w:sz w:val="20"/>
          <w:szCs w:val="20"/>
          <w:color w:val="auto"/>
        </w:rPr>
      </w:pPr>
      <w:r>
        <w:rPr>
          <w:rFonts w:ascii="Arial" w:cs="Arial" w:eastAsia="Arial" w:hAnsi="Arial"/>
          <w:sz w:val="18"/>
          <w:szCs w:val="18"/>
          <w:color w:val="auto"/>
        </w:rPr>
        <w:t>For the</w:t>
      </w:r>
    </w:p>
    <w:p>
      <w:pPr>
        <w:spacing w:after="0" w:line="23" w:lineRule="exact"/>
        <w:rPr>
          <w:sz w:val="20"/>
          <w:szCs w:val="20"/>
          <w:color w:val="auto"/>
        </w:rPr>
      </w:pPr>
    </w:p>
    <w:p>
      <w:pPr>
        <w:jc w:val="center"/>
        <w:ind w:left="-49"/>
        <w:spacing w:after="0"/>
        <w:rPr>
          <w:sz w:val="20"/>
          <w:szCs w:val="20"/>
          <w:color w:val="auto"/>
        </w:rPr>
      </w:pPr>
      <w:r>
        <w:rPr>
          <w:rFonts w:ascii="Arial" w:cs="Arial" w:eastAsia="Arial" w:hAnsi="Arial"/>
          <w:sz w:val="15"/>
          <w:szCs w:val="15"/>
          <w:color w:val="auto"/>
        </w:rPr>
        <w:t>three months ended</w:t>
      </w:r>
    </w:p>
    <w:p>
      <w:pPr>
        <w:spacing w:after="0" w:line="44" w:lineRule="exact"/>
        <w:rPr>
          <w:sz w:val="20"/>
          <w:szCs w:val="20"/>
          <w:color w:val="auto"/>
        </w:rPr>
      </w:pPr>
    </w:p>
    <w:p>
      <w:pPr>
        <w:jc w:val="center"/>
        <w:ind w:left="-49"/>
        <w:spacing w:after="0"/>
        <w:rPr>
          <w:sz w:val="20"/>
          <w:szCs w:val="20"/>
          <w:color w:val="auto"/>
        </w:rPr>
      </w:pPr>
      <w:r>
        <w:rPr>
          <w:rFonts w:ascii="Arial" w:cs="Arial" w:eastAsia="Arial" w:hAnsi="Arial"/>
          <w:sz w:val="18"/>
          <w:szCs w:val="18"/>
          <w:color w:val="auto"/>
        </w:rPr>
        <w:t>March 31, 2014</w:t>
      </w:r>
    </w:p>
    <w:p>
      <w:pPr>
        <w:spacing w:after="0" w:line="238" w:lineRule="exact"/>
        <w:rPr>
          <w:sz w:val="20"/>
          <w:szCs w:val="20"/>
          <w:color w:val="auto"/>
        </w:rPr>
      </w:pPr>
    </w:p>
    <w:p>
      <w:pPr>
        <w:ind w:left="730" w:hanging="730"/>
        <w:spacing w:after="0"/>
        <w:tabs>
          <w:tab w:leader="none" w:pos="73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1,317,347</w:t>
      </w:r>
    </w:p>
    <w:p>
      <w:pPr>
        <w:spacing w:after="0" w:line="261" w:lineRule="exact"/>
        <w:rPr>
          <w:rFonts w:ascii="Arial" w:cs="Arial" w:eastAsia="Arial" w:hAnsi="Arial"/>
          <w:sz w:val="16"/>
          <w:szCs w:val="16"/>
          <w:color w:val="auto"/>
        </w:rPr>
      </w:pPr>
    </w:p>
    <w:p>
      <w:pPr>
        <w:ind w:left="870"/>
        <w:spacing w:after="0"/>
        <w:rPr>
          <w:rFonts w:ascii="Arial" w:cs="Arial" w:eastAsia="Arial" w:hAnsi="Arial"/>
          <w:sz w:val="16"/>
          <w:szCs w:val="16"/>
          <w:color w:val="auto"/>
        </w:rPr>
      </w:pPr>
      <w:r>
        <w:rPr>
          <w:rFonts w:ascii="Arial" w:cs="Arial" w:eastAsia="Arial" w:hAnsi="Arial"/>
          <w:sz w:val="16"/>
          <w:szCs w:val="16"/>
          <w:color w:val="auto"/>
        </w:rPr>
        <w:t>498,810</w:t>
      </w:r>
    </w:p>
    <w:p>
      <w:pPr>
        <w:spacing w:after="0" w:line="261" w:lineRule="exact"/>
        <w:rPr>
          <w:rFonts w:ascii="Arial" w:cs="Arial" w:eastAsia="Arial" w:hAnsi="Arial"/>
          <w:sz w:val="16"/>
          <w:szCs w:val="16"/>
          <w:color w:val="auto"/>
        </w:rPr>
      </w:pPr>
    </w:p>
    <w:p>
      <w:pPr>
        <w:ind w:left="870"/>
        <w:spacing w:after="0"/>
        <w:rPr>
          <w:rFonts w:ascii="Arial" w:cs="Arial" w:eastAsia="Arial" w:hAnsi="Arial"/>
          <w:sz w:val="16"/>
          <w:szCs w:val="16"/>
          <w:color w:val="auto"/>
        </w:rPr>
      </w:pPr>
      <w:r>
        <w:rPr>
          <w:rFonts w:ascii="Arial" w:cs="Arial" w:eastAsia="Arial" w:hAnsi="Arial"/>
          <w:sz w:val="16"/>
          <w:szCs w:val="16"/>
          <w:color w:val="auto"/>
        </w:rPr>
        <w:t>818,537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-2323465</wp:posOffset>
            </wp:positionH>
            <wp:positionV relativeFrom="paragraph">
              <wp:posOffset>-398780</wp:posOffset>
            </wp:positionV>
            <wp:extent cx="4347845" cy="702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47845" cy="70294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-681355</wp:posOffset>
            </wp:positionV>
            <wp:extent cx="434784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1091"/>
        <w:spacing w:after="0"/>
        <w:rPr>
          <w:sz w:val="20"/>
          <w:szCs w:val="20"/>
          <w:color w:val="auto"/>
        </w:rPr>
      </w:pPr>
      <w:r>
        <w:rPr>
          <w:rFonts w:ascii="Arial" w:cs="Arial" w:eastAsia="Arial" w:hAnsi="Arial"/>
          <w:sz w:val="18"/>
          <w:szCs w:val="18"/>
          <w:color w:val="auto"/>
        </w:rPr>
        <w:t>For the</w:t>
      </w:r>
    </w:p>
    <w:p>
      <w:pPr>
        <w:spacing w:after="0" w:line="23" w:lineRule="exact"/>
        <w:rPr>
          <w:sz w:val="20"/>
          <w:szCs w:val="20"/>
          <w:color w:val="auto"/>
        </w:rPr>
      </w:pPr>
    </w:p>
    <w:p>
      <w:pPr>
        <w:jc w:val="center"/>
        <w:ind w:right="1091"/>
        <w:spacing w:after="0"/>
        <w:rPr>
          <w:sz w:val="20"/>
          <w:szCs w:val="20"/>
          <w:color w:val="auto"/>
        </w:rPr>
      </w:pPr>
      <w:r>
        <w:rPr>
          <w:rFonts w:ascii="Arial" w:cs="Arial" w:eastAsia="Arial" w:hAnsi="Arial"/>
          <w:sz w:val="15"/>
          <w:szCs w:val="15"/>
          <w:color w:val="auto"/>
        </w:rPr>
        <w:t>three months ended</w:t>
      </w:r>
    </w:p>
    <w:p>
      <w:pPr>
        <w:spacing w:after="0" w:line="44" w:lineRule="exact"/>
        <w:rPr>
          <w:sz w:val="20"/>
          <w:szCs w:val="20"/>
          <w:color w:val="auto"/>
        </w:rPr>
      </w:pPr>
    </w:p>
    <w:p>
      <w:pPr>
        <w:jc w:val="center"/>
        <w:ind w:right="1091"/>
        <w:spacing w:after="0"/>
        <w:rPr>
          <w:sz w:val="20"/>
          <w:szCs w:val="20"/>
          <w:color w:val="auto"/>
        </w:rPr>
      </w:pPr>
      <w:r>
        <w:rPr>
          <w:rFonts w:ascii="Arial" w:cs="Arial" w:eastAsia="Arial" w:hAnsi="Arial"/>
          <w:sz w:val="18"/>
          <w:szCs w:val="18"/>
          <w:color w:val="auto"/>
        </w:rPr>
        <w:t>March 31, 2013</w:t>
      </w:r>
    </w:p>
    <w:p>
      <w:pPr>
        <w:spacing w:after="0" w:line="9" w:lineRule="exact"/>
        <w:rPr>
          <w:sz w:val="20"/>
          <w:szCs w:val="20"/>
          <w:color w:val="auto"/>
        </w:rPr>
      </w:pPr>
    </w:p>
    <w:p>
      <w:pPr>
        <w:ind w:left="429"/>
        <w:spacing w:after="0"/>
        <w:rPr>
          <w:sz w:val="20"/>
          <w:szCs w:val="20"/>
          <w:color w:val="auto"/>
        </w:rPr>
      </w:pPr>
      <w:r>
        <w:rPr>
          <w:rFonts w:ascii="Arial" w:cs="Arial" w:eastAsia="Arial" w:hAnsi="Arial"/>
          <w:sz w:val="18"/>
          <w:szCs w:val="18"/>
          <w:color w:val="auto"/>
        </w:rPr>
        <w:t>(restated)</w:t>
      </w:r>
    </w:p>
    <w:p>
      <w:pPr>
        <w:spacing w:after="0" w:line="23" w:lineRule="exact"/>
        <w:rPr>
          <w:sz w:val="20"/>
          <w:szCs w:val="20"/>
          <w:color w:val="auto"/>
        </w:rPr>
      </w:pPr>
    </w:p>
    <w:p>
      <w:pPr>
        <w:ind w:left="869" w:hanging="869"/>
        <w:spacing w:after="0"/>
        <w:tabs>
          <w:tab w:leader="none" w:pos="8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669,290</w:t>
      </w:r>
    </w:p>
    <w:p>
      <w:pPr>
        <w:spacing w:after="0" w:line="260" w:lineRule="exact"/>
        <w:rPr>
          <w:rFonts w:ascii="Arial" w:cs="Arial" w:eastAsia="Arial" w:hAnsi="Arial"/>
          <w:sz w:val="16"/>
          <w:szCs w:val="16"/>
          <w:color w:val="auto"/>
        </w:rPr>
      </w:pPr>
    </w:p>
    <w:p>
      <w:pPr>
        <w:ind w:left="869"/>
        <w:spacing w:after="0"/>
        <w:rPr>
          <w:rFonts w:ascii="Arial" w:cs="Arial" w:eastAsia="Arial" w:hAnsi="Arial"/>
          <w:sz w:val="16"/>
          <w:szCs w:val="16"/>
          <w:color w:val="auto"/>
        </w:rPr>
      </w:pPr>
      <w:r>
        <w:rPr>
          <w:rFonts w:ascii="Arial" w:cs="Arial" w:eastAsia="Arial" w:hAnsi="Arial"/>
          <w:sz w:val="16"/>
          <w:szCs w:val="16"/>
          <w:color w:val="auto"/>
        </w:rPr>
        <w:t>159,815</w:t>
      </w:r>
    </w:p>
    <w:p>
      <w:pPr>
        <w:spacing w:after="0" w:line="261" w:lineRule="exact"/>
        <w:rPr>
          <w:rFonts w:ascii="Arial" w:cs="Arial" w:eastAsia="Arial" w:hAnsi="Arial"/>
          <w:sz w:val="16"/>
          <w:szCs w:val="16"/>
          <w:color w:val="auto"/>
        </w:rPr>
      </w:pPr>
    </w:p>
    <w:p>
      <w:pPr>
        <w:ind w:left="869"/>
        <w:spacing w:after="0"/>
        <w:rPr>
          <w:rFonts w:ascii="Arial" w:cs="Arial" w:eastAsia="Arial" w:hAnsi="Arial"/>
          <w:sz w:val="16"/>
          <w:szCs w:val="16"/>
          <w:color w:val="auto"/>
        </w:rPr>
      </w:pPr>
      <w:r>
        <w:rPr>
          <w:rFonts w:ascii="Arial" w:cs="Arial" w:eastAsia="Arial" w:hAnsi="Arial"/>
          <w:sz w:val="16"/>
          <w:szCs w:val="16"/>
          <w:color w:val="auto"/>
        </w:rPr>
        <w:t>509,475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9264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478" w:lineRule="exact"/>
        <w:rPr>
          <w:sz w:val="20"/>
          <w:szCs w:val="20"/>
          <w:color w:val="auto"/>
        </w:rPr>
      </w:pPr>
    </w:p>
    <w:p>
      <w:pPr>
        <w:sectPr>
          <w:pgSz w:w="11900" w:h="16838" w:orient="portrait"/>
          <w:cols w:equalWidth="0" w:num="3">
            <w:col w:w="5230" w:space="720"/>
            <w:col w:w="1470" w:space="191"/>
            <w:col w:w="2608"/>
          </w:cols>
          <w:pgMar w:left="240" w:top="233" w:right="1440" w:bottom="1440" w:gutter="0" w:footer="0" w:header="0"/>
          <w:type w:val="continuous"/>
        </w:sectPr>
      </w:pPr>
    </w:p>
    <w:p>
      <w:pPr>
        <w:ind w:left="2480"/>
        <w:spacing w:after="0"/>
        <w:rPr>
          <w:sz w:val="20"/>
          <w:szCs w:val="20"/>
          <w:color w:val="auto"/>
        </w:rPr>
      </w:pPr>
      <w:r>
        <w:rPr>
          <w:rFonts w:ascii="Arial" w:cs="Arial" w:eastAsia="Arial" w:hAnsi="Arial"/>
          <w:sz w:val="18"/>
          <w:szCs w:val="18"/>
          <w:color w:val="auto"/>
        </w:rPr>
        <w:t>Operating expenses (See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1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23495</wp:posOffset>
            </wp:positionV>
            <wp:extent cx="434784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1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32" w:lineRule="exact"/>
        <w:rPr>
          <w:sz w:val="20"/>
          <w:szCs w:val="20"/>
          <w:color w:val="auto"/>
        </w:rPr>
      </w:pPr>
    </w:p>
    <w:p>
      <w:pPr>
        <w:ind w:left="2300"/>
        <w:spacing w:after="0" w:line="277" w:lineRule="auto"/>
        <w:rPr>
          <w:sz w:val="20"/>
          <w:szCs w:val="20"/>
          <w:color w:val="auto"/>
        </w:rPr>
      </w:pPr>
      <w:r>
        <w:rPr>
          <w:rFonts w:ascii="Arial" w:cs="Arial" w:eastAsia="Arial" w:hAnsi="Arial"/>
          <w:sz w:val="18"/>
          <w:szCs w:val="18"/>
          <w:color w:val="auto"/>
        </w:rPr>
        <w:t>(LOSS)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-293370</wp:posOffset>
            </wp:positionV>
            <wp:extent cx="4347845"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47845" cy="274320"/>
                    </a:xfrm>
                    <a:prstGeom prst="rect">
                      <a:avLst/>
                    </a:prstGeom>
                    <a:noFill/>
                  </pic:spPr>
                </pic:pic>
              </a:graphicData>
            </a:graphic>
          </wp:anchor>
        </w:drawing>
      </w:r>
    </w:p>
    <w:p>
      <w:pPr>
        <w:spacing w:after="0" w:line="15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32"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1,471,958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733,969</w:t>
            </w:r>
          </w:p>
        </w:tc>
        <w:tc>
          <w:tcPr>
            <w:tcW w:w="40" w:type="dxa"/>
            <w:vAlign w:val="bottom"/>
          </w:tcPr>
          <w:p>
            <w:pPr>
              <w:spacing w:after="0"/>
              <w:rPr>
                <w:sz w:val="19"/>
                <w:szCs w:val="19"/>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(653,421)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(224,494)</w:t>
            </w: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5"/>
        </w:trPr>
        <w:tc>
          <w:tcPr>
            <w:tcW w:w="4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42"/>
        </w:trPr>
        <w:tc>
          <w:tcPr>
            <w:tcW w:w="4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(653,315)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(224,438)</w:t>
            </w:r>
          </w:p>
        </w:tc>
      </w:tr>
      <w:tr>
        <w:trPr>
          <w:trHeight w:val="446"/>
        </w:trPr>
        <w:tc>
          <w:tcPr>
            <w:tcW w:w="4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700" w:type="dxa"/>
            <w:vAlign w:val="bottom"/>
            <w:gridSpan w:val="4"/>
          </w:tcPr>
          <w:p>
            <w:pPr>
              <w:jc w:val="right"/>
              <w:ind w:right="360"/>
              <w:spacing w:after="0"/>
              <w:rPr>
                <w:sz w:val="20"/>
                <w:szCs w:val="20"/>
                <w:color w:val="auto"/>
              </w:rPr>
            </w:pPr>
            <w:r>
              <w:rPr>
                <w:rFonts w:ascii="Arial" w:cs="Arial" w:eastAsia="Arial" w:hAnsi="Arial"/>
                <w:sz w:val="18"/>
                <w:szCs w:val="18"/>
                <w:color w:val="auto"/>
              </w:rPr>
              <w:t>(653,315)  $</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(224,438)</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40" w:space="220"/>
            <w:col w:w="4259"/>
          </w:cols>
          <w:pgMar w:left="240" w:top="233" w:right="1440" w:bottom="1440" w:gutter="0" w:footer="0" w:header="0"/>
          <w:type w:val="continuous"/>
        </w:sectPr>
      </w:pPr>
    </w:p>
    <w:p>
      <w:pPr>
        <w:spacing w:after="0" w:line="11"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40" w:type="dxa"/>
            <w:vAlign w:val="bottom"/>
            <w:shd w:val="clear" w:color="auto" w:fill="CCEECC"/>
          </w:tcPr>
          <w:p>
            <w:pPr>
              <w:spacing w:after="0"/>
              <w:rPr>
                <w:sz w:val="20"/>
                <w:szCs w:val="20"/>
                <w:color w:val="auto"/>
              </w:rPr>
            </w:pPr>
            <w:r>
              <w:rPr>
                <w:rFonts w:ascii="Arial" w:cs="Arial" w:eastAsia="Arial" w:hAnsi="Arial"/>
                <w:sz w:val="18"/>
                <w:szCs w:val="18"/>
                <w:color w:val="auto"/>
                <w:w w:val="94"/>
              </w:rPr>
              <w:t>WEIGHTED AVERAGE NUMBER OF SHARES</w:t>
            </w:r>
          </w:p>
        </w:tc>
        <w:tc>
          <w:tcPr>
            <w:tcW w:w="3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shd w:val="clear" w:color="auto" w:fill="CCEECC"/>
          </w:tcPr>
          <w:p>
            <w:pPr>
              <w:spacing w:after="0"/>
              <w:rPr>
                <w:sz w:val="20"/>
                <w:szCs w:val="20"/>
                <w:color w:val="auto"/>
              </w:rPr>
            </w:pPr>
            <w:r>
              <w:rPr>
                <w:rFonts w:ascii="Arial" w:cs="Arial" w:eastAsia="Arial" w:hAnsi="Arial"/>
                <w:sz w:val="18"/>
                <w:szCs w:val="18"/>
                <w:color w:val="auto"/>
              </w:rPr>
              <w:t>OUTSTANDING: BASIC</w:t>
            </w:r>
          </w:p>
        </w:tc>
        <w:tc>
          <w:tcPr>
            <w:tcW w:w="360" w:type="dxa"/>
            <w:vAlign w:val="bottom"/>
            <w:shd w:val="clear" w:color="auto" w:fill="CCEECC"/>
          </w:tcPr>
          <w:p>
            <w:pPr>
              <w:spacing w:after="0"/>
              <w:rPr>
                <w:sz w:val="22"/>
                <w:szCs w:val="22"/>
                <w:color w:val="auto"/>
              </w:rPr>
            </w:pPr>
          </w:p>
        </w:tc>
        <w:tc>
          <w:tcPr>
            <w:tcW w:w="122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16,683,894</w:t>
            </w:r>
          </w:p>
        </w:tc>
        <w:tc>
          <w:tcPr>
            <w:tcW w:w="80" w:type="dxa"/>
            <w:vAlign w:val="bottom"/>
            <w:shd w:val="clear" w:color="auto" w:fill="CCEECC"/>
          </w:tcPr>
          <w:p>
            <w:pPr>
              <w:spacing w:after="0"/>
              <w:rPr>
                <w:sz w:val="22"/>
                <w:szCs w:val="22"/>
                <w:color w:val="auto"/>
              </w:rPr>
            </w:pPr>
          </w:p>
        </w:tc>
        <w:tc>
          <w:tcPr>
            <w:tcW w:w="360" w:type="dxa"/>
            <w:vAlign w:val="bottom"/>
            <w:shd w:val="clear" w:color="auto" w:fill="CCEECC"/>
          </w:tcPr>
          <w:p>
            <w:pPr>
              <w:spacing w:after="0"/>
              <w:rPr>
                <w:sz w:val="22"/>
                <w:szCs w:val="22"/>
                <w:color w:val="auto"/>
              </w:rPr>
            </w:pPr>
          </w:p>
        </w:tc>
        <w:tc>
          <w:tcPr>
            <w:tcW w:w="11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14,232,196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40" w:type="dxa"/>
            <w:vAlign w:val="bottom"/>
            <w:shd w:val="clear" w:color="auto" w:fill="CCEECC"/>
          </w:tcPr>
          <w:p>
            <w:pPr>
              <w:spacing w:after="0"/>
              <w:rPr>
                <w:sz w:val="20"/>
                <w:szCs w:val="20"/>
                <w:color w:val="auto"/>
              </w:rPr>
            </w:pPr>
            <w:r>
              <w:rPr>
                <w:rFonts w:ascii="Arial" w:cs="Arial" w:eastAsia="Arial" w:hAnsi="Arial"/>
                <w:sz w:val="18"/>
                <w:szCs w:val="18"/>
                <w:color w:val="auto"/>
              </w:rPr>
              <w:t>NET (LOSS) PER SHARE: BASIC</w:t>
            </w:r>
          </w:p>
        </w:tc>
        <w:tc>
          <w:tcPr>
            <w:tcW w:w="360" w:type="dxa"/>
            <w:vAlign w:val="bottom"/>
            <w:shd w:val="clear" w:color="auto" w:fill="CCEEC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(0.04)</w:t>
            </w:r>
          </w:p>
        </w:tc>
        <w:tc>
          <w:tcPr>
            <w:tcW w:w="4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4"/>
              </w:rPr>
              <w:t>WEIGHTED AVERAGE NUMBER OF SHARES</w:t>
            </w:r>
          </w:p>
        </w:tc>
        <w:tc>
          <w:tcPr>
            <w:tcW w:w="36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1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shd w:val="clear" w:color="auto" w:fill="CCEECC"/>
          </w:tcPr>
          <w:p>
            <w:pPr>
              <w:spacing w:after="0"/>
              <w:rPr>
                <w:sz w:val="20"/>
                <w:szCs w:val="20"/>
                <w:color w:val="auto"/>
              </w:rPr>
            </w:pPr>
            <w:r>
              <w:rPr>
                <w:rFonts w:ascii="Arial" w:cs="Arial" w:eastAsia="Arial" w:hAnsi="Arial"/>
                <w:sz w:val="18"/>
                <w:szCs w:val="18"/>
                <w:color w:val="auto"/>
              </w:rPr>
              <w:t>OUTSTANDING: DILUTED</w:t>
            </w:r>
          </w:p>
        </w:tc>
        <w:tc>
          <w:tcPr>
            <w:tcW w:w="360" w:type="dxa"/>
            <w:vAlign w:val="bottom"/>
            <w:shd w:val="clear" w:color="auto" w:fill="CCEECC"/>
          </w:tcPr>
          <w:p>
            <w:pPr>
              <w:spacing w:after="0"/>
              <w:rPr>
                <w:sz w:val="22"/>
                <w:szCs w:val="22"/>
                <w:color w:val="auto"/>
              </w:rPr>
            </w:pPr>
          </w:p>
        </w:tc>
        <w:tc>
          <w:tcPr>
            <w:tcW w:w="122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16,683,894</w:t>
            </w:r>
          </w:p>
        </w:tc>
        <w:tc>
          <w:tcPr>
            <w:tcW w:w="80" w:type="dxa"/>
            <w:vAlign w:val="bottom"/>
            <w:shd w:val="clear" w:color="auto" w:fill="CCEECC"/>
          </w:tcPr>
          <w:p>
            <w:pPr>
              <w:spacing w:after="0"/>
              <w:rPr>
                <w:sz w:val="22"/>
                <w:szCs w:val="22"/>
                <w:color w:val="auto"/>
              </w:rPr>
            </w:pPr>
          </w:p>
        </w:tc>
        <w:tc>
          <w:tcPr>
            <w:tcW w:w="360" w:type="dxa"/>
            <w:vAlign w:val="bottom"/>
            <w:shd w:val="clear" w:color="auto" w:fill="CCEECC"/>
          </w:tcPr>
          <w:p>
            <w:pPr>
              <w:spacing w:after="0"/>
              <w:rPr>
                <w:sz w:val="22"/>
                <w:szCs w:val="22"/>
                <w:color w:val="auto"/>
              </w:rPr>
            </w:pPr>
          </w:p>
        </w:tc>
        <w:tc>
          <w:tcPr>
            <w:tcW w:w="11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14,232,196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40" w:type="dxa"/>
            <w:vAlign w:val="bottom"/>
            <w:shd w:val="clear" w:color="auto" w:fill="CCEECC"/>
          </w:tcPr>
          <w:p>
            <w:pPr>
              <w:spacing w:after="0"/>
              <w:rPr>
                <w:sz w:val="20"/>
                <w:szCs w:val="20"/>
                <w:color w:val="auto"/>
              </w:rPr>
            </w:pPr>
            <w:r>
              <w:rPr>
                <w:rFonts w:ascii="Arial" w:cs="Arial" w:eastAsia="Arial" w:hAnsi="Arial"/>
                <w:sz w:val="18"/>
                <w:szCs w:val="18"/>
                <w:color w:val="auto"/>
              </w:rPr>
              <w:t>NET (LOSS) PER SHARE: DILUTED</w:t>
            </w:r>
          </w:p>
        </w:tc>
        <w:tc>
          <w:tcPr>
            <w:tcW w:w="360" w:type="dxa"/>
            <w:vAlign w:val="bottom"/>
            <w:shd w:val="clear" w:color="auto" w:fill="CCEEC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(0.04)</w:t>
            </w:r>
          </w:p>
        </w:tc>
        <w:tc>
          <w:tcPr>
            <w:tcW w:w="4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2014 AND 2013</w:t>
      </w:r>
    </w:p>
    <w:p>
      <w:pPr>
        <w:spacing w:after="0" w:line="21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For the</w:t>
            </w:r>
          </w:p>
        </w:tc>
        <w:tc>
          <w:tcPr>
            <w:tcW w:w="12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three months</w:t>
            </w:r>
          </w:p>
        </w:tc>
        <w:tc>
          <w:tcPr>
            <w:tcW w:w="120" w:type="dxa"/>
            <w:vAlign w:val="bottom"/>
          </w:tcPr>
          <w:p>
            <w:pPr>
              <w:spacing w:after="0"/>
              <w:rPr>
                <w:sz w:val="18"/>
                <w:szCs w:val="18"/>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ended</w:t>
            </w:r>
          </w:p>
        </w:tc>
        <w:tc>
          <w:tcPr>
            <w:tcW w:w="12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gridSpan w:val="4"/>
          </w:tcPr>
          <w:p>
            <w:pPr>
              <w:ind w:left="20"/>
              <w:spacing w:after="0"/>
              <w:rPr>
                <w:sz w:val="20"/>
                <w:szCs w:val="20"/>
                <w:color w:val="auto"/>
              </w:rPr>
            </w:pPr>
            <w:r>
              <w:rPr>
                <w:rFonts w:ascii="Arial" w:cs="Arial" w:eastAsia="Arial" w:hAnsi="Arial"/>
                <w:sz w:val="18"/>
                <w:szCs w:val="18"/>
                <w:color w:val="auto"/>
              </w:rPr>
              <w:t>March 31, 2014</w:t>
            </w:r>
          </w:p>
        </w:tc>
        <w:tc>
          <w:tcPr>
            <w:tcW w:w="1200" w:type="dxa"/>
            <w:vAlign w:val="bottom"/>
            <w:gridSpan w:val="4"/>
          </w:tcPr>
          <w:p>
            <w:pPr>
              <w:ind w:left="40"/>
              <w:spacing w:after="0"/>
              <w:rPr>
                <w:sz w:val="20"/>
                <w:szCs w:val="20"/>
                <w:color w:val="auto"/>
              </w:rPr>
            </w:pPr>
            <w:r>
              <w:rPr>
                <w:rFonts w:ascii="Arial" w:cs="Arial" w:eastAsia="Arial" w:hAnsi="Arial"/>
                <w:sz w:val="18"/>
                <w:szCs w:val="18"/>
                <w:color w:val="auto"/>
                <w:w w:val="91"/>
              </w:rPr>
              <w:t>March 31, 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Borders>
              <w:bottom w:val="single" w:sz="8" w:color="CCEECC"/>
            </w:tcBorders>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Net (loss) for the period</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(653,315)</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(224,438)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0"/>
              </w:rPr>
              <w:t>Adjustments to reconcile net (loss) to net cash provided by</w:t>
            </w: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color w:val="auto"/>
              </w:rPr>
              <w:t>operating activities:</w:t>
            </w:r>
          </w:p>
        </w:tc>
        <w:tc>
          <w:tcPr>
            <w:tcW w:w="4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58,906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Stock options issued for services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59,620</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361,957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color w:val="auto"/>
              </w:rPr>
              <w:t>Changes in:</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455,585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Prepaid expenses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35,822</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41,439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Revenue share payable</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(395,935)</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119,612</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Accrued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134,042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Deferred revenue</w:t>
            </w:r>
          </w:p>
        </w:tc>
        <w:tc>
          <w:tcPr>
            <w:tcW w:w="4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164,462</w:t>
            </w:r>
          </w:p>
        </w:tc>
        <w:tc>
          <w:tcPr>
            <w:tcW w:w="12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31,520</w:t>
            </w:r>
          </w:p>
        </w:tc>
        <w:tc>
          <w:tcPr>
            <w:tcW w:w="4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w w:val="97"/>
              </w:rPr>
              <w:t>NET CASH PROVIDED BY OPERATING ACTIVITIES</w:t>
            </w:r>
          </w:p>
        </w:tc>
        <w:tc>
          <w:tcPr>
            <w:tcW w:w="4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226,727</w:t>
            </w:r>
          </w:p>
        </w:tc>
        <w:tc>
          <w:tcPr>
            <w:tcW w:w="80" w:type="dxa"/>
            <w:vAlign w:val="bottom"/>
            <w:tcBorders>
              <w:bottom w:val="single" w:sz="8" w:color="CCEECC"/>
            </w:tcBorders>
          </w:tcPr>
          <w:p>
            <w:pPr>
              <w:spacing w:after="0"/>
              <w:rPr>
                <w:sz w:val="18"/>
                <w:szCs w:val="18"/>
                <w:color w:val="auto"/>
              </w:rPr>
            </w:pPr>
          </w:p>
        </w:tc>
        <w:tc>
          <w:tcPr>
            <w:tcW w:w="12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w:t>
            </w:r>
          </w:p>
        </w:tc>
        <w:tc>
          <w:tcPr>
            <w:tcW w:w="20" w:type="dxa"/>
            <w:vAlign w:val="bottom"/>
            <w:tcBorders>
              <w:bottom w:val="single" w:sz="8" w:color="CCEECC"/>
            </w:tcBorders>
          </w:tcPr>
          <w:p>
            <w:pPr>
              <w:spacing w:after="0"/>
              <w:rPr>
                <w:sz w:val="18"/>
                <w:szCs w:val="18"/>
                <w:color w:val="auto"/>
              </w:rPr>
            </w:pPr>
          </w:p>
        </w:tc>
        <w:tc>
          <w:tcPr>
            <w:tcW w:w="4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Patent rights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(33,297)</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(30,368)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Web development costs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(75,975)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NET CASH USED IN INVESTING ACTIVITIES</w:t>
            </w:r>
          </w:p>
        </w:tc>
        <w:tc>
          <w:tcPr>
            <w:tcW w:w="4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(109,272</w:t>
            </w:r>
          </w:p>
        </w:tc>
        <w:tc>
          <w:tcPr>
            <w:tcW w:w="8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(30,368</w:t>
            </w:r>
          </w:p>
        </w:tc>
        <w:tc>
          <w:tcPr>
            <w:tcW w:w="60" w:type="dxa"/>
            <w:vAlign w:val="bottom"/>
            <w:tcBorders>
              <w:top w:val="single" w:sz="8" w:color="CCEECC"/>
            </w:tcBorders>
            <w:gridSpan w:val="2"/>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Issuance of common stock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Equity issuance costs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(1,204,968)</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w w:val="89"/>
              </w:rPr>
              <w:t>Purchase of common and preferred stock and warrants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w w:val="99"/>
              </w:rPr>
              <w:t>NET CASH PROVIDED BY FINANCING ACTIVITIES</w:t>
            </w:r>
          </w:p>
        </w:tc>
        <w:tc>
          <w:tcPr>
            <w:tcW w:w="4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2,795,032</w:t>
            </w:r>
          </w:p>
        </w:tc>
        <w:tc>
          <w:tcPr>
            <w:tcW w:w="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9"/>
              </w:rPr>
              <w:t>NET INCREASE (DECREASE) IN CASH AND CASH</w:t>
            </w: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color w:val="auto"/>
              </w:rPr>
              <w:t>EQUIVALENTS</w:t>
            </w:r>
          </w:p>
        </w:tc>
        <w:tc>
          <w:tcPr>
            <w:tcW w:w="4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2,912,487</w:t>
            </w:r>
          </w:p>
        </w:tc>
        <w:tc>
          <w:tcPr>
            <w:tcW w:w="1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8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(23,869)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9"/>
              </w:rPr>
              <w:t>CASH AND CASH EQUIVALENTS - BEGINNING OF</w:t>
            </w: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color w:val="auto"/>
              </w:rPr>
              <w:t>PERIOD</w:t>
            </w:r>
          </w:p>
        </w:tc>
        <w:tc>
          <w:tcPr>
            <w:tcW w:w="4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1"/>
                <w:szCs w:val="21"/>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12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1"/>
                <w:szCs w:val="21"/>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4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60" w:type="dxa"/>
            <w:vAlign w:val="bottom"/>
            <w:shd w:val="clear" w:color="auto" w:fill="CCEECC"/>
          </w:tcPr>
          <w:p>
            <w:pPr>
              <w:spacing w:after="0" w:line="198" w:lineRule="exact"/>
              <w:rPr>
                <w:sz w:val="20"/>
                <w:szCs w:val="20"/>
                <w:color w:val="auto"/>
              </w:rPr>
            </w:pPr>
            <w:r>
              <w:rPr>
                <w:rFonts w:ascii="Arial" w:cs="Arial" w:eastAsia="Arial" w:hAnsi="Arial"/>
                <w:sz w:val="18"/>
                <w:szCs w:val="18"/>
                <w:b w:val="1"/>
                <w:bCs w:val="1"/>
                <w:color w:val="auto"/>
              </w:rPr>
              <w:t>CASH AND CASH EQUIVALENTS - END OF</w:t>
            </w: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PERIOD</w:t>
            </w:r>
          </w:p>
        </w:tc>
        <w:tc>
          <w:tcPr>
            <w:tcW w:w="16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4,030,730</w:t>
            </w:r>
          </w:p>
        </w:tc>
        <w:tc>
          <w:tcPr>
            <w:tcW w:w="120" w:type="dxa"/>
            <w:vAlign w:val="bottom"/>
            <w:shd w:val="clear" w:color="auto" w:fill="CCEECC"/>
          </w:tcPr>
          <w:p>
            <w:pPr>
              <w:spacing w:after="0"/>
              <w:rPr>
                <w:sz w:val="22"/>
                <w:szCs w:val="22"/>
                <w:color w:val="auto"/>
              </w:rPr>
            </w:pPr>
          </w:p>
        </w:tc>
        <w:tc>
          <w:tcPr>
            <w:tcW w:w="120" w:type="dxa"/>
            <w:vAlign w:val="bottom"/>
            <w:shd w:val="clear" w:color="auto" w:fill="CCEECC"/>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260,394</w:t>
            </w:r>
          </w:p>
        </w:tc>
        <w:tc>
          <w:tcPr>
            <w:tcW w:w="40" w:type="dxa"/>
            <w:vAlign w:val="bottom"/>
            <w:shd w:val="clear" w:color="auto" w:fill="CCEE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Cash paid for interest</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tcBorders>
              <w:top w:val="single" w:sz="8" w:color="CCEECC"/>
              <w:bottom w:val="single" w:sz="8" w:color="CCEECC"/>
            </w:tcBorders>
            <w:shd w:val="clear" w:color="auto" w:fill="CCEECC"/>
          </w:tcPr>
          <w:p>
            <w:pPr>
              <w:ind w:left="300"/>
              <w:spacing w:after="0" w:line="190" w:lineRule="exact"/>
              <w:rPr>
                <w:sz w:val="20"/>
                <w:szCs w:val="20"/>
                <w:color w:val="auto"/>
              </w:rPr>
            </w:pPr>
            <w:r>
              <w:rPr>
                <w:rFonts w:ascii="Arial" w:cs="Arial" w:eastAsia="Arial" w:hAnsi="Arial"/>
                <w:sz w:val="18"/>
                <w:szCs w:val="18"/>
                <w:color w:val="auto"/>
              </w:rPr>
              <w:t>Cash paid for income taxes</w:t>
            </w:r>
          </w:p>
        </w:tc>
        <w:tc>
          <w:tcPr>
            <w:tcW w:w="4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auto"/>
              <w:bottom w:val="single" w:sz="8" w:color="auto"/>
            </w:tcBorders>
            <w:shd w:val="clear" w:color="auto" w:fill="CCEECC"/>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auto"/>
              <w:bottom w:val="single" w:sz="8" w:color="auto"/>
            </w:tcBorders>
            <w:shd w:val="clear" w:color="auto" w:fill="CCEECC"/>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Borders>
              <w:top w:val="single" w:sz="8" w:color="CCEECC"/>
              <w:bottom w:val="single" w:sz="8" w:color="CCEECC"/>
            </w:tcBorders>
            <w:shd w:val="clear" w:color="auto" w:fill="CCEECC"/>
          </w:tcPr>
          <w:p>
            <w:pPr>
              <w:spacing w:after="0"/>
              <w:rPr>
                <w:sz w:val="17"/>
                <w:szCs w:val="17"/>
                <w:color w:val="auto"/>
              </w:rPr>
            </w:pPr>
          </w:p>
        </w:tc>
        <w:tc>
          <w:tcPr>
            <w:tcW w:w="40" w:type="dxa"/>
            <w:vAlign w:val="bottom"/>
            <w:tcBorders>
              <w:top w:val="single" w:sz="8" w:color="CCEECC"/>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rPr>
              <w:t>SUPPLEMENTAL NON-CASH INVESTING AND</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2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Common stock issued for equity issuance costs</w:t>
            </w:r>
          </w:p>
        </w:tc>
        <w:tc>
          <w:tcPr>
            <w:tcW w:w="16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378,000</w:t>
            </w:r>
          </w:p>
        </w:tc>
        <w:tc>
          <w:tcPr>
            <w:tcW w:w="12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CC"/>
              <w:bottom w:val="single" w:sz="8" w:color="CCEECC"/>
            </w:tcBorders>
            <w:vMerge w:val="restart"/>
          </w:tcPr>
          <w:p>
            <w:pPr>
              <w:ind w:left="300"/>
              <w:spacing w:after="0"/>
              <w:rPr>
                <w:sz w:val="20"/>
                <w:szCs w:val="20"/>
                <w:color w:val="auto"/>
              </w:rPr>
            </w:pPr>
            <w:r>
              <w:rPr>
                <w:rFonts w:ascii="Arial" w:cs="Arial" w:eastAsia="Arial" w:hAnsi="Arial"/>
                <w:sz w:val="18"/>
                <w:szCs w:val="18"/>
                <w:color w:val="auto"/>
              </w:rPr>
              <w:t>Stock warrants issued for equity issuance costs</w:t>
            </w:r>
          </w:p>
        </w:tc>
        <w:tc>
          <w:tcPr>
            <w:tcW w:w="40" w:type="dxa"/>
            <w:vAlign w:val="bottom"/>
            <w:tcBorders>
              <w:top w:val="single" w:sz="8" w:color="CCEECC"/>
              <w:bottom w:val="single" w:sz="8" w:color="CCEECC"/>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bottom w:val="single" w:sz="8" w:color="CCEECC"/>
            </w:tcBorders>
            <w:vMerge w:val="restart"/>
          </w:tcPr>
          <w:p>
            <w:pPr>
              <w:spacing w:after="0" w:line="20" w:lineRule="exact"/>
              <w:rPr>
                <w:sz w:val="1"/>
                <w:szCs w:val="1"/>
                <w:color w:val="auto"/>
              </w:rPr>
            </w:pPr>
          </w:p>
        </w:tc>
        <w:tc>
          <w:tcPr>
            <w:tcW w:w="120" w:type="dxa"/>
            <w:vAlign w:val="bottom"/>
            <w:tcBorders>
              <w:top w:val="single" w:sz="8" w:color="CCEECC"/>
              <w:bottom w:val="single" w:sz="8" w:color="CCEECC"/>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CC"/>
              <w:bottom w:val="single" w:sz="8" w:color="CCEECC"/>
            </w:tcBorders>
            <w:vMerge w:val="restart"/>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Borders>
              <w:bottom w:val="single" w:sz="8" w:color="CCEECC"/>
            </w:tcBorders>
            <w:vMerge w:val="continue"/>
          </w:tcPr>
          <w:p>
            <w:pPr>
              <w:spacing w:after="0"/>
              <w:rPr>
                <w:sz w:val="20"/>
                <w:szCs w:val="20"/>
                <w:color w:val="auto"/>
              </w:rPr>
            </w:pPr>
          </w:p>
        </w:tc>
        <w:tc>
          <w:tcPr>
            <w:tcW w:w="4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1,110,211</w:t>
            </w:r>
          </w:p>
        </w:tc>
        <w:tc>
          <w:tcPr>
            <w:tcW w:w="8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Borders>
              <w:bottom w:val="single" w:sz="8" w:color="CCEECC"/>
            </w:tcBorders>
            <w:vMerge w:val="continue"/>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tcBorders>
              <w:bottom w:val="single" w:sz="8" w:color="CCEECC"/>
            </w:tcBorders>
            <w:shd w:val="clear" w:color="auto" w:fill="CCEECC"/>
          </w:tcPr>
          <w:p>
            <w:pPr>
              <w:ind w:left="300"/>
              <w:spacing w:after="0" w:line="190" w:lineRule="exact"/>
              <w:rPr>
                <w:sz w:val="20"/>
                <w:szCs w:val="20"/>
                <w:color w:val="auto"/>
              </w:rPr>
            </w:pPr>
            <w:r>
              <w:rPr>
                <w:rFonts w:ascii="Arial" w:cs="Arial" w:eastAsia="Arial" w:hAnsi="Arial"/>
                <w:sz w:val="18"/>
                <w:szCs w:val="18"/>
                <w:color w:val="auto"/>
              </w:rPr>
              <w:t>Cashless exercise of stock warrants</w:t>
            </w:r>
          </w:p>
        </w:tc>
        <w:tc>
          <w:tcPr>
            <w:tcW w:w="4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auto"/>
            </w:tcBorders>
            <w:shd w:val="clear" w:color="auto" w:fill="CCEECC"/>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106,405</w:t>
            </w:r>
          </w:p>
        </w:tc>
        <w:tc>
          <w:tcPr>
            <w:tcW w:w="8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auto"/>
            </w:tcBorders>
            <w:shd w:val="clear" w:color="auto" w:fill="CCEECC"/>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Borders>
              <w:bottom w:val="single" w:sz="8" w:color="CCEECC"/>
            </w:tcBorders>
            <w:shd w:val="clear" w:color="auto" w:fill="CCEECC"/>
          </w:tcPr>
          <w:p>
            <w:pPr>
              <w:spacing w:after="0"/>
              <w:rPr>
                <w:sz w:val="17"/>
                <w:szCs w:val="17"/>
                <w:color w:val="auto"/>
              </w:rPr>
            </w:pPr>
          </w:p>
        </w:tc>
        <w:tc>
          <w:tcPr>
            <w:tcW w:w="4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300"/>
              <w:spacing w:after="0"/>
              <w:rPr>
                <w:sz w:val="20"/>
                <w:szCs w:val="20"/>
                <w:color w:val="auto"/>
              </w:rPr>
            </w:pPr>
            <w:r>
              <w:rPr>
                <w:rFonts w:ascii="Arial" w:cs="Arial" w:eastAsia="Arial" w:hAnsi="Arial"/>
                <w:sz w:val="18"/>
                <w:szCs w:val="18"/>
                <w:color w:val="auto"/>
                <w:w w:val="90"/>
              </w:rPr>
              <w:t>Common stock issued as deferred stock compensation</w:t>
            </w: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285,187</w:t>
            </w:r>
          </w:p>
        </w:tc>
        <w:tc>
          <w:tcPr>
            <w:tcW w:w="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year ended December 31, 2013.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cash, accounts receivable, prepaid expenses, patent rights, web development costs,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carrying value of the Company’s financial assets and liabilities which consist of cash and cash equivalents, accounts receivable, prepaid expenses, patent rights, web development costs, security deposit, accounts payable, accounts payable – related party, accrued expenses, revenue share payable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Bad debt expense was $0 for the three months ended March 31, 2014 and 2013. The allowance for doubtful accounts was $0 as of March 31, 2014 and December 31, 2013.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revenue is recognized when it is earned. Revenues are generated either through the Company’s web-based activities, in which we earn revenue from advertising and lead generation activities, from our SampleMD activities by which we deliver eCoupons and eVouchers through a distribution network of ePrescribers and Electronic Health Record technology providers (channel partners), or from reselling services for other of our partners products that complement our business.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SampleMD business the company recognizes setup fees that are required for integrating client offerings and campaigns into the SampleMD content delivery system and network. Setup fees are recognized upon completion of the setup and launch of the client’s campaign within the SampleMD system. As the eCoupons and or eVouchers are distributed through the SampleMD platform and network of channel partners (a transaction), these transactions are recorded and revenue is recognized. Revenue for transactions can be realized as cost per distribution or cost per redemption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administered monthly and recognized as recurring monthly revenue.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on occasion has also resold products and or services that are available through our channel partners, and that is complementary to our core businesses and client base. In these events net revenue is recognized as this is a commission based revenue split that the company recognizes.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through their network. Revenue shares are a negotiated percentage of the transaction fee depending upon if the revenue is generated through distributions and or redemptions and can also be specific to special considerations and campaigns. Traditionally, revenue share has been recognized between 25% and 50% of the transaction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included in the per share calculation for the three months ended March 31, 2014. They have not been included in the diluted earnings per share calculation for the year ended December 31, 2013 since their effect is anti-dilutive.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March 31, 2014 and December 31, 2013: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1940" w:type="dxa"/>
            <w:vAlign w:val="bottom"/>
            <w:tcBorders>
              <w:bottom w:val="single" w:sz="8" w:color="CCEECC"/>
            </w:tcBorders>
          </w:tcPr>
          <w:p>
            <w:pPr>
              <w:spacing w:after="0"/>
              <w:rPr>
                <w:sz w:val="20"/>
                <w:szCs w:val="20"/>
                <w:color w:val="auto"/>
              </w:rPr>
            </w:pPr>
          </w:p>
        </w:tc>
        <w:tc>
          <w:tcPr>
            <w:tcW w:w="44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2014</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3420" w:type="dxa"/>
            <w:vAlign w:val="bottom"/>
          </w:tcPr>
          <w:p>
            <w:pPr>
              <w:spacing w:after="0"/>
              <w:rPr>
                <w:sz w:val="20"/>
                <w:szCs w:val="20"/>
                <w:color w:val="auto"/>
              </w:rPr>
            </w:pPr>
          </w:p>
        </w:tc>
      </w:tr>
      <w:tr>
        <w:trPr>
          <w:trHeight w:val="210"/>
        </w:trPr>
        <w:tc>
          <w:tcPr>
            <w:tcW w:w="3440" w:type="dxa"/>
            <w:vAlign w:val="bottom"/>
          </w:tcPr>
          <w:p>
            <w:pPr>
              <w:spacing w:after="0"/>
              <w:rPr>
                <w:sz w:val="18"/>
                <w:szCs w:val="18"/>
                <w:color w:val="auto"/>
              </w:rPr>
            </w:pPr>
          </w:p>
        </w:tc>
        <w:tc>
          <w:tcPr>
            <w:tcW w:w="194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Insurance</w:t>
            </w:r>
          </w:p>
        </w:tc>
        <w:tc>
          <w:tcPr>
            <w:tcW w:w="4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6,756</w:t>
            </w:r>
          </w:p>
        </w:tc>
        <w:tc>
          <w:tcPr>
            <w:tcW w:w="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6,722</w:t>
            </w: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194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Rent</w:t>
            </w:r>
          </w:p>
        </w:tc>
        <w:tc>
          <w:tcPr>
            <w:tcW w:w="44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4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3420" w:type="dxa"/>
            <w:vAlign w:val="bottom"/>
          </w:tcPr>
          <w:p>
            <w:pPr>
              <w:spacing w:after="0"/>
              <w:rPr>
                <w:sz w:val="19"/>
                <w:szCs w:val="19"/>
                <w:color w:val="auto"/>
              </w:rPr>
            </w:pPr>
          </w:p>
        </w:tc>
      </w:tr>
      <w:tr>
        <w:trPr>
          <w:trHeight w:val="223"/>
        </w:trPr>
        <w:tc>
          <w:tcPr>
            <w:tcW w:w="3440" w:type="dxa"/>
            <w:vAlign w:val="bottom"/>
          </w:tcPr>
          <w:p>
            <w:pPr>
              <w:spacing w:after="0"/>
              <w:rPr>
                <w:sz w:val="19"/>
                <w:szCs w:val="19"/>
                <w:color w:val="auto"/>
              </w:rPr>
            </w:pPr>
          </w:p>
        </w:tc>
        <w:tc>
          <w:tcPr>
            <w:tcW w:w="194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w w:val="98"/>
              </w:rPr>
              <w:t>Total prepaid expenses</w:t>
            </w:r>
          </w:p>
        </w:tc>
        <w:tc>
          <w:tcPr>
            <w:tcW w:w="44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11,805</w:t>
            </w:r>
          </w:p>
        </w:tc>
        <w:tc>
          <w:tcPr>
            <w:tcW w:w="4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11,771</w:t>
            </w:r>
          </w:p>
        </w:tc>
        <w:tc>
          <w:tcPr>
            <w:tcW w:w="34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86"/>
        </w:trPr>
        <w:tc>
          <w:tcPr>
            <w:tcW w:w="3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24"/>
        </w:trPr>
        <w:tc>
          <w:tcPr>
            <w:tcW w:w="3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F-7</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March 31, 2014 and December 31, 2013:</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180" w:type="dxa"/>
            <w:vAlign w:val="bottom"/>
            <w:tcBorders>
              <w:bottom w:val="single" w:sz="8" w:color="CCEECC"/>
            </w:tcBorders>
          </w:tcPr>
          <w:p>
            <w:pPr>
              <w:spacing w:after="0"/>
              <w:rPr>
                <w:sz w:val="20"/>
                <w:szCs w:val="20"/>
                <w:color w:val="auto"/>
              </w:rPr>
            </w:pPr>
          </w:p>
        </w:tc>
        <w:tc>
          <w:tcPr>
            <w:tcW w:w="2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210"/>
        </w:trPr>
        <w:tc>
          <w:tcPr>
            <w:tcW w:w="218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Computer equipment</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Borders>
              <w:bottom w:val="single" w:sz="8" w:color="CCEECC"/>
            </w:tcBorders>
          </w:tcPr>
          <w:p>
            <w:pPr>
              <w:spacing w:after="0"/>
              <w:rPr>
                <w:sz w:val="19"/>
                <w:szCs w:val="19"/>
                <w:color w:val="auto"/>
              </w:rPr>
            </w:pPr>
          </w:p>
        </w:tc>
      </w:tr>
      <w:tr>
        <w:trPr>
          <w:trHeight w:val="210"/>
        </w:trPr>
        <w:tc>
          <w:tcPr>
            <w:tcW w:w="21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Pr>
          <w:p>
            <w:pPr>
              <w:ind w:left="80"/>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(19,760)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(18,391)</w:t>
            </w:r>
          </w:p>
        </w:tc>
      </w:tr>
      <w:tr>
        <w:trPr>
          <w:trHeight w:val="223"/>
        </w:trPr>
        <w:tc>
          <w:tcPr>
            <w:tcW w:w="2380" w:type="dxa"/>
            <w:vAlign w:val="bottom"/>
            <w:tcBorders>
              <w:top w:val="single" w:sz="8" w:color="CCEECC"/>
              <w:bottom w:val="single" w:sz="8" w:color="CCEECC"/>
            </w:tcBorders>
            <w:gridSpan w:val="2"/>
            <w:shd w:val="clear" w:color="auto" w:fill="CCEECC"/>
          </w:tcPr>
          <w:p>
            <w:pPr>
              <w:ind w:left="260"/>
              <w:spacing w:after="0"/>
              <w:rPr>
                <w:sz w:val="20"/>
                <w:szCs w:val="20"/>
                <w:color w:val="auto"/>
              </w:rPr>
            </w:pPr>
            <w:r>
              <w:rPr>
                <w:rFonts w:ascii="Arial" w:cs="Arial" w:eastAsia="Arial" w:hAnsi="Arial"/>
                <w:sz w:val="18"/>
                <w:szCs w:val="18"/>
                <w:color w:val="auto"/>
                <w:w w:val="92"/>
              </w:rPr>
              <w:t>Property and equipment, net</w:t>
            </w: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13,688</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$1,369 and $1,407 for the three months ended March 31, 2014 and 2013,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capitalized costs in developing their web-based technology, which consisted of the following as of March 31, 2014 and December 31, 2013:</w:t>
      </w:r>
    </w:p>
    <w:p>
      <w:pPr>
        <w:spacing w:after="0" w:line="184"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8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182"/>
        </w:trPr>
        <w:tc>
          <w:tcPr>
            <w:tcW w:w="2280" w:type="dxa"/>
            <w:vAlign w:val="bottom"/>
            <w:shd w:val="clear" w:color="auto" w:fill="CCEECC"/>
          </w:tcPr>
          <w:p>
            <w:pPr>
              <w:ind w:left="80"/>
              <w:spacing w:after="0" w:line="182" w:lineRule="exact"/>
              <w:rPr>
                <w:sz w:val="20"/>
                <w:szCs w:val="20"/>
                <w:color w:val="auto"/>
              </w:rPr>
            </w:pPr>
            <w:r>
              <w:rPr>
                <w:rFonts w:ascii="Arial" w:cs="Arial" w:eastAsia="Arial" w:hAnsi="Arial"/>
                <w:sz w:val="18"/>
                <w:szCs w:val="18"/>
                <w:color w:val="auto"/>
              </w:rPr>
              <w:t>OptimizeRx web-based</w:t>
            </w:r>
          </w:p>
        </w:tc>
        <w:tc>
          <w:tcPr>
            <w:tcW w:w="100" w:type="dxa"/>
            <w:vAlign w:val="bottom"/>
            <w:shd w:val="clear" w:color="auto" w:fill="CCEECC"/>
          </w:tcPr>
          <w:p>
            <w:pPr>
              <w:spacing w:after="0"/>
              <w:rPr>
                <w:sz w:val="15"/>
                <w:szCs w:val="15"/>
                <w:color w:val="auto"/>
              </w:rPr>
            </w:pPr>
          </w:p>
        </w:tc>
        <w:tc>
          <w:tcPr>
            <w:tcW w:w="20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r>
      <w:tr>
        <w:trPr>
          <w:trHeight w:val="230"/>
        </w:trPr>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technology</w:t>
            </w:r>
          </w:p>
        </w:tc>
        <w:tc>
          <w:tcPr>
            <w:tcW w:w="30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20"/>
                <w:szCs w:val="20"/>
                <w:color w:val="auto"/>
              </w:rPr>
            </w:pPr>
          </w:p>
        </w:tc>
        <w:tc>
          <w:tcPr>
            <w:tcW w:w="30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20"/>
                <w:szCs w:val="20"/>
                <w:color w:val="auto"/>
              </w:rPr>
            </w:pPr>
          </w:p>
        </w:tc>
      </w:tr>
      <w:tr>
        <w:trPr>
          <w:trHeight w:val="202"/>
        </w:trPr>
        <w:tc>
          <w:tcPr>
            <w:tcW w:w="2280" w:type="dxa"/>
            <w:vAlign w:val="bottom"/>
          </w:tcPr>
          <w:p>
            <w:pPr>
              <w:ind w:left="80"/>
              <w:spacing w:after="0" w:line="201" w:lineRule="exact"/>
              <w:rPr>
                <w:sz w:val="20"/>
                <w:szCs w:val="20"/>
                <w:color w:val="auto"/>
              </w:rPr>
            </w:pPr>
            <w:r>
              <w:rPr>
                <w:rFonts w:ascii="Arial" w:cs="Arial" w:eastAsia="Arial" w:hAnsi="Arial"/>
                <w:sz w:val="18"/>
                <w:szCs w:val="18"/>
                <w:color w:val="auto"/>
              </w:rPr>
              <w:t>SampleMD web-based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280" w:type="dxa"/>
            <w:vAlign w:val="bottom"/>
          </w:tcPr>
          <w:p>
            <w:pPr>
              <w:ind w:left="80"/>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20"/>
                <w:szCs w:val="20"/>
                <w:color w:val="auto"/>
              </w:rPr>
            </w:pPr>
          </w:p>
        </w:tc>
      </w:tr>
      <w:tr>
        <w:trPr>
          <w:trHeight w:val="202"/>
        </w:trPr>
        <w:tc>
          <w:tcPr>
            <w:tcW w:w="228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SampleMD 2.0 web-based</w:t>
            </w:r>
          </w:p>
        </w:tc>
        <w:tc>
          <w:tcPr>
            <w:tcW w:w="1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44"/>
        </w:trPr>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CC"/>
          </w:tcPr>
          <w:p>
            <w:pPr>
              <w:spacing w:after="0"/>
              <w:rPr>
                <w:sz w:val="21"/>
                <w:szCs w:val="21"/>
                <w:color w:val="auto"/>
              </w:rPr>
            </w:pPr>
          </w:p>
        </w:tc>
        <w:tc>
          <w:tcPr>
            <w:tcW w:w="200" w:type="dxa"/>
            <w:vAlign w:val="bottom"/>
            <w:tcBorders>
              <w:bottom w:val="single" w:sz="8" w:color="auto"/>
            </w:tcBorders>
            <w:shd w:val="clear" w:color="auto" w:fill="CCEECC"/>
          </w:tcPr>
          <w:p>
            <w:pPr>
              <w:spacing w:after="0"/>
              <w:rPr>
                <w:sz w:val="21"/>
                <w:szCs w:val="21"/>
                <w:color w:val="auto"/>
              </w:rPr>
            </w:pP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224,035</w:t>
            </w:r>
          </w:p>
        </w:tc>
        <w:tc>
          <w:tcPr>
            <w:tcW w:w="6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20" w:type="dxa"/>
            <w:vAlign w:val="bottom"/>
            <w:tcBorders>
              <w:bottom w:val="single" w:sz="8" w:color="auto"/>
            </w:tcBorders>
            <w:shd w:val="clear" w:color="auto" w:fill="CCEECC"/>
          </w:tcPr>
          <w:p>
            <w:pPr>
              <w:spacing w:after="0"/>
              <w:rPr>
                <w:sz w:val="21"/>
                <w:szCs w:val="21"/>
                <w:color w:val="auto"/>
              </w:rPr>
            </w:pP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148,060</w:t>
            </w:r>
          </w:p>
        </w:tc>
        <w:tc>
          <w:tcPr>
            <w:tcW w:w="60" w:type="dxa"/>
            <w:vAlign w:val="bottom"/>
            <w:shd w:val="clear" w:color="auto" w:fill="CCEECC"/>
          </w:tcPr>
          <w:p>
            <w:pPr>
              <w:spacing w:after="0"/>
              <w:rPr>
                <w:sz w:val="21"/>
                <w:szCs w:val="21"/>
                <w:color w:val="auto"/>
              </w:rPr>
            </w:pPr>
          </w:p>
        </w:tc>
      </w:tr>
      <w:tr>
        <w:trPr>
          <w:trHeight w:val="182"/>
        </w:trPr>
        <w:tc>
          <w:tcPr>
            <w:tcW w:w="2280" w:type="dxa"/>
            <w:vAlign w:val="bottom"/>
          </w:tcPr>
          <w:p>
            <w:pPr>
              <w:ind w:left="260"/>
              <w:spacing w:after="0" w:line="182" w:lineRule="exact"/>
              <w:rPr>
                <w:sz w:val="20"/>
                <w:szCs w:val="20"/>
                <w:color w:val="auto"/>
              </w:rPr>
            </w:pPr>
            <w:r>
              <w:rPr>
                <w:rFonts w:ascii="Arial" w:cs="Arial" w:eastAsia="Arial" w:hAnsi="Arial"/>
                <w:sz w:val="18"/>
                <w:szCs w:val="18"/>
                <w:color w:val="auto"/>
              </w:rPr>
              <w:t>Subtotal, web-based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2280" w:type="dxa"/>
            <w:vAlign w:val="bottom"/>
          </w:tcPr>
          <w:p>
            <w:pPr>
              <w:ind w:left="80"/>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980,685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904,710</w:t>
            </w:r>
          </w:p>
        </w:tc>
        <w:tc>
          <w:tcPr>
            <w:tcW w:w="60" w:type="dxa"/>
            <w:vAlign w:val="bottom"/>
          </w:tcPr>
          <w:p>
            <w:pPr>
              <w:spacing w:after="0"/>
              <w:rPr>
                <w:sz w:val="20"/>
                <w:szCs w:val="20"/>
                <w:color w:val="auto"/>
              </w:rPr>
            </w:pPr>
          </w:p>
        </w:tc>
      </w:tr>
      <w:tr>
        <w:trPr>
          <w:trHeight w:val="216"/>
        </w:trPr>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Accumulated amortization</w:t>
            </w:r>
          </w:p>
        </w:tc>
        <w:tc>
          <w:tcPr>
            <w:tcW w:w="1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(482,548)</w:t>
            </w: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(440,641)</w:t>
            </w:r>
          </w:p>
        </w:tc>
      </w:tr>
      <w:tr>
        <w:trPr>
          <w:trHeight w:val="230"/>
        </w:trPr>
        <w:tc>
          <w:tcPr>
            <w:tcW w:w="2280" w:type="dxa"/>
            <w:vAlign w:val="bottom"/>
          </w:tcPr>
          <w:p>
            <w:pPr>
              <w:ind w:left="80"/>
              <w:spacing w:after="0"/>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(59,083)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(59,083)</w:t>
            </w:r>
          </w:p>
        </w:tc>
      </w:tr>
      <w:tr>
        <w:trPr>
          <w:trHeight w:val="223"/>
        </w:trPr>
        <w:tc>
          <w:tcPr>
            <w:tcW w:w="228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w w:val="91"/>
              </w:rPr>
              <w:t>Web-based technology, net</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439,054</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404,986</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is recorded using the straight-line method over a period of five years. The Company is currently developing enhanced SampleMD web-based technology and has capitalized $224,035, which was completed in March 2014. Accordingly, amortization has been recorded. Amortization expense for the web-based technology costs was $41,907 and $32,572 for the three months ended March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26, 2010, the Company acquired from an officer and shareholder the technical contributions and assignment of all exclusive rights to and for the SampleMD patent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purchasing and defending the SampleMD patent, which consisted of the following as of March 31,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2140" w:type="dxa"/>
            <w:vAlign w:val="bottom"/>
            <w:tcBorders>
              <w:bottom w:val="single" w:sz="8" w:color="CCEECC"/>
            </w:tcBorders>
          </w:tcPr>
          <w:p>
            <w:pPr>
              <w:spacing w:after="0"/>
              <w:rPr>
                <w:sz w:val="20"/>
                <w:szCs w:val="20"/>
                <w:color w:val="auto"/>
              </w:rPr>
            </w:pPr>
          </w:p>
        </w:tc>
        <w:tc>
          <w:tcPr>
            <w:tcW w:w="24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3420" w:type="dxa"/>
            <w:vAlign w:val="bottom"/>
          </w:tcPr>
          <w:p>
            <w:pPr>
              <w:spacing w:after="0"/>
              <w:rPr>
                <w:sz w:val="20"/>
                <w:szCs w:val="20"/>
                <w:color w:val="auto"/>
              </w:rPr>
            </w:pPr>
          </w:p>
        </w:tc>
      </w:tr>
      <w:tr>
        <w:trPr>
          <w:trHeight w:val="182"/>
        </w:trPr>
        <w:tc>
          <w:tcPr>
            <w:tcW w:w="3440" w:type="dxa"/>
            <w:vAlign w:val="bottom"/>
          </w:tcPr>
          <w:p>
            <w:pPr>
              <w:spacing w:after="0"/>
              <w:rPr>
                <w:sz w:val="15"/>
                <w:szCs w:val="15"/>
                <w:color w:val="auto"/>
              </w:rPr>
            </w:pPr>
          </w:p>
        </w:tc>
        <w:tc>
          <w:tcPr>
            <w:tcW w:w="2140" w:type="dxa"/>
            <w:vAlign w:val="bottom"/>
            <w:shd w:val="clear" w:color="auto" w:fill="CCEECC"/>
          </w:tcPr>
          <w:p>
            <w:pPr>
              <w:ind w:left="80"/>
              <w:spacing w:after="0" w:line="182" w:lineRule="exact"/>
              <w:rPr>
                <w:sz w:val="20"/>
                <w:szCs w:val="20"/>
                <w:color w:val="auto"/>
              </w:rPr>
            </w:pPr>
            <w:r>
              <w:rPr>
                <w:rFonts w:ascii="Arial" w:cs="Arial" w:eastAsia="Arial" w:hAnsi="Arial"/>
                <w:sz w:val="18"/>
                <w:szCs w:val="18"/>
                <w:color w:val="auto"/>
                <w:w w:val="93"/>
              </w:rPr>
              <w:t>Patent rights and intangible</w:t>
            </w:r>
          </w:p>
        </w:tc>
        <w:tc>
          <w:tcPr>
            <w:tcW w:w="240" w:type="dxa"/>
            <w:vAlign w:val="bottom"/>
            <w:shd w:val="clear" w:color="auto" w:fill="CCEECC"/>
          </w:tcPr>
          <w:p>
            <w:pPr>
              <w:spacing w:after="0"/>
              <w:rPr>
                <w:sz w:val="15"/>
                <w:szCs w:val="15"/>
                <w:color w:val="auto"/>
              </w:rPr>
            </w:pPr>
          </w:p>
        </w:tc>
        <w:tc>
          <w:tcPr>
            <w:tcW w:w="20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840" w:type="dxa"/>
            <w:vAlign w:val="bottom"/>
            <w:tcBorders>
              <w:right w:val="single" w:sz="8" w:color="CCEECC"/>
            </w:tcBorders>
            <w:shd w:val="clear" w:color="auto" w:fill="CCEECC"/>
          </w:tcPr>
          <w:p>
            <w:pPr>
              <w:spacing w:after="0"/>
              <w:rPr>
                <w:sz w:val="15"/>
                <w:szCs w:val="15"/>
                <w:color w:val="auto"/>
              </w:rPr>
            </w:pPr>
          </w:p>
        </w:tc>
        <w:tc>
          <w:tcPr>
            <w:tcW w:w="3420" w:type="dxa"/>
            <w:vAlign w:val="bottom"/>
          </w:tcPr>
          <w:p>
            <w:pPr>
              <w:spacing w:after="0"/>
              <w:rPr>
                <w:sz w:val="15"/>
                <w:szCs w:val="15"/>
                <w:color w:val="auto"/>
              </w:rPr>
            </w:pPr>
          </w:p>
        </w:tc>
      </w:tr>
      <w:tr>
        <w:trPr>
          <w:trHeight w:val="230"/>
        </w:trPr>
        <w:tc>
          <w:tcPr>
            <w:tcW w:w="3440" w:type="dxa"/>
            <w:vAlign w:val="bottom"/>
          </w:tcPr>
          <w:p>
            <w:pPr>
              <w:spacing w:after="0"/>
              <w:rPr>
                <w:sz w:val="20"/>
                <w:szCs w:val="20"/>
                <w:color w:val="auto"/>
              </w:rPr>
            </w:pPr>
          </w:p>
        </w:tc>
        <w:tc>
          <w:tcPr>
            <w:tcW w:w="2140" w:type="dxa"/>
            <w:vAlign w:val="bottom"/>
            <w:shd w:val="clear" w:color="auto" w:fill="CCEECC"/>
          </w:tcPr>
          <w:p>
            <w:pPr>
              <w:ind w:left="80"/>
              <w:spacing w:after="0"/>
              <w:rPr>
                <w:sz w:val="20"/>
                <w:szCs w:val="20"/>
                <w:color w:val="auto"/>
              </w:rPr>
            </w:pPr>
            <w:r>
              <w:rPr>
                <w:rFonts w:ascii="Arial" w:cs="Arial" w:eastAsia="Arial" w:hAnsi="Arial"/>
                <w:sz w:val="18"/>
                <w:szCs w:val="18"/>
                <w:color w:val="auto"/>
              </w:rPr>
              <w:t>assets</w:t>
            </w:r>
          </w:p>
        </w:tc>
        <w:tc>
          <w:tcPr>
            <w:tcW w:w="4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20"/>
                <w:szCs w:val="20"/>
                <w:color w:val="auto"/>
              </w:rPr>
            </w:pPr>
          </w:p>
        </w:tc>
        <w:tc>
          <w:tcPr>
            <w:tcW w:w="3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3420" w:type="dxa"/>
            <w:vAlign w:val="bottom"/>
          </w:tcPr>
          <w:p>
            <w:pPr>
              <w:spacing w:after="0"/>
              <w:rPr>
                <w:sz w:val="20"/>
                <w:szCs w:val="20"/>
                <w:color w:val="auto"/>
              </w:rPr>
            </w:pPr>
          </w:p>
        </w:tc>
      </w:tr>
      <w:tr>
        <w:trPr>
          <w:trHeight w:val="216"/>
        </w:trPr>
        <w:tc>
          <w:tcPr>
            <w:tcW w:w="344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Arial" w:cs="Arial" w:eastAsia="Arial" w:hAnsi="Arial"/>
                <w:sz w:val="18"/>
                <w:szCs w:val="18"/>
                <w:color w:val="auto"/>
              </w:rPr>
              <w:t>Patent defense costs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111,707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87,993</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140" w:type="dxa"/>
            <w:vAlign w:val="bottom"/>
            <w:shd w:val="clear" w:color="auto" w:fill="CCEECC"/>
          </w:tcPr>
          <w:p>
            <w:pPr>
              <w:ind w:left="80"/>
              <w:spacing w:after="0"/>
              <w:rPr>
                <w:sz w:val="20"/>
                <w:szCs w:val="20"/>
                <w:color w:val="auto"/>
              </w:rPr>
            </w:pPr>
            <w:r>
              <w:rPr>
                <w:rFonts w:ascii="Arial" w:cs="Arial" w:eastAsia="Arial" w:hAnsi="Arial"/>
                <w:sz w:val="18"/>
                <w:szCs w:val="18"/>
                <w:color w:val="auto"/>
                <w:w w:val="88"/>
              </w:rPr>
              <w:t>New patents and trademarks</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72,178</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62,595</w:t>
            </w: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2140" w:type="dxa"/>
            <w:vAlign w:val="bottom"/>
          </w:tcPr>
          <w:p>
            <w:pPr>
              <w:ind w:left="80"/>
              <w:spacing w:after="0"/>
              <w:rPr>
                <w:sz w:val="20"/>
                <w:szCs w:val="20"/>
                <w:color w:val="auto"/>
              </w:rPr>
            </w:pPr>
            <w:r>
              <w:rPr>
                <w:rFonts w:ascii="Arial" w:cs="Arial" w:eastAsia="Arial" w:hAnsi="Arial"/>
                <w:sz w:val="18"/>
                <w:szCs w:val="18"/>
                <w:color w:val="auto"/>
                <w:w w:val="98"/>
              </w:rPr>
              <w:t>Accumulated amortization</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(210,268)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(194,638)</w:t>
            </w:r>
          </w:p>
        </w:tc>
        <w:tc>
          <w:tcPr>
            <w:tcW w:w="3420" w:type="dxa"/>
            <w:vAlign w:val="bottom"/>
          </w:tcPr>
          <w:p>
            <w:pPr>
              <w:spacing w:after="0"/>
              <w:rPr>
                <w:sz w:val="19"/>
                <w:szCs w:val="19"/>
                <w:color w:val="auto"/>
              </w:rPr>
            </w:pPr>
          </w:p>
        </w:tc>
      </w:tr>
      <w:tr>
        <w:trPr>
          <w:trHeight w:val="182"/>
        </w:trPr>
        <w:tc>
          <w:tcPr>
            <w:tcW w:w="3440" w:type="dxa"/>
            <w:vAlign w:val="bottom"/>
          </w:tcPr>
          <w:p>
            <w:pPr>
              <w:spacing w:after="0"/>
              <w:rPr>
                <w:sz w:val="15"/>
                <w:szCs w:val="15"/>
                <w:color w:val="auto"/>
              </w:rPr>
            </w:pPr>
          </w:p>
        </w:tc>
        <w:tc>
          <w:tcPr>
            <w:tcW w:w="2380" w:type="dxa"/>
            <w:vAlign w:val="bottom"/>
            <w:tcBorders>
              <w:top w:val="single" w:sz="8" w:color="CCEECC"/>
            </w:tcBorders>
            <w:gridSpan w:val="2"/>
            <w:shd w:val="clear" w:color="auto" w:fill="CCEECC"/>
          </w:tcPr>
          <w:p>
            <w:pPr>
              <w:ind w:left="260"/>
              <w:spacing w:after="0" w:line="182" w:lineRule="exact"/>
              <w:rPr>
                <w:sz w:val="20"/>
                <w:szCs w:val="20"/>
                <w:color w:val="auto"/>
              </w:rPr>
            </w:pPr>
            <w:r>
              <w:rPr>
                <w:rFonts w:ascii="Arial" w:cs="Arial" w:eastAsia="Arial" w:hAnsi="Arial"/>
                <w:sz w:val="18"/>
                <w:szCs w:val="18"/>
                <w:color w:val="auto"/>
                <w:w w:val="96"/>
              </w:rPr>
              <w:t>Patent rights and intangible</w:t>
            </w:r>
          </w:p>
        </w:tc>
        <w:tc>
          <w:tcPr>
            <w:tcW w:w="200" w:type="dxa"/>
            <w:vAlign w:val="bottom"/>
            <w:tcBorders>
              <w:top w:val="single" w:sz="8" w:color="auto"/>
            </w:tcBorders>
            <w:shd w:val="clear" w:color="auto" w:fill="CCEECC"/>
          </w:tcPr>
          <w:p>
            <w:pPr>
              <w:spacing w:after="0"/>
              <w:rPr>
                <w:sz w:val="15"/>
                <w:szCs w:val="15"/>
                <w:color w:val="auto"/>
              </w:rPr>
            </w:pP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right w:val="single" w:sz="8" w:color="CCEECC"/>
            </w:tcBorders>
            <w:shd w:val="clear" w:color="auto" w:fill="CCEECC"/>
          </w:tcPr>
          <w:p>
            <w:pPr>
              <w:spacing w:after="0"/>
              <w:rPr>
                <w:sz w:val="15"/>
                <w:szCs w:val="15"/>
                <w:color w:val="auto"/>
              </w:rPr>
            </w:pPr>
          </w:p>
        </w:tc>
        <w:tc>
          <w:tcPr>
            <w:tcW w:w="3420" w:type="dxa"/>
            <w:vAlign w:val="bottom"/>
          </w:tcPr>
          <w:p>
            <w:pPr>
              <w:spacing w:after="0"/>
              <w:rPr>
                <w:sz w:val="15"/>
                <w:szCs w:val="15"/>
                <w:color w:val="auto"/>
              </w:rPr>
            </w:pPr>
          </w:p>
        </w:tc>
      </w:tr>
      <w:tr>
        <w:trPr>
          <w:trHeight w:val="257"/>
        </w:trPr>
        <w:tc>
          <w:tcPr>
            <w:tcW w:w="3440" w:type="dxa"/>
            <w:vAlign w:val="bottom"/>
          </w:tcPr>
          <w:p>
            <w:pPr>
              <w:spacing w:after="0"/>
              <w:rPr>
                <w:sz w:val="22"/>
                <w:szCs w:val="22"/>
                <w:color w:val="auto"/>
              </w:rPr>
            </w:pPr>
          </w:p>
        </w:tc>
        <w:tc>
          <w:tcPr>
            <w:tcW w:w="2140" w:type="dxa"/>
            <w:vAlign w:val="bottom"/>
            <w:shd w:val="clear" w:color="auto" w:fill="CCEECC"/>
          </w:tcPr>
          <w:p>
            <w:pPr>
              <w:ind w:left="80"/>
              <w:spacing w:after="0"/>
              <w:rPr>
                <w:sz w:val="20"/>
                <w:szCs w:val="20"/>
                <w:color w:val="auto"/>
              </w:rPr>
            </w:pPr>
            <w:r>
              <w:rPr>
                <w:rFonts w:ascii="Arial" w:cs="Arial" w:eastAsia="Arial" w:hAnsi="Arial"/>
                <w:sz w:val="18"/>
                <w:szCs w:val="18"/>
                <w:color w:val="auto"/>
              </w:rPr>
              <w:t>assets, net</w:t>
            </w:r>
          </w:p>
        </w:tc>
        <w:tc>
          <w:tcPr>
            <w:tcW w:w="4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903,617</w:t>
            </w:r>
          </w:p>
        </w:tc>
        <w:tc>
          <w:tcPr>
            <w:tcW w:w="60" w:type="dxa"/>
            <w:vAlign w:val="bottom"/>
            <w:shd w:val="clear" w:color="auto" w:fill="CCEECC"/>
          </w:tcPr>
          <w:p>
            <w:pPr>
              <w:spacing w:after="0"/>
              <w:rPr>
                <w:sz w:val="22"/>
                <w:szCs w:val="22"/>
                <w:color w:val="auto"/>
              </w:rPr>
            </w:pPr>
          </w:p>
        </w:tc>
        <w:tc>
          <w:tcPr>
            <w:tcW w:w="3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885,950</w:t>
            </w:r>
          </w:p>
        </w:tc>
        <w:tc>
          <w:tcPr>
            <w:tcW w:w="3420" w:type="dxa"/>
            <w:vAlign w:val="bottom"/>
          </w:tcPr>
          <w:p>
            <w:pPr>
              <w:spacing w:after="0"/>
              <w:rPr>
                <w:sz w:val="22"/>
                <w:szCs w:val="22"/>
                <w:color w:val="auto"/>
              </w:rPr>
            </w:pPr>
          </w:p>
        </w:tc>
      </w:tr>
      <w:tr>
        <w:trPr>
          <w:trHeight w:val="20"/>
        </w:trPr>
        <w:tc>
          <w:tcPr>
            <w:tcW w:w="3440" w:type="dxa"/>
            <w:vAlign w:val="bottom"/>
          </w:tcPr>
          <w:p>
            <w:pPr>
              <w:spacing w:after="0" w:line="20" w:lineRule="exact"/>
              <w:rPr>
                <w:sz w:val="1"/>
                <w:szCs w:val="1"/>
                <w:color w:val="auto"/>
              </w:rPr>
            </w:pPr>
          </w:p>
        </w:tc>
        <w:tc>
          <w:tcPr>
            <w:tcW w:w="214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70"/>
        </w:trPr>
        <w:tc>
          <w:tcPr>
            <w:tcW w:w="34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24"/>
        </w:trPr>
        <w:tc>
          <w:tcPr>
            <w:tcW w:w="3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F-8</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$15,630 and $14,132 for the three months ended March 31, 2014 and 2013,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7 – ACCRUED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at March 31, 2014 and December 31, 2013:</w:t>
      </w:r>
    </w:p>
    <w:p>
      <w:pPr>
        <w:spacing w:after="0" w:line="225"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March 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color w:val="auto"/>
                <w:w w:val="90"/>
              </w:rPr>
              <w:t>December 31,</w:t>
            </w:r>
          </w:p>
        </w:tc>
      </w:tr>
      <w:tr>
        <w:trPr>
          <w:trHeight w:val="230"/>
        </w:trPr>
        <w:tc>
          <w:tcPr>
            <w:tcW w:w="1640" w:type="dxa"/>
            <w:vAlign w:val="bottom"/>
            <w:tcBorders>
              <w:bottom w:val="single" w:sz="8" w:color="CCEECC"/>
            </w:tcBorders>
          </w:tcPr>
          <w:p>
            <w:pPr>
              <w:spacing w:after="0"/>
              <w:rPr>
                <w:sz w:val="20"/>
                <w:szCs w:val="20"/>
                <w:color w:val="auto"/>
              </w:rPr>
            </w:pPr>
          </w:p>
        </w:tc>
        <w:tc>
          <w:tcPr>
            <w:tcW w:w="74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2014</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210"/>
        </w:trPr>
        <w:tc>
          <w:tcPr>
            <w:tcW w:w="1640" w:type="dxa"/>
            <w:vAlign w:val="bottom"/>
            <w:shd w:val="clear" w:color="auto" w:fill="CCEECC"/>
          </w:tcPr>
          <w:p>
            <w:pPr>
              <w:spacing w:after="0"/>
              <w:rPr>
                <w:sz w:val="20"/>
                <w:szCs w:val="20"/>
                <w:color w:val="auto"/>
              </w:rPr>
            </w:pPr>
            <w:r>
              <w:rPr>
                <w:rFonts w:ascii="Arial" w:cs="Arial" w:eastAsia="Arial" w:hAnsi="Arial"/>
                <w:sz w:val="18"/>
                <w:szCs w:val="18"/>
                <w:color w:val="auto"/>
              </w:rPr>
              <w:t>Audit fees</w:t>
            </w:r>
          </w:p>
        </w:tc>
        <w:tc>
          <w:tcPr>
            <w:tcW w:w="74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12,000</w:t>
            </w:r>
          </w:p>
        </w:tc>
        <w:tc>
          <w:tcPr>
            <w:tcW w:w="60" w:type="dxa"/>
            <w:vAlign w:val="bottom"/>
            <w:shd w:val="clear" w:color="auto" w:fill="CCEECC"/>
          </w:tcPr>
          <w:p>
            <w:pPr>
              <w:spacing w:after="0"/>
              <w:rPr>
                <w:sz w:val="18"/>
                <w:szCs w:val="18"/>
                <w:color w:val="auto"/>
              </w:rPr>
            </w:pPr>
          </w:p>
        </w:tc>
      </w:tr>
      <w:tr>
        <w:trPr>
          <w:trHeight w:val="230"/>
        </w:trPr>
        <w:tc>
          <w:tcPr>
            <w:tcW w:w="164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Payroll taxes</w:t>
            </w:r>
          </w:p>
        </w:tc>
        <w:tc>
          <w:tcPr>
            <w:tcW w:w="740" w:type="dxa"/>
            <w:vAlign w:val="bottom"/>
            <w:tcBorders>
              <w:bottom w:val="single" w:sz="8" w:color="CCEE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146,042</w:t>
            </w:r>
          </w:p>
        </w:tc>
        <w:tc>
          <w:tcPr>
            <w:tcW w:w="4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CCEECC"/>
            </w:tcBorders>
          </w:tcPr>
          <w:p>
            <w:pPr>
              <w:spacing w:after="0"/>
              <w:rPr>
                <w:sz w:val="19"/>
                <w:szCs w:val="19"/>
                <w:color w:val="auto"/>
              </w:rPr>
            </w:pPr>
          </w:p>
        </w:tc>
      </w:tr>
      <w:tr>
        <w:trPr>
          <w:trHeight w:val="223"/>
        </w:trPr>
        <w:tc>
          <w:tcPr>
            <w:tcW w:w="1640" w:type="dxa"/>
            <w:vAlign w:val="bottom"/>
            <w:tcBorders>
              <w:bottom w:val="single" w:sz="8" w:color="CCEECC"/>
            </w:tcBorders>
            <w:shd w:val="clear" w:color="auto" w:fill="CCEECC"/>
          </w:tcPr>
          <w:p>
            <w:pPr>
              <w:spacing w:after="0"/>
              <w:rPr>
                <w:sz w:val="19"/>
                <w:szCs w:val="19"/>
                <w:color w:val="auto"/>
              </w:rPr>
            </w:pPr>
          </w:p>
        </w:tc>
        <w:tc>
          <w:tcPr>
            <w:tcW w:w="740" w:type="dxa"/>
            <w:vAlign w:val="bottom"/>
            <w:tcBorders>
              <w:bottom w:val="single" w:sz="8" w:color="CCEECC"/>
            </w:tcBorders>
            <w:shd w:val="clear" w:color="auto" w:fill="CCEECC"/>
          </w:tcPr>
          <w:p>
            <w:pPr>
              <w:spacing w:after="0"/>
              <w:rPr>
                <w:sz w:val="19"/>
                <w:szCs w:val="19"/>
                <w:color w:val="auto"/>
              </w:rPr>
            </w:pPr>
          </w:p>
        </w:tc>
        <w:tc>
          <w:tcPr>
            <w:tcW w:w="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146,042</w:t>
            </w:r>
          </w:p>
        </w:tc>
        <w:tc>
          <w:tcPr>
            <w:tcW w:w="4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Borders>
              <w:bottom w:val="single" w:sz="8" w:color="CCEECC"/>
            </w:tcBorders>
            <w:shd w:val="clear" w:color="auto" w:fill="CCEECC"/>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8 – DEFERRED REVENUE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signed several contracts with customers for either the distribution or redemption of coupons. The payments are not taken into revenue until either the coupon is distributed to a patient or the coupon has been redeemed depending on the specific contract. The distributions and redemptions are tracked by the Company’s administrative tool. Additionally, customer setup contracts that have been paid in full are deferred until the Company has completed the obligations of the contacts. Deferred revenue was $168,714 and $4,252 as of March 31, 2014 and December 31, 2013,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9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March 31, 2014. There were 23,168,337 and 14,773,496 common shares issued and outstanding at March 31, 2014 and December 31, 2013, respectively.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2013, the Company entered into an amended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40,000 shares were valued at the Company’s common stock price as of the date of the contract, which was $1.945/share and $1.50/share, respectively, and have been expensed. The Company has also issued an additional 10,000 shares for work beyond the original scope of the contract in February 2014 valued at $18,500.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20, 2013, the Company entered into a separation agreement that includes post-employment consulting services with a former officer. The Company agreed to issue 500,000 shares of common stock, 250,000 shares immediately and 250,000 by January 1, 2014. The first 250,000 shares have been issued and the Company has recognized the entire issuance in the December 31, 2013 shares outstanding. The shares were valued at $505,000 and $116,538 of that amount remains as deferred stock compensation as of March 31, 2014. Stock-based compensation of $58,270 was recorded in connection with this agreement during the three months ended March 31, 2014.</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2014 the Company executed an amendment to their securities redemption option agreement with Vicis Capital Master Fund that provides an option to purchase all of the outstanding shares and derivative securities held by Vicis for a total of $6,000,000. The term of the option is through March 31, 2014. The original agreement payment was for $9,000,000 and term was through December 30,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17, 2014, the Company entered into a securities purchase agreement, pursuant to which the Company sold an aggregate of 8,333,333 shares of the Company’s common stock for $1.20 per share, or gross proceeds of $10,000,000.</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agent warrants also provide for piggy-back registration rights. The warrants were valued at $1,110,211 and have been recorded as equity issuance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warrants, the Company also issued 200,000 shares to three officers in connection with the equity raise. The stock was valued based on the fair market value on the grant date which was $378,000. The amount has been recorded as equity issuance costs.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the net proceeds of the offering to exercise the securities redemption option agreement, as amended, with Vicis Capital Master Fund that provides the Company with an option to purchase all of the outstanding shares and derivative securities held by Vicis for total payment of $6,000,000. The shares and derivative securities include the Series A Convertible Preferred Stock, Series B Convertible Preferred Stock, Common Stock, and warrants to purchase shares of common stock held by Vicis in the Company. The balance of the net proceeds will be used for working capital purposes.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2014, the Company granted 337,500 shares of common stock to two employees as bonuses valued at $570,375. As of March 31, 2014, only 50% of the shares had vested. The company recorded the remaining 50% as deferred stock-based compensation. Stock-based compensation related to these bonuses was $285,188 for the three months ended March 31, 2014. The remainder will be expensed once the other 50% of the shares have vested in August 2014.</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29, 2014, an officer exercised 500,000 stock warrants using the cashless exercise feature. In exchange for the 500,000 warrants, 410,348 shares of common stock were issued.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were convertible to 3,500,000 shares of common stock and bore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undeclared dividends that were due in February and September 2012 totaling $350,000 and undeclared dividends of $350,000 that were due in February and September 2013 for a total undeclared amount of $700,000 as of December 31,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Series A preferred stock was repurchased as part of the securities buyout by the Company on March 17, 2014 and all undeclared dividends were cancelled. The related warrants were also purchased as part of the buyout.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were convertible to 1,000,000 shares of common stock and bore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undeclared dividends that were due in February and September 2012 totaling $150,000 and undeclared dividends of $150,000 that were due in February and September 2013 for a total undeclared amount of $300,000 as of December 31,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Series B preferred stock was repurchased as part of the Vicis securities buyout by the Company on March 17, 2014 and all undeclared dividends were cancelled. The related warrants were also purchased as part of the buyout.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December 31, 2012, the Company issued 25,000 stock options to a non-employee at an exercise price of $1.58. The options were valued on the grant date using the Black-Scholes option-pricing model with the following assumptions: dividend yield of 0%, expected volatility of 200%, risk-free interest rate of 0.67% and expected life of 60 months. The total value of the options was $40,007. The options vested over 1 year. The Company recognized share-based compensation expense of $10,002 during the three months ended March 31, 2013. The remainder was expensed during the rest of 2013.</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30, 2013, the Company issued 50,000 stock options to six employees at an exercise price of $1.00. The options were valued on the grant date using the Black-Scholes option-pricing model with the following assumptions: dividend yield of 0%, expected volatility of 171%, risk-free interest rate of 1.30% and expected life of 60 months. The total value of the options was $46,322. The options vest over one year. The Company recognized share-based compensation expense of $7,720 during the year ended December 31, 2013 and $11,581 during the three months ended March 31, 2014. The remaining balance will be recognized during the rest of 2014.</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8, 2013, the Company issued 75,000 stock options to two non-employees at an exercise price of $1.00. The options were valued on the grant date using the Black-Scholes option-pricing model with the following assumptions: dividend yield of 0%, expected volatility of 171%, risk-free interest rate of 1.42% and expected life of 60 months. The total value of the options was $70,961. The options vest over 1 year. The Company recognized share-based compensation expense of $11,827 and $17,740 during the three months ended December 31, 2013 and March 31, 2014, respectively. The remaining balance of $41,394 has been recorded as deferred stock compensation and will be recognized during the rest of 2014.</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March 31, 2014, the Company issued 267,500 stock options to five employees at exercise prices of $1.54 and $1.82. The options were valued on the grant date using the Black-Scholes option-pricing model with the following assumptions: dividend yield of 0%, expected volatility of 172%, risk-free interest rates of 1.58% and 1.46% and expected life of 60 months. The total value of the options was $423,712. The options vest over one year. The Company recognized share-based compensation expense of $24,654 during the three months ended March 31, 2014. The remaining balance will be recognized during 2014 and 2015.</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March 31, 2014, the Company issued 10,000 stock options to a non-employee at exercise price of $1.85. The options were valued on the grant date using the Black-Scholes option-pricing model with the following assumptions: dividend yield of 0%, expected volatility of 171%, risk-free interest rates of 1.64% and expected life of 60 months. The total value of the options was $16,935. The options vest over six months. The Company recognized share-based compensation expense of $5,645 during the three months ended March 31, 2014. The remaining balance will be recognized during 2014.</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17, 2014, the Company issued 804,139 warrants to two companies at an exercise price of $1.20. The warrants were valued on the grant date using the Black-Scholes option-pricing model with the following assumptions: dividend yield of 0%, expected volatility of 172%, risk-free interest rate of 1.58% and expected life of 60 months. The Company recognized $1,110,211 during the three months ended March 31, 2014 as equity issuance costs related to these warrants.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options outstanding as of March 31, 2014:</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4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1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Number of Options</w:t>
            </w:r>
          </w:p>
        </w:tc>
        <w:tc>
          <w:tcPr>
            <w:tcW w:w="10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gridSpan w:val="2"/>
            <w:shd w:val="clear" w:color="auto" w:fill="CCEECC"/>
          </w:tcPr>
          <w:p>
            <w:pPr>
              <w:jc w:val="right"/>
              <w:ind w:right="180"/>
              <w:spacing w:after="0" w:line="182" w:lineRule="exact"/>
              <w:rPr>
                <w:sz w:val="20"/>
                <w:szCs w:val="20"/>
                <w:color w:val="auto"/>
              </w:rPr>
            </w:pPr>
            <w:r>
              <w:rPr>
                <w:rFonts w:ascii="Arial" w:cs="Arial" w:eastAsia="Arial" w:hAnsi="Arial"/>
                <w:sz w:val="18"/>
                <w:szCs w:val="18"/>
                <w:color w:val="auto"/>
                <w:w w:val="99"/>
              </w:rPr>
              <w:t>Outstanding, January</w:t>
            </w:r>
          </w:p>
        </w:tc>
        <w:tc>
          <w:tcPr>
            <w:tcW w:w="176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0"/>
        </w:trPr>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1,276,100</w:t>
            </w:r>
          </w:p>
        </w:tc>
        <w:tc>
          <w:tcPr>
            <w:tcW w:w="60" w:type="dxa"/>
            <w:vAlign w:val="bottom"/>
            <w:shd w:val="clear" w:color="auto" w:fill="CCEECC"/>
          </w:tcPr>
          <w:p>
            <w:pPr>
              <w:spacing w:after="0"/>
              <w:rPr>
                <w:sz w:val="20"/>
                <w:szCs w:val="20"/>
                <w:color w:val="auto"/>
              </w:rPr>
            </w:pPr>
          </w:p>
        </w:tc>
        <w:tc>
          <w:tcPr>
            <w:tcW w:w="2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0.97</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Granted – 2013</w:t>
            </w:r>
          </w:p>
        </w:tc>
        <w:tc>
          <w:tcPr>
            <w:tcW w:w="1760" w:type="dxa"/>
            <w:vAlign w:val="bottom"/>
          </w:tcPr>
          <w:p>
            <w:pPr>
              <w:jc w:val="right"/>
              <w:spacing w:after="0"/>
              <w:rPr>
                <w:sz w:val="20"/>
                <w:szCs w:val="20"/>
                <w:color w:val="auto"/>
              </w:rPr>
            </w:pPr>
            <w:r>
              <w:rPr>
                <w:rFonts w:ascii="Arial" w:cs="Arial" w:eastAsia="Arial" w:hAnsi="Arial"/>
                <w:sz w:val="18"/>
                <w:szCs w:val="18"/>
                <w:color w:val="auto"/>
              </w:rPr>
              <w:t>2,125,000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Exercised – 2013</w:t>
            </w: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Expired – 2013</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(2,271,100)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195"/>
        </w:trPr>
        <w:tc>
          <w:tcPr>
            <w:tcW w:w="1740" w:type="dxa"/>
            <w:vAlign w:val="bottom"/>
            <w:tcBorders>
              <w:top w:val="single" w:sz="8" w:color="auto"/>
            </w:tcBorders>
            <w:shd w:val="clear" w:color="auto" w:fill="CCEECC"/>
          </w:tcPr>
          <w:p>
            <w:pPr>
              <w:jc w:val="right"/>
              <w:spacing w:after="0" w:line="195" w:lineRule="exact"/>
              <w:rPr>
                <w:sz w:val="20"/>
                <w:szCs w:val="20"/>
                <w:color w:val="auto"/>
              </w:rPr>
            </w:pPr>
            <w:r>
              <w:rPr>
                <w:rFonts w:ascii="Arial" w:cs="Arial" w:eastAsia="Arial" w:hAnsi="Arial"/>
                <w:sz w:val="18"/>
                <w:szCs w:val="18"/>
                <w:color w:val="auto"/>
              </w:rPr>
              <w:t>Balance, December</w:t>
            </w:r>
          </w:p>
        </w:tc>
        <w:tc>
          <w:tcPr>
            <w:tcW w:w="160" w:type="dxa"/>
            <w:vAlign w:val="bottom"/>
            <w:tcBorders>
              <w:top w:val="single" w:sz="8" w:color="CCEECC"/>
            </w:tcBorders>
            <w:shd w:val="clear" w:color="auto" w:fill="CCEECC"/>
          </w:tcPr>
          <w:p>
            <w:pPr>
              <w:spacing w:after="0"/>
              <w:rPr>
                <w:sz w:val="16"/>
                <w:szCs w:val="16"/>
                <w:color w:val="auto"/>
              </w:rPr>
            </w:pPr>
          </w:p>
        </w:tc>
        <w:tc>
          <w:tcPr>
            <w:tcW w:w="17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1,130,000</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0.97</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Granted – 2014</w:t>
            </w:r>
          </w:p>
        </w:tc>
        <w:tc>
          <w:tcPr>
            <w:tcW w:w="1760" w:type="dxa"/>
            <w:vAlign w:val="bottom"/>
          </w:tcPr>
          <w:p>
            <w:pPr>
              <w:jc w:val="right"/>
              <w:spacing w:after="0"/>
              <w:rPr>
                <w:sz w:val="20"/>
                <w:szCs w:val="20"/>
                <w:color w:val="auto"/>
              </w:rPr>
            </w:pPr>
            <w:r>
              <w:rPr>
                <w:rFonts w:ascii="Arial" w:cs="Arial" w:eastAsia="Arial" w:hAnsi="Arial"/>
                <w:sz w:val="18"/>
                <w:szCs w:val="18"/>
                <w:color w:val="auto"/>
              </w:rPr>
              <w:t>277,500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Exercised – 2014</w:t>
            </w: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Expired – 2014</w:t>
            </w:r>
          </w:p>
        </w:tc>
        <w:tc>
          <w:tcPr>
            <w:tcW w:w="17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r>
        <w:trPr>
          <w:trHeight w:val="195"/>
        </w:trPr>
        <w:tc>
          <w:tcPr>
            <w:tcW w:w="1740" w:type="dxa"/>
            <w:vAlign w:val="bottom"/>
            <w:tcBorders>
              <w:top w:val="single" w:sz="8" w:color="auto"/>
            </w:tcBorders>
            <w:shd w:val="clear" w:color="auto" w:fill="CCEECC"/>
          </w:tcPr>
          <w:p>
            <w:pPr>
              <w:jc w:val="right"/>
              <w:spacing w:after="0" w:line="195" w:lineRule="exact"/>
              <w:rPr>
                <w:sz w:val="20"/>
                <w:szCs w:val="20"/>
                <w:color w:val="auto"/>
              </w:rPr>
            </w:pPr>
            <w:r>
              <w:rPr>
                <w:rFonts w:ascii="Arial" w:cs="Arial" w:eastAsia="Arial" w:hAnsi="Arial"/>
                <w:sz w:val="18"/>
                <w:szCs w:val="18"/>
                <w:color w:val="auto"/>
              </w:rPr>
              <w:t>Balance, March 31,</w:t>
            </w:r>
          </w:p>
        </w:tc>
        <w:tc>
          <w:tcPr>
            <w:tcW w:w="160" w:type="dxa"/>
            <w:vAlign w:val="bottom"/>
            <w:tcBorders>
              <w:top w:val="single" w:sz="8" w:color="CCEECC"/>
            </w:tcBorders>
            <w:shd w:val="clear" w:color="auto" w:fill="CCEECC"/>
          </w:tcPr>
          <w:p>
            <w:pPr>
              <w:spacing w:after="0"/>
              <w:rPr>
                <w:sz w:val="16"/>
                <w:szCs w:val="16"/>
                <w:color w:val="auto"/>
              </w:rPr>
            </w:pPr>
          </w:p>
        </w:tc>
        <w:tc>
          <w:tcPr>
            <w:tcW w:w="17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1,407,500</w:t>
            </w:r>
          </w:p>
        </w:tc>
        <w:tc>
          <w:tcPr>
            <w:tcW w:w="60" w:type="dxa"/>
            <w:vAlign w:val="bottom"/>
            <w:shd w:val="clear" w:color="auto" w:fill="CCEECC"/>
          </w:tcPr>
          <w:p>
            <w:pPr>
              <w:spacing w:after="0"/>
              <w:rPr>
                <w:sz w:val="20"/>
                <w:szCs w:val="20"/>
                <w:color w:val="auto"/>
              </w:rPr>
            </w:pPr>
          </w:p>
        </w:tc>
        <w:tc>
          <w:tcPr>
            <w:tcW w:w="2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CC"/>
          </w:tcPr>
          <w:p>
            <w:pPr>
              <w:spacing w:after="0"/>
              <w:rPr>
                <w:sz w:val="20"/>
                <w:szCs w:val="20"/>
                <w:color w:val="auto"/>
              </w:rPr>
            </w:pPr>
          </w:p>
        </w:tc>
      </w:tr>
      <w:tr>
        <w:trPr>
          <w:trHeight w:val="20"/>
        </w:trPr>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outstanding as of March 31, 2014:</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Number of Warrants</w:t>
            </w:r>
          </w:p>
        </w:tc>
        <w:tc>
          <w:tcPr>
            <w:tcW w:w="180" w:type="dxa"/>
            <w:vAlign w:val="bottom"/>
          </w:tcPr>
          <w:p>
            <w:pPr>
              <w:spacing w:after="0"/>
              <w:rPr>
                <w:sz w:val="20"/>
                <w:szCs w:val="20"/>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tcBorders>
              <w:top w:val="single" w:sz="8" w:color="CCEECC"/>
            </w:tcBorders>
            <w:gridSpan w:val="2"/>
            <w:shd w:val="clear" w:color="auto" w:fill="CCEECC"/>
          </w:tcPr>
          <w:p>
            <w:pPr>
              <w:jc w:val="right"/>
              <w:ind w:right="180"/>
              <w:spacing w:after="0" w:line="182" w:lineRule="exact"/>
              <w:rPr>
                <w:sz w:val="20"/>
                <w:szCs w:val="20"/>
                <w:color w:val="auto"/>
              </w:rPr>
            </w:pPr>
            <w:r>
              <w:rPr>
                <w:rFonts w:ascii="Arial" w:cs="Arial" w:eastAsia="Arial" w:hAnsi="Arial"/>
                <w:sz w:val="18"/>
                <w:szCs w:val="18"/>
                <w:color w:val="auto"/>
                <w:w w:val="99"/>
              </w:rPr>
              <w:t>Outstanding, January</w:t>
            </w:r>
          </w:p>
        </w:tc>
        <w:tc>
          <w:tcPr>
            <w:tcW w:w="17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auto"/>
            </w:tcBorders>
            <w:shd w:val="clear" w:color="auto" w:fill="CCEECC"/>
          </w:tcPr>
          <w:p>
            <w:pPr>
              <w:spacing w:after="0"/>
              <w:rPr>
                <w:sz w:val="15"/>
                <w:szCs w:val="15"/>
                <w:color w:val="auto"/>
              </w:rPr>
            </w:pPr>
          </w:p>
        </w:tc>
        <w:tc>
          <w:tcPr>
            <w:tcW w:w="100" w:type="dxa"/>
            <w:vAlign w:val="bottom"/>
            <w:tcBorders>
              <w:top w:val="single" w:sz="8" w:color="CCEECC"/>
            </w:tcBorders>
            <w:shd w:val="clear" w:color="auto" w:fill="CCEECC"/>
          </w:tcPr>
          <w:p>
            <w:pPr>
              <w:spacing w:after="0"/>
              <w:rPr>
                <w:sz w:val="15"/>
                <w:szCs w:val="15"/>
                <w:color w:val="auto"/>
              </w:rPr>
            </w:pPr>
          </w:p>
        </w:tc>
        <w:tc>
          <w:tcPr>
            <w:tcW w:w="180" w:type="dxa"/>
            <w:vAlign w:val="bottom"/>
            <w:tcBorders>
              <w:top w:val="single" w:sz="8" w:color="auto"/>
            </w:tcBorders>
            <w:shd w:val="clear" w:color="auto" w:fill="CCEECC"/>
          </w:tcPr>
          <w:p>
            <w:pPr>
              <w:spacing w:after="0"/>
              <w:rPr>
                <w:sz w:val="15"/>
                <w:szCs w:val="15"/>
                <w:color w:val="auto"/>
              </w:rPr>
            </w:pPr>
          </w:p>
        </w:tc>
        <w:tc>
          <w:tcPr>
            <w:tcW w:w="162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r>
      <w:tr>
        <w:trPr>
          <w:trHeight w:val="230"/>
        </w:trPr>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12,277,000</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80" w:type="dxa"/>
            <w:vAlign w:val="bottom"/>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Granted – 2013</w:t>
            </w:r>
          </w:p>
        </w:tc>
        <w:tc>
          <w:tcPr>
            <w:tcW w:w="17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Exercised – 2013</w:t>
            </w: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Expired – 2013</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(527,000)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r>
      <w:tr>
        <w:trPr>
          <w:trHeight w:val="195"/>
        </w:trPr>
        <w:tc>
          <w:tcPr>
            <w:tcW w:w="1740" w:type="dxa"/>
            <w:vAlign w:val="bottom"/>
            <w:tcBorders>
              <w:top w:val="single" w:sz="8" w:color="auto"/>
            </w:tcBorders>
            <w:shd w:val="clear" w:color="auto" w:fill="CCEECC"/>
          </w:tcPr>
          <w:p>
            <w:pPr>
              <w:jc w:val="right"/>
              <w:spacing w:after="0" w:line="195" w:lineRule="exact"/>
              <w:rPr>
                <w:sz w:val="20"/>
                <w:szCs w:val="20"/>
                <w:color w:val="auto"/>
              </w:rPr>
            </w:pPr>
            <w:r>
              <w:rPr>
                <w:rFonts w:ascii="Arial" w:cs="Arial" w:eastAsia="Arial" w:hAnsi="Arial"/>
                <w:sz w:val="18"/>
                <w:szCs w:val="18"/>
                <w:color w:val="auto"/>
              </w:rPr>
              <w:t>Balance, December</w:t>
            </w:r>
          </w:p>
        </w:tc>
        <w:tc>
          <w:tcPr>
            <w:tcW w:w="160" w:type="dxa"/>
            <w:vAlign w:val="bottom"/>
            <w:tcBorders>
              <w:top w:val="single" w:sz="8" w:color="CCEECC"/>
            </w:tcBorders>
            <w:shd w:val="clear" w:color="auto" w:fill="CCEECC"/>
          </w:tcPr>
          <w:p>
            <w:pPr>
              <w:spacing w:after="0"/>
              <w:rPr>
                <w:sz w:val="16"/>
                <w:szCs w:val="16"/>
                <w:color w:val="auto"/>
              </w:rPr>
            </w:pPr>
          </w:p>
        </w:tc>
        <w:tc>
          <w:tcPr>
            <w:tcW w:w="17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11,750,000</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Granted – 2014</w:t>
            </w:r>
          </w:p>
        </w:tc>
        <w:tc>
          <w:tcPr>
            <w:tcW w:w="1760" w:type="dxa"/>
            <w:vAlign w:val="bottom"/>
          </w:tcPr>
          <w:p>
            <w:pPr>
              <w:jc w:val="right"/>
              <w:spacing w:after="0"/>
              <w:rPr>
                <w:sz w:val="20"/>
                <w:szCs w:val="20"/>
                <w:color w:val="auto"/>
              </w:rPr>
            </w:pPr>
            <w:r>
              <w:rPr>
                <w:rFonts w:ascii="Arial" w:cs="Arial" w:eastAsia="Arial" w:hAnsi="Arial"/>
                <w:sz w:val="18"/>
                <w:szCs w:val="18"/>
                <w:color w:val="auto"/>
              </w:rPr>
              <w:t>804,139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Exercised – 2014</w:t>
            </w:r>
          </w:p>
        </w:tc>
        <w:tc>
          <w:tcPr>
            <w:tcW w:w="1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(0.35)</w:t>
            </w:r>
          </w:p>
        </w:tc>
      </w:tr>
      <w:tr>
        <w:trPr>
          <w:trHeight w:val="216"/>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Cancelled – 2014</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r>
      <w:tr>
        <w:trPr>
          <w:trHeight w:val="230"/>
        </w:trPr>
        <w:tc>
          <w:tcPr>
            <w:tcW w:w="19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Expired – 2014</w:t>
            </w: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9"/>
                <w:szCs w:val="19"/>
                <w:color w:val="auto"/>
              </w:rPr>
            </w:pPr>
          </w:p>
        </w:tc>
      </w:tr>
      <w:tr>
        <w:trPr>
          <w:trHeight w:val="195"/>
        </w:trPr>
        <w:tc>
          <w:tcPr>
            <w:tcW w:w="1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Balance, March 31,</w:t>
            </w:r>
          </w:p>
        </w:tc>
        <w:tc>
          <w:tcPr>
            <w:tcW w:w="16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2,054,139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0"/>
                <w:szCs w:val="20"/>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 Minimum annual rent is as follows for the initial term of the lease:</w:t>
      </w:r>
    </w:p>
    <w:p>
      <w:pPr>
        <w:spacing w:after="0" w:line="196"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3600" w:type="dxa"/>
            <w:vAlign w:val="bottom"/>
            <w:shd w:val="clear" w:color="auto" w:fill="CCEECC"/>
          </w:tcPr>
          <w:p>
            <w:pPr>
              <w:jc w:val="right"/>
              <w:ind w:right="350"/>
              <w:spacing w:after="0"/>
              <w:rPr>
                <w:sz w:val="20"/>
                <w:szCs w:val="20"/>
                <w:color w:val="auto"/>
              </w:rPr>
            </w:pPr>
            <w:r>
              <w:rPr>
                <w:rFonts w:ascii="Arial" w:cs="Arial" w:eastAsia="Arial" w:hAnsi="Arial"/>
                <w:sz w:val="18"/>
                <w:szCs w:val="18"/>
                <w:color w:val="auto"/>
              </w:rPr>
              <w:t>Year ended December 31, 2014</w:t>
            </w:r>
          </w:p>
        </w:tc>
        <w:tc>
          <w:tcPr>
            <w:tcW w:w="240" w:type="dxa"/>
            <w:vAlign w:val="bottom"/>
            <w:gridSpan w:val="2"/>
            <w:shd w:val="clear" w:color="auto" w:fill="CCEECC"/>
          </w:tcPr>
          <w:p>
            <w:pPr>
              <w:jc w:val="right"/>
              <w:ind w:right="11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55,542</w:t>
            </w:r>
          </w:p>
        </w:tc>
        <w:tc>
          <w:tcPr>
            <w:tcW w:w="60" w:type="dxa"/>
            <w:vAlign w:val="bottom"/>
            <w:shd w:val="clear" w:color="auto" w:fill="CCEECC"/>
          </w:tcPr>
          <w:p>
            <w:pPr>
              <w:spacing w:after="0"/>
              <w:rPr>
                <w:sz w:val="19"/>
                <w:szCs w:val="19"/>
                <w:color w:val="auto"/>
              </w:rPr>
            </w:pPr>
          </w:p>
        </w:tc>
      </w:tr>
      <w:tr>
        <w:trPr>
          <w:trHeight w:val="223"/>
        </w:trPr>
        <w:tc>
          <w:tcPr>
            <w:tcW w:w="3600" w:type="dxa"/>
            <w:vAlign w:val="bottom"/>
          </w:tcPr>
          <w:p>
            <w:pPr>
              <w:jc w:val="right"/>
              <w:ind w:right="350"/>
              <w:spacing w:after="0"/>
              <w:rPr>
                <w:sz w:val="20"/>
                <w:szCs w:val="20"/>
                <w:color w:val="auto"/>
              </w:rPr>
            </w:pPr>
            <w:r>
              <w:rPr>
                <w:rFonts w:ascii="Arial" w:cs="Arial" w:eastAsia="Arial" w:hAnsi="Arial"/>
                <w:sz w:val="18"/>
                <w:szCs w:val="18"/>
                <w:color w:val="auto"/>
              </w:rPr>
              <w:t>Total lease commitment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55,542</w:t>
            </w:r>
          </w:p>
        </w:tc>
        <w:tc>
          <w:tcPr>
            <w:tcW w:w="6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had three major customers that accounted for 44% and three major customers that accounted for 72% of the Company’s revenues for the three months ended March 31, 2014 and 2013, respectively. The Company expects to continue to maintain these relationships with the customers.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2014, the Company incurred net loss of approximately $653,000 and therefore has no tax liability. The Company began operations in 2007 and has previous net operating loss carry-forwards of approximately $13,718,000 through December 31, 2013. The cumulative loss of approximately $14,371,000 will be carried forward and can be used through the year 2033 to offset future taxable income. In the future, the cumulative net operating loss carry-forward for income tax purposes may differ from the cumulative financial statement loss due to timing differences between book and tax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three months ended March 31, 2014 and 2013:</w:t>
      </w:r>
    </w:p>
    <w:p>
      <w:pPr>
        <w:spacing w:after="0" w:line="131"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0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182"/>
        </w:trPr>
        <w:tc>
          <w:tcPr>
            <w:tcW w:w="2200" w:type="dxa"/>
            <w:vAlign w:val="bottom"/>
            <w:shd w:val="clear" w:color="auto" w:fill="CCEECC"/>
          </w:tcPr>
          <w:p>
            <w:pPr>
              <w:spacing w:after="0" w:line="182" w:lineRule="exact"/>
              <w:rPr>
                <w:sz w:val="20"/>
                <w:szCs w:val="20"/>
                <w:color w:val="auto"/>
              </w:rPr>
            </w:pPr>
            <w:r>
              <w:rPr>
                <w:rFonts w:ascii="Arial" w:cs="Arial" w:eastAsia="Arial" w:hAnsi="Arial"/>
                <w:sz w:val="18"/>
                <w:szCs w:val="18"/>
                <w:color w:val="auto"/>
              </w:rPr>
              <w:t>Federal income tax benefit</w:t>
            </w:r>
          </w:p>
        </w:tc>
        <w:tc>
          <w:tcPr>
            <w:tcW w:w="16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r>
      <w:tr>
        <w:trPr>
          <w:trHeight w:val="230"/>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attributable to:</w:t>
            </w:r>
          </w:p>
        </w:tc>
        <w:tc>
          <w:tcPr>
            <w:tcW w:w="16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16"/>
        </w:trPr>
        <w:tc>
          <w:tcPr>
            <w:tcW w:w="2200" w:type="dxa"/>
            <w:vAlign w:val="bottom"/>
          </w:tcPr>
          <w:p>
            <w:pPr>
              <w:ind w:left="80"/>
              <w:spacing w:after="0"/>
              <w:rPr>
                <w:sz w:val="20"/>
                <w:szCs w:val="20"/>
                <w:color w:val="auto"/>
              </w:rPr>
            </w:pPr>
            <w:r>
              <w:rPr>
                <w:rFonts w:ascii="Arial" w:cs="Arial" w:eastAsia="Arial" w:hAnsi="Arial"/>
                <w:sz w:val="18"/>
                <w:szCs w:val="18"/>
                <w:color w:val="auto"/>
              </w:rPr>
              <w:t>Current operations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222,000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36,000</w:t>
            </w:r>
          </w:p>
        </w:tc>
        <w:tc>
          <w:tcPr>
            <w:tcW w:w="60" w:type="dxa"/>
            <w:vAlign w:val="bottom"/>
          </w:tcPr>
          <w:p>
            <w:pPr>
              <w:spacing w:after="0"/>
              <w:rPr>
                <w:sz w:val="18"/>
                <w:szCs w:val="18"/>
                <w:color w:val="auto"/>
              </w:rPr>
            </w:pPr>
          </w:p>
        </w:tc>
      </w:tr>
      <w:tr>
        <w:trPr>
          <w:trHeight w:val="230"/>
        </w:trPr>
        <w:tc>
          <w:tcPr>
            <w:tcW w:w="2200" w:type="dxa"/>
            <w:vAlign w:val="bottom"/>
            <w:shd w:val="clear" w:color="auto" w:fill="CCEECC"/>
          </w:tcPr>
          <w:p>
            <w:pPr>
              <w:ind w:left="80"/>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(222,000)</w:t>
            </w:r>
          </w:p>
        </w:tc>
        <w:tc>
          <w:tcPr>
            <w:tcW w:w="8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(36,000)</w:t>
            </w:r>
          </w:p>
        </w:tc>
      </w:tr>
      <w:tr>
        <w:trPr>
          <w:trHeight w:val="182"/>
        </w:trPr>
        <w:tc>
          <w:tcPr>
            <w:tcW w:w="2200" w:type="dxa"/>
            <w:vAlign w:val="bottom"/>
          </w:tcPr>
          <w:p>
            <w:pPr>
              <w:ind w:left="260"/>
              <w:spacing w:after="0" w:line="182" w:lineRule="exact"/>
              <w:rPr>
                <w:sz w:val="20"/>
                <w:szCs w:val="20"/>
                <w:color w:val="auto"/>
              </w:rPr>
            </w:pPr>
            <w:r>
              <w:rPr>
                <w:rFonts w:ascii="Arial" w:cs="Arial" w:eastAsia="Arial" w:hAnsi="Arial"/>
                <w:sz w:val="18"/>
                <w:szCs w:val="18"/>
                <w:color w:val="auto"/>
              </w:rPr>
              <w:t>Net provision for federal</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57"/>
        </w:trPr>
        <w:tc>
          <w:tcPr>
            <w:tcW w:w="2200" w:type="dxa"/>
            <w:vAlign w:val="bottom"/>
          </w:tcPr>
          <w:p>
            <w:pPr>
              <w:spacing w:after="0"/>
              <w:rPr>
                <w:sz w:val="20"/>
                <w:szCs w:val="20"/>
                <w:color w:val="auto"/>
              </w:rPr>
            </w:pPr>
            <w:r>
              <w:rPr>
                <w:rFonts w:ascii="Arial" w:cs="Arial" w:eastAsia="Arial" w:hAnsi="Arial"/>
                <w:sz w:val="18"/>
                <w:szCs w:val="18"/>
                <w:color w:val="auto"/>
              </w:rPr>
              <w:t>income tax</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2"/>
                <w:szCs w:val="22"/>
                <w:color w:val="auto"/>
              </w:rPr>
            </w:pPr>
          </w:p>
        </w:tc>
      </w:tr>
      <w:tr>
        <w:trPr>
          <w:trHeight w:val="20"/>
        </w:trPr>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tax effect at the expected rate of 34% of significant items comprising our net deferred tax amount is as follows as of March 31,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24"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4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182"/>
        </w:trPr>
        <w:tc>
          <w:tcPr>
            <w:tcW w:w="2240" w:type="dxa"/>
            <w:vAlign w:val="bottom"/>
            <w:shd w:val="clear" w:color="auto" w:fill="CCEECC"/>
          </w:tcPr>
          <w:p>
            <w:pPr>
              <w:spacing w:after="0" w:line="182" w:lineRule="exact"/>
              <w:rPr>
                <w:sz w:val="20"/>
                <w:szCs w:val="20"/>
                <w:color w:val="auto"/>
              </w:rPr>
            </w:pPr>
            <w:r>
              <w:rPr>
                <w:rFonts w:ascii="Arial" w:cs="Arial" w:eastAsia="Arial" w:hAnsi="Arial"/>
                <w:sz w:val="18"/>
                <w:szCs w:val="18"/>
                <w:color w:val="auto"/>
                <w:w w:val="92"/>
              </w:rPr>
              <w:t>Deferred tax asset attributable</w:t>
            </w:r>
          </w:p>
        </w:tc>
        <w:tc>
          <w:tcPr>
            <w:tcW w:w="100" w:type="dxa"/>
            <w:vAlign w:val="bottom"/>
            <w:shd w:val="clear" w:color="auto" w:fill="CCEECC"/>
          </w:tcPr>
          <w:p>
            <w:pPr>
              <w:spacing w:after="0"/>
              <w:rPr>
                <w:sz w:val="15"/>
                <w:szCs w:val="15"/>
                <w:color w:val="auto"/>
              </w:rPr>
            </w:pPr>
          </w:p>
        </w:tc>
        <w:tc>
          <w:tcPr>
            <w:tcW w:w="160" w:type="dxa"/>
            <w:vAlign w:val="bottom"/>
            <w:shd w:val="clear" w:color="auto" w:fill="CCEECC"/>
          </w:tcPr>
          <w:p>
            <w:pPr>
              <w:spacing w:after="0"/>
              <w:rPr>
                <w:sz w:val="15"/>
                <w:szCs w:val="15"/>
                <w:color w:val="auto"/>
              </w:rPr>
            </w:pPr>
          </w:p>
        </w:tc>
        <w:tc>
          <w:tcPr>
            <w:tcW w:w="84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20" w:type="dxa"/>
            <w:vAlign w:val="bottom"/>
            <w:shd w:val="clear" w:color="auto" w:fill="CCEECC"/>
          </w:tcPr>
          <w:p>
            <w:pPr>
              <w:spacing w:after="0"/>
              <w:rPr>
                <w:sz w:val="15"/>
                <w:szCs w:val="15"/>
                <w:color w:val="auto"/>
              </w:rPr>
            </w:pPr>
          </w:p>
        </w:tc>
        <w:tc>
          <w:tcPr>
            <w:tcW w:w="140" w:type="dxa"/>
            <w:vAlign w:val="bottom"/>
            <w:shd w:val="clear" w:color="auto" w:fill="CCEECC"/>
          </w:tcPr>
          <w:p>
            <w:pPr>
              <w:spacing w:after="0"/>
              <w:rPr>
                <w:sz w:val="15"/>
                <w:szCs w:val="15"/>
                <w:color w:val="auto"/>
              </w:rPr>
            </w:pPr>
          </w:p>
        </w:tc>
        <w:tc>
          <w:tcPr>
            <w:tcW w:w="86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r>
      <w:tr>
        <w:trPr>
          <w:trHeight w:val="230"/>
        </w:trPr>
        <w:tc>
          <w:tcPr>
            <w:tcW w:w="2240" w:type="dxa"/>
            <w:vAlign w:val="bottom"/>
            <w:shd w:val="clear" w:color="auto" w:fill="CCEECC"/>
          </w:tcPr>
          <w:p>
            <w:pPr>
              <w:spacing w:after="0"/>
              <w:rPr>
                <w:sz w:val="20"/>
                <w:szCs w:val="20"/>
                <w:color w:val="auto"/>
              </w:rPr>
            </w:pPr>
            <w:r>
              <w:rPr>
                <w:rFonts w:ascii="Arial" w:cs="Arial" w:eastAsia="Arial" w:hAnsi="Arial"/>
                <w:sz w:val="18"/>
                <w:szCs w:val="18"/>
                <w:color w:val="auto"/>
              </w:rPr>
              <w:t>to:</w:t>
            </w:r>
          </w:p>
        </w:tc>
        <w:tc>
          <w:tcPr>
            <w:tcW w:w="1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8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8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16"/>
        </w:trPr>
        <w:tc>
          <w:tcPr>
            <w:tcW w:w="2240" w:type="dxa"/>
            <w:vAlign w:val="bottom"/>
          </w:tcPr>
          <w:p>
            <w:pPr>
              <w:ind w:left="80"/>
              <w:spacing w:after="0"/>
              <w:rPr>
                <w:sz w:val="20"/>
                <w:szCs w:val="20"/>
                <w:color w:val="auto"/>
              </w:rPr>
            </w:pPr>
            <w:r>
              <w:rPr>
                <w:rFonts w:ascii="Arial" w:cs="Arial" w:eastAsia="Arial" w:hAnsi="Arial"/>
                <w:sz w:val="18"/>
                <w:szCs w:val="18"/>
                <w:color w:val="auto"/>
                <w:w w:val="95"/>
              </w:rPr>
              <w:t>Net operating loss carryover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4,996,000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4,774,000</w:t>
            </w:r>
          </w:p>
        </w:tc>
        <w:tc>
          <w:tcPr>
            <w:tcW w:w="60" w:type="dxa"/>
            <w:vAlign w:val="bottom"/>
          </w:tcPr>
          <w:p>
            <w:pPr>
              <w:spacing w:after="0"/>
              <w:rPr>
                <w:sz w:val="18"/>
                <w:szCs w:val="18"/>
                <w:color w:val="auto"/>
              </w:rPr>
            </w:pPr>
          </w:p>
        </w:tc>
      </w:tr>
      <w:tr>
        <w:trPr>
          <w:trHeight w:val="230"/>
        </w:trPr>
        <w:tc>
          <w:tcPr>
            <w:tcW w:w="2240" w:type="dxa"/>
            <w:vAlign w:val="bottom"/>
            <w:shd w:val="clear" w:color="auto" w:fill="CCEECC"/>
          </w:tcPr>
          <w:p>
            <w:pPr>
              <w:ind w:left="8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w w:val="95"/>
              </w:rPr>
              <w:t>(4,996,000)</w:t>
            </w: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w w:val="95"/>
              </w:rPr>
              <w:t>(4,774,000)</w:t>
            </w:r>
          </w:p>
        </w:tc>
      </w:tr>
      <w:tr>
        <w:trPr>
          <w:trHeight w:val="223"/>
        </w:trPr>
        <w:tc>
          <w:tcPr>
            <w:tcW w:w="2240" w:type="dxa"/>
            <w:vAlign w:val="bottom"/>
          </w:tcPr>
          <w:p>
            <w:pPr>
              <w:ind w:left="260"/>
              <w:spacing w:after="0"/>
              <w:rPr>
                <w:sz w:val="20"/>
                <w:szCs w:val="20"/>
                <w:color w:val="auto"/>
              </w:rPr>
            </w:pPr>
            <w:r>
              <w:rPr>
                <w:rFonts w:ascii="Arial" w:cs="Arial" w:eastAsia="Arial" w:hAnsi="Arial"/>
                <w:sz w:val="18"/>
                <w:szCs w:val="18"/>
                <w:color w:val="auto"/>
              </w:rPr>
              <w:t>Net deferred tax asset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$14,371,000 for Federal income tax reporting purposes are subject to annual limitations. Should a change in ownership occur, net operating loss carry forwards may be limited as to use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16 –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three months ended March 31, 2014 and 2013, respectively:</w:t>
      </w:r>
    </w:p>
    <w:p>
      <w:pPr>
        <w:spacing w:after="0" w:line="225"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7"/>
          </w:tcPr>
          <w:p>
            <w:pPr>
              <w:ind w:left="180"/>
              <w:spacing w:after="0"/>
              <w:rPr>
                <w:sz w:val="20"/>
                <w:szCs w:val="20"/>
                <w:color w:val="auto"/>
              </w:rPr>
            </w:pPr>
            <w:r>
              <w:rPr>
                <w:rFonts w:ascii="Arial" w:cs="Arial" w:eastAsia="Arial" w:hAnsi="Arial"/>
                <w:sz w:val="18"/>
                <w:szCs w:val="18"/>
                <w:color w:val="auto"/>
              </w:rPr>
              <w:t>Three months ended</w:t>
            </w:r>
          </w:p>
        </w:tc>
      </w:tr>
      <w:tr>
        <w:trPr>
          <w:trHeight w:val="230"/>
        </w:trPr>
        <w:tc>
          <w:tcPr>
            <w:tcW w:w="2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color w:val="auto"/>
                <w:w w:val="89"/>
              </w:rPr>
              <w:t>March 31,</w:t>
            </w: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223"/>
        </w:trPr>
        <w:tc>
          <w:tcPr>
            <w:tcW w:w="2380" w:type="dxa"/>
            <w:vAlign w:val="bottom"/>
            <w:tcBorders>
              <w:bottom w:val="single" w:sz="8" w:color="CCEE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2013</w:t>
            </w:r>
          </w:p>
        </w:tc>
        <w:tc>
          <w:tcPr>
            <w:tcW w:w="60" w:type="dxa"/>
            <w:vAlign w:val="bottom"/>
            <w:tcBorders>
              <w:bottom w:val="single" w:sz="8" w:color="auto"/>
            </w:tcBorders>
          </w:tcPr>
          <w:p>
            <w:pPr>
              <w:spacing w:after="0"/>
              <w:rPr>
                <w:sz w:val="19"/>
                <w:szCs w:val="19"/>
                <w:color w:val="auto"/>
              </w:rPr>
            </w:pPr>
          </w:p>
        </w:tc>
      </w:tr>
      <w:tr>
        <w:trPr>
          <w:trHeight w:val="210"/>
        </w:trPr>
        <w:tc>
          <w:tcPr>
            <w:tcW w:w="2380" w:type="dxa"/>
            <w:vAlign w:val="bottom"/>
            <w:shd w:val="clear" w:color="auto" w:fill="CCEECC"/>
          </w:tcPr>
          <w:p>
            <w:pPr>
              <w:ind w:left="80"/>
              <w:spacing w:after="0"/>
              <w:rPr>
                <w:sz w:val="20"/>
                <w:szCs w:val="20"/>
                <w:color w:val="auto"/>
              </w:rPr>
            </w:pPr>
            <w:r>
              <w:rPr>
                <w:rFonts w:ascii="Arial" w:cs="Arial" w:eastAsia="Arial" w:hAnsi="Arial"/>
                <w:sz w:val="18"/>
                <w:szCs w:val="18"/>
                <w:color w:val="auto"/>
              </w:rPr>
              <w:t>Advertising</w:t>
            </w:r>
          </w:p>
        </w:tc>
        <w:tc>
          <w:tcPr>
            <w:tcW w:w="18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29,600</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9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3,340</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92,553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53,098</w:t>
            </w:r>
          </w:p>
        </w:tc>
        <w:tc>
          <w:tcPr>
            <w:tcW w:w="60" w:type="dxa"/>
            <w:vAlign w:val="bottom"/>
          </w:tcPr>
          <w:p>
            <w:pPr>
              <w:spacing w:after="0"/>
              <w:rPr>
                <w:sz w:val="18"/>
                <w:szCs w:val="18"/>
                <w:color w:val="auto"/>
              </w:rPr>
            </w:pPr>
          </w:p>
        </w:tc>
      </w:tr>
      <w:tr>
        <w:trPr>
          <w:trHeight w:val="216"/>
        </w:trPr>
        <w:tc>
          <w:tcPr>
            <w:tcW w:w="238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15,814</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20,407</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Arial" w:cs="Arial" w:eastAsia="Arial" w:hAnsi="Arial"/>
                <w:sz w:val="18"/>
                <w:szCs w:val="18"/>
                <w:color w:val="auto"/>
                <w:w w:val="99"/>
              </w:rPr>
              <w:t>Salaries, wages and benefits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349,096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375,071</w:t>
            </w:r>
          </w:p>
        </w:tc>
        <w:tc>
          <w:tcPr>
            <w:tcW w:w="60" w:type="dxa"/>
            <w:vAlign w:val="bottom"/>
          </w:tcPr>
          <w:p>
            <w:pPr>
              <w:spacing w:after="0"/>
              <w:rPr>
                <w:sz w:val="18"/>
                <w:szCs w:val="18"/>
                <w:color w:val="auto"/>
              </w:rPr>
            </w:pPr>
          </w:p>
        </w:tc>
      </w:tr>
      <w:tr>
        <w:trPr>
          <w:trHeight w:val="216"/>
        </w:trPr>
        <w:tc>
          <w:tcPr>
            <w:tcW w:w="2380" w:type="dxa"/>
            <w:vAlign w:val="bottom"/>
            <w:shd w:val="clear" w:color="auto" w:fill="CCEECC"/>
          </w:tcPr>
          <w:p>
            <w:pPr>
              <w:ind w:left="80"/>
              <w:spacing w:after="0"/>
              <w:rPr>
                <w:sz w:val="20"/>
                <w:szCs w:val="20"/>
                <w:color w:val="auto"/>
              </w:rPr>
            </w:pPr>
            <w:r>
              <w:rPr>
                <w:rFonts w:ascii="Arial" w:cs="Arial" w:eastAsia="Arial" w:hAnsi="Arial"/>
                <w:sz w:val="18"/>
                <w:szCs w:val="18"/>
                <w:color w:val="auto"/>
              </w:rPr>
              <w:t>Rent</w:t>
            </w: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15,148</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15,148</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Arial" w:cs="Arial" w:eastAsia="Arial" w:hAnsi="Arial"/>
                <w:sz w:val="18"/>
                <w:szCs w:val="18"/>
                <w:color w:val="auto"/>
                <w:w w:val="95"/>
              </w:rPr>
              <w:t>Depreciation and amortization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58,906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48,111</w:t>
            </w:r>
          </w:p>
        </w:tc>
        <w:tc>
          <w:tcPr>
            <w:tcW w:w="60" w:type="dxa"/>
            <w:vAlign w:val="bottom"/>
          </w:tcPr>
          <w:p>
            <w:pPr>
              <w:spacing w:after="0"/>
              <w:rPr>
                <w:sz w:val="18"/>
                <w:szCs w:val="18"/>
                <w:color w:val="auto"/>
              </w:rPr>
            </w:pPr>
          </w:p>
        </w:tc>
      </w:tr>
      <w:tr>
        <w:trPr>
          <w:trHeight w:val="216"/>
        </w:trPr>
        <w:tc>
          <w:tcPr>
            <w:tcW w:w="2380" w:type="dxa"/>
            <w:vAlign w:val="bottom"/>
            <w:shd w:val="clear" w:color="auto" w:fill="CCEECC"/>
          </w:tcPr>
          <w:p>
            <w:pPr>
              <w:ind w:left="80"/>
              <w:spacing w:after="0"/>
              <w:rPr>
                <w:sz w:val="20"/>
                <w:szCs w:val="20"/>
                <w:color w:val="auto"/>
              </w:rPr>
            </w:pPr>
            <w:r>
              <w:rPr>
                <w:rFonts w:ascii="Arial" w:cs="Arial" w:eastAsia="Arial" w:hAnsi="Arial"/>
                <w:sz w:val="18"/>
                <w:szCs w:val="18"/>
                <w:color w:val="auto"/>
              </w:rPr>
              <w:t>Settlement expense</w:t>
            </w: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421,577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30"/>
        </w:trPr>
        <w:tc>
          <w:tcPr>
            <w:tcW w:w="2380" w:type="dxa"/>
            <w:vAlign w:val="bottom"/>
            <w:shd w:val="clear" w:color="auto" w:fill="CCEECC"/>
          </w:tcPr>
          <w:p>
            <w:pPr>
              <w:ind w:left="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CC"/>
          </w:tcPr>
          <w:p>
            <w:pPr>
              <w:spacing w:after="0"/>
              <w:rPr>
                <w:sz w:val="19"/>
                <w:szCs w:val="19"/>
                <w:color w:val="auto"/>
              </w:rPr>
            </w:pPr>
          </w:p>
        </w:tc>
        <w:tc>
          <w:tcPr>
            <w:tcW w:w="8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89,264</w:t>
            </w:r>
          </w:p>
        </w:tc>
        <w:tc>
          <w:tcPr>
            <w:tcW w:w="6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6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8"/>
              </w:rPr>
              <w:t>218,794</w:t>
            </w:r>
          </w:p>
        </w:tc>
        <w:tc>
          <w:tcPr>
            <w:tcW w:w="60" w:type="dxa"/>
            <w:vAlign w:val="bottom"/>
            <w:shd w:val="clear" w:color="auto" w:fill="CCEECC"/>
          </w:tcPr>
          <w:p>
            <w:pPr>
              <w:spacing w:after="0"/>
              <w:rPr>
                <w:sz w:val="19"/>
                <w:szCs w:val="19"/>
                <w:color w:val="auto"/>
              </w:rPr>
            </w:pPr>
          </w:p>
        </w:tc>
      </w:tr>
      <w:tr>
        <w:trPr>
          <w:trHeight w:val="223"/>
        </w:trPr>
        <w:tc>
          <w:tcPr>
            <w:tcW w:w="2380" w:type="dxa"/>
            <w:vAlign w:val="bottom"/>
          </w:tcPr>
          <w:p>
            <w:pPr>
              <w:ind w:left="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1,471,958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733,969</w:t>
            </w:r>
          </w:p>
        </w:tc>
        <w:tc>
          <w:tcPr>
            <w:tcW w:w="60" w:type="dxa"/>
            <w:vAlign w:val="bottom"/>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RESTATEMENT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December 31, 2013, the Company corrected an accounting error related to revenue share expenses. The Company will accrue the expense for amounts due, versus when they are paid, for proper matching. The revenue share expense will now reflect the expense associated with the revenue from that particular quarter and year end. The Company will restate quarters 1 - 3 of 2013 as the 2014 quarterly statements are prepared. The full impact of the restatement is reflected in the December 31, 2013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restated Consolidated Balance Sheet, Consolidated Statement of Operations and Consolidated Statement of Cash Flows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2013 is as follows:</w:t>
      </w:r>
    </w:p>
    <w:p>
      <w:pPr>
        <w:spacing w:after="0" w:line="21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660" w:type="dxa"/>
            <w:vAlign w:val="bottom"/>
            <w:gridSpan w:val="4"/>
          </w:tcPr>
          <w:p>
            <w:pPr>
              <w:spacing w:after="0"/>
              <w:rPr>
                <w:sz w:val="20"/>
                <w:szCs w:val="20"/>
                <w:color w:val="auto"/>
              </w:rPr>
            </w:pPr>
            <w:r>
              <w:rPr>
                <w:rFonts w:ascii="Arial" w:cs="Arial" w:eastAsia="Arial" w:hAnsi="Arial"/>
                <w:sz w:val="18"/>
                <w:szCs w:val="18"/>
                <w:color w:val="auto"/>
              </w:rPr>
              <w:t>Three months ended March 31, 2013</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1940" w:type="dxa"/>
            <w:vAlign w:val="bottom"/>
            <w:tcBorders>
              <w:top w:val="single" w:sz="8" w:color="auto"/>
            </w:tcBorders>
            <w:gridSpan w:val="2"/>
            <w:shd w:val="clear" w:color="auto" w:fill="CCEECC"/>
          </w:tcPr>
          <w:p>
            <w:pPr>
              <w:ind w:left="80"/>
              <w:spacing w:after="0"/>
              <w:rPr>
                <w:sz w:val="20"/>
                <w:szCs w:val="20"/>
                <w:color w:val="auto"/>
              </w:rPr>
            </w:pPr>
            <w:r>
              <w:rPr>
                <w:rFonts w:ascii="Arial" w:cs="Arial" w:eastAsia="Arial" w:hAnsi="Arial"/>
                <w:sz w:val="18"/>
                <w:szCs w:val="18"/>
                <w:color w:val="auto"/>
              </w:rPr>
              <w:t>Financial Statement</w:t>
            </w:r>
          </w:p>
        </w:tc>
        <w:tc>
          <w:tcPr>
            <w:tcW w:w="1580" w:type="dxa"/>
            <w:vAlign w:val="bottom"/>
            <w:tcBorders>
              <w:top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rPr>
              <w:t>Line Item</w:t>
            </w:r>
          </w:p>
        </w:tc>
        <w:tc>
          <w:tcPr>
            <w:tcW w:w="140" w:type="dxa"/>
            <w:vAlign w:val="bottom"/>
            <w:tcBorders>
              <w:top w:val="single" w:sz="8" w:color="CCEECC"/>
            </w:tcBorders>
            <w:shd w:val="clear" w:color="auto" w:fill="CCEECC"/>
          </w:tcPr>
          <w:p>
            <w:pPr>
              <w:spacing w:after="0"/>
              <w:rPr>
                <w:sz w:val="19"/>
                <w:szCs w:val="19"/>
                <w:color w:val="auto"/>
              </w:rPr>
            </w:pPr>
          </w:p>
        </w:tc>
        <w:tc>
          <w:tcPr>
            <w:tcW w:w="400" w:type="dxa"/>
            <w:vAlign w:val="bottom"/>
            <w:tcBorders>
              <w:top w:val="single" w:sz="8" w:color="CCEECC"/>
            </w:tcBorders>
            <w:shd w:val="clear" w:color="auto" w:fill="CCEECC"/>
          </w:tcPr>
          <w:p>
            <w:pPr>
              <w:spacing w:after="0"/>
              <w:rPr>
                <w:sz w:val="19"/>
                <w:szCs w:val="19"/>
                <w:color w:val="auto"/>
              </w:rPr>
            </w:pPr>
          </w:p>
        </w:tc>
        <w:tc>
          <w:tcPr>
            <w:tcW w:w="1180" w:type="dxa"/>
            <w:vAlign w:val="bottom"/>
            <w:tcBorders>
              <w:top w:val="single" w:sz="8" w:color="CCEECC"/>
            </w:tcBorders>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Corrected</w:t>
            </w:r>
          </w:p>
        </w:tc>
        <w:tc>
          <w:tcPr>
            <w:tcW w:w="80" w:type="dxa"/>
            <w:vAlign w:val="bottom"/>
            <w:tcBorders>
              <w:top w:val="single" w:sz="8" w:color="CCEECC"/>
            </w:tcBorders>
            <w:shd w:val="clear" w:color="auto" w:fill="CCEECC"/>
          </w:tcPr>
          <w:p>
            <w:pPr>
              <w:spacing w:after="0"/>
              <w:rPr>
                <w:sz w:val="19"/>
                <w:szCs w:val="19"/>
                <w:color w:val="auto"/>
              </w:rPr>
            </w:pPr>
          </w:p>
        </w:tc>
        <w:tc>
          <w:tcPr>
            <w:tcW w:w="140" w:type="dxa"/>
            <w:vAlign w:val="bottom"/>
            <w:tcBorders>
              <w:top w:val="single" w:sz="8" w:color="CCEECC"/>
            </w:tcBorders>
            <w:shd w:val="clear" w:color="auto" w:fill="CCEECC"/>
          </w:tcPr>
          <w:p>
            <w:pPr>
              <w:spacing w:after="0"/>
              <w:rPr>
                <w:sz w:val="19"/>
                <w:szCs w:val="19"/>
                <w:color w:val="auto"/>
              </w:rPr>
            </w:pPr>
          </w:p>
        </w:tc>
        <w:tc>
          <w:tcPr>
            <w:tcW w:w="1380" w:type="dxa"/>
            <w:vAlign w:val="bottom"/>
            <w:tcBorders>
              <w:top w:val="single" w:sz="8" w:color="CCEECC"/>
            </w:tcBorders>
            <w:gridSpan w:val="2"/>
            <w:shd w:val="clear" w:color="auto" w:fill="CCEECC"/>
          </w:tcPr>
          <w:p>
            <w:pPr>
              <w:jc w:val="right"/>
              <w:ind w:right="60"/>
              <w:spacing w:after="0"/>
              <w:rPr>
                <w:sz w:val="20"/>
                <w:szCs w:val="20"/>
                <w:color w:val="auto"/>
              </w:rPr>
            </w:pPr>
            <w:r>
              <w:rPr>
                <w:rFonts w:ascii="Arial" w:cs="Arial" w:eastAsia="Arial" w:hAnsi="Arial"/>
                <w:sz w:val="18"/>
                <w:szCs w:val="18"/>
                <w:color w:val="auto"/>
                <w:w w:val="92"/>
              </w:rPr>
              <w:t>Previously Stated</w:t>
            </w:r>
          </w:p>
        </w:tc>
      </w:tr>
      <w:tr>
        <w:trPr>
          <w:trHeight w:val="195"/>
        </w:trPr>
        <w:tc>
          <w:tcPr>
            <w:tcW w:w="1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Revenue share</w:t>
            </w:r>
          </w:p>
        </w:tc>
        <w:tc>
          <w:tcPr>
            <w:tcW w:w="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194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expense</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159,815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40,203</w:t>
            </w:r>
          </w:p>
        </w:tc>
      </w:tr>
      <w:tr>
        <w:trPr>
          <w:trHeight w:val="202"/>
        </w:trPr>
        <w:tc>
          <w:tcPr>
            <w:tcW w:w="18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720" w:type="dxa"/>
            <w:vAlign w:val="bottom"/>
            <w:gridSpan w:val="2"/>
            <w:shd w:val="clear" w:color="auto" w:fill="CCEECC"/>
          </w:tcPr>
          <w:p>
            <w:pPr>
              <w:ind w:left="100"/>
              <w:spacing w:after="0" w:line="201" w:lineRule="exact"/>
              <w:rPr>
                <w:sz w:val="20"/>
                <w:szCs w:val="20"/>
                <w:color w:val="auto"/>
              </w:rPr>
            </w:pPr>
            <w:r>
              <w:rPr>
                <w:rFonts w:ascii="Arial" w:cs="Arial" w:eastAsia="Arial" w:hAnsi="Arial"/>
                <w:sz w:val="18"/>
                <w:szCs w:val="18"/>
                <w:color w:val="auto"/>
              </w:rPr>
              <w:t>Loss from</w:t>
            </w:r>
          </w:p>
        </w:tc>
        <w:tc>
          <w:tcPr>
            <w:tcW w:w="40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3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30"/>
        </w:trPr>
        <w:tc>
          <w:tcPr>
            <w:tcW w:w="19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72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operations</w:t>
            </w:r>
          </w:p>
        </w:tc>
        <w:tc>
          <w:tcPr>
            <w:tcW w:w="400" w:type="dxa"/>
            <w:vAlign w:val="bottom"/>
            <w:shd w:val="clear" w:color="auto" w:fill="CCEECC"/>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(224,494)</w:t>
            </w:r>
          </w:p>
        </w:tc>
        <w:tc>
          <w:tcPr>
            <w:tcW w:w="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(104,882)</w:t>
            </w:r>
          </w:p>
        </w:tc>
      </w:tr>
      <w:tr>
        <w:trPr>
          <w:trHeight w:val="202"/>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Loss before</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provision for</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94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income taxes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(224,438)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(104,826)</w:t>
            </w:r>
          </w:p>
        </w:tc>
      </w:tr>
      <w:tr>
        <w:trPr>
          <w:trHeight w:val="216"/>
        </w:trPr>
        <w:tc>
          <w:tcPr>
            <w:tcW w:w="19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72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CC"/>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(224,438)</w:t>
            </w:r>
          </w:p>
        </w:tc>
        <w:tc>
          <w:tcPr>
            <w:tcW w:w="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(104,826)</w:t>
            </w:r>
          </w:p>
        </w:tc>
      </w:tr>
      <w:tr>
        <w:trPr>
          <w:trHeight w:val="216"/>
        </w:trPr>
        <w:tc>
          <w:tcPr>
            <w:tcW w:w="1940" w:type="dxa"/>
            <w:vAlign w:val="bottom"/>
            <w:gridSpan w:val="2"/>
          </w:tcPr>
          <w:p>
            <w:pPr>
              <w:ind w:left="80"/>
              <w:spacing w:after="0"/>
              <w:rPr>
                <w:sz w:val="20"/>
                <w:szCs w:val="20"/>
                <w:color w:val="auto"/>
              </w:rPr>
            </w:pPr>
            <w:r>
              <w:rPr>
                <w:rFonts w:ascii="Arial" w:cs="Arial" w:eastAsia="Arial" w:hAnsi="Arial"/>
                <w:sz w:val="18"/>
                <w:szCs w:val="18"/>
                <w:color w:val="auto"/>
                <w:w w:val="96"/>
              </w:rPr>
              <w:t>Statement of cash flows</w:t>
            </w: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(224,438)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(104,826)</w:t>
            </w:r>
          </w:p>
        </w:tc>
      </w:tr>
      <w:tr>
        <w:trPr>
          <w:trHeight w:val="202"/>
        </w:trPr>
        <w:tc>
          <w:tcPr>
            <w:tcW w:w="18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720" w:type="dxa"/>
            <w:vAlign w:val="bottom"/>
            <w:gridSpan w:val="2"/>
            <w:shd w:val="clear" w:color="auto" w:fill="CCEECC"/>
          </w:tcPr>
          <w:p>
            <w:pPr>
              <w:ind w:left="100"/>
              <w:spacing w:after="0" w:line="201" w:lineRule="exact"/>
              <w:rPr>
                <w:sz w:val="20"/>
                <w:szCs w:val="20"/>
                <w:color w:val="auto"/>
              </w:rPr>
            </w:pPr>
            <w:r>
              <w:rPr>
                <w:rFonts w:ascii="Arial" w:cs="Arial" w:eastAsia="Arial" w:hAnsi="Arial"/>
                <w:sz w:val="18"/>
                <w:szCs w:val="18"/>
                <w:color w:val="auto"/>
              </w:rPr>
              <w:t>Increase in revenue</w:t>
            </w:r>
          </w:p>
        </w:tc>
        <w:tc>
          <w:tcPr>
            <w:tcW w:w="40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3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30"/>
        </w:trPr>
        <w:tc>
          <w:tcPr>
            <w:tcW w:w="19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w w:val="96"/>
              </w:rPr>
              <w:t>Statement of cash flows</w:t>
            </w:r>
          </w:p>
        </w:tc>
        <w:tc>
          <w:tcPr>
            <w:tcW w:w="172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share payable</w:t>
            </w:r>
          </w:p>
        </w:tc>
        <w:tc>
          <w:tcPr>
            <w:tcW w:w="400" w:type="dxa"/>
            <w:vAlign w:val="bottom"/>
            <w:shd w:val="clear" w:color="auto" w:fill="CCEECC"/>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119,612</w:t>
            </w:r>
          </w:p>
        </w:tc>
        <w:tc>
          <w:tcPr>
            <w:tcW w:w="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LAWSUIT SETTLEMENT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5, 2012, LDM Group, LLC (“LDM”) commenced an action against the Company in the United States District Court for the Eastern District of Missouri, Eastern Division. The complaint alleged that OptimizeRx infringed on a patent issued on February 21, 2012 in favor of LDM. LDM alleged that its patent is an invention of a method for making available targeted content to a prescription medication patient while the patient is still in the physician’s office. According to LDM, the Company’s Integrated SampleMD uses systems and methods that perform the elements of the LDM patent and, therefore, infringes on its patent. On February 25, 2013, a Settlement and Patent License Agreement was reached with LDM, and LDM subsequently dismissed the lawsuit with prejudice. On April 23, 2013, however, LDM reinstituted the patent infringement action in the United States District Court for the Eastern District of Missouri, Eastern Division claiming that OptimizeRx breached the Settlement and Patent License Agreement. The Company continued to vigorously defend the OptimizeRx technology, preparing for litigation, depositions and patent protection while also positioning for legal actions against LDM. On February 28, 2014, a Settlement Agreement was reached with LDM, and the judge dismissed the case with prejudice on March 18, 2014. Per the terms of the settlement agreement, the Company paid a one-time fee of $400,000 and will pay LDM the greater of $0.37 per patient discount distributed by OptimizeRx or 10% of the total revenue earned by OptimizeRx for distribution and redemption of all patent discounts. This amount was included in operating expenses in the consolidated statement of operations for the three months ended March 31,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NOTE 19 – 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12, 2014, the Company hired a new CFO. Per the terms of the employment agreement, the CFO will earn a salary of $125,000 per year and was granted 100,000 stock options as a signing bonus.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March 31, 2014 through the date these financial statements were issued and has determined that it does not have any material subsequent events to disclose in these financial statements other than the events described above.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2224B"/>
        </w:rPr>
        <w:t>Silberstein Ungar, PLLC CPAs and Business Advisors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Phone (248) 203-0080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www.sucpas.com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balance sheets of OptimizeRx Corporation as of December 31, 2013 and 2012, and the related consolidated statements of operations, stockholders’ equity, and cash flows for the years then ended. These financial statements are the responsibility of the Company’s management. Our responsibility is to express an opinion on these financial statements based on our audits.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2013 and 2012 and the results of their operations and cash flows for the years then ended, in conformity with accounting principles generally accepted in the United States.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2014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Consolidated Balance Sheet as of</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December 31, 2013 and 2012</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ind w:left="200"/>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vMerge w:val="restart"/>
          </w:tcPr>
          <w:p>
            <w:pPr>
              <w:ind w:left="2160"/>
              <w:spacing w:after="0"/>
              <w:rPr>
                <w:sz w:val="20"/>
                <w:szCs w:val="20"/>
                <w:color w:val="auto"/>
              </w:rPr>
            </w:pPr>
            <w:r>
              <w:rPr>
                <w:rFonts w:ascii="Arial" w:cs="Arial" w:eastAsia="Arial" w:hAnsi="Arial"/>
                <w:sz w:val="18"/>
                <w:szCs w:val="18"/>
                <w:b w:val="1"/>
                <w:bCs w:val="1"/>
                <w:color w:val="auto"/>
              </w:rPr>
              <w:t>ASSETS</w:t>
            </w: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2012</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CC"/>
          </w:tcPr>
          <w:p>
            <w:pPr>
              <w:jc w:val="right"/>
              <w:ind w:right="145"/>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gridSpan w:val="2"/>
            <w:shd w:val="clear" w:color="auto" w:fill="CCEECC"/>
          </w:tcPr>
          <w:p>
            <w:pPr>
              <w:jc w:val="right"/>
              <w:ind w:right="125"/>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1,566,964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616,798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Prepaid expenses</w:t>
            </w:r>
          </w:p>
        </w:tc>
        <w:tc>
          <w:tcPr>
            <w:tcW w:w="4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11,771</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68,158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Current Assets</w:t>
            </w:r>
          </w:p>
        </w:tc>
        <w:tc>
          <w:tcPr>
            <w:tcW w:w="4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2,696,978</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969,219</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CC"/>
          </w:tcPr>
          <w:p>
            <w:pPr>
              <w:spacing w:after="0"/>
              <w:rPr>
                <w:sz w:val="20"/>
                <w:szCs w:val="20"/>
                <w:color w:val="auto"/>
              </w:rPr>
            </w:pPr>
            <w:r>
              <w:rPr>
                <w:rFonts w:ascii="Arial" w:cs="Arial" w:eastAsia="Arial" w:hAnsi="Arial"/>
                <w:sz w:val="18"/>
                <w:szCs w:val="18"/>
                <w:color w:val="auto"/>
              </w:rPr>
              <w:t>Property and equipment, net</w:t>
            </w:r>
          </w:p>
        </w:tc>
        <w:tc>
          <w:tcPr>
            <w:tcW w:w="40" w:type="dxa"/>
            <w:vAlign w:val="bottom"/>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20,685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Assets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Patent rights, net</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885,950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793,236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Web development costs, net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404,986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387,215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Security deposit</w:t>
            </w:r>
          </w:p>
        </w:tc>
        <w:tc>
          <w:tcPr>
            <w:tcW w:w="4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Other Assets</w:t>
            </w:r>
          </w:p>
        </w:tc>
        <w:tc>
          <w:tcPr>
            <w:tcW w:w="4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1,295,985</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1,185,500</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ASSETS</w:t>
            </w:r>
          </w:p>
        </w:tc>
        <w:tc>
          <w:tcPr>
            <w:tcW w:w="40" w:type="dxa"/>
            <w:vAlign w:val="bottom"/>
            <w:tcBorders>
              <w:bottom w:val="single" w:sz="8" w:color="CCEECC"/>
            </w:tcBorders>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4,008,020</w:t>
            </w:r>
          </w:p>
        </w:tc>
        <w:tc>
          <w:tcPr>
            <w:tcW w:w="8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0" w:type="dxa"/>
            <w:vAlign w:val="bottom"/>
            <w:tcBorders>
              <w:bottom w:val="single" w:sz="8" w:color="CCEECC"/>
            </w:tcBorders>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2,175,404</w:t>
            </w:r>
          </w:p>
        </w:tc>
        <w:tc>
          <w:tcPr>
            <w:tcW w:w="8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LIABILITIES AND STOCKHOLDERS' EQUITY</w:t>
            </w: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spacing w:after="0"/>
              <w:rPr>
                <w:sz w:val="20"/>
                <w:szCs w:val="20"/>
                <w:color w:val="auto"/>
              </w:rPr>
            </w:pPr>
            <w:r>
              <w:rPr>
                <w:rFonts w:ascii="Arial" w:cs="Arial" w:eastAsia="Arial" w:hAnsi="Arial"/>
                <w:sz w:val="18"/>
                <w:szCs w:val="18"/>
                <w:color w:val="auto"/>
              </w:rPr>
              <w:t>Current Liabilities</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340" w:type="dxa"/>
            <w:vAlign w:val="bottom"/>
            <w:gridSpan w:val="2"/>
          </w:tcPr>
          <w:p>
            <w:pPr>
              <w:jc w:val="right"/>
              <w:ind w:right="145"/>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188,739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54,693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 - related party</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Revenue share payable</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1,193,661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90,577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CEECC"/>
            </w:tcBorders>
          </w:tcPr>
          <w:p>
            <w:pPr>
              <w:ind w:left="320"/>
              <w:spacing w:after="0"/>
              <w:rPr>
                <w:sz w:val="20"/>
                <w:szCs w:val="20"/>
                <w:color w:val="auto"/>
              </w:rPr>
            </w:pPr>
            <w:r>
              <w:rPr>
                <w:rFonts w:ascii="Arial" w:cs="Arial" w:eastAsia="Arial" w:hAnsi="Arial"/>
                <w:sz w:val="18"/>
                <w:szCs w:val="18"/>
                <w:color w:val="auto"/>
              </w:rPr>
              <w:t>Deferred revenue</w:t>
            </w:r>
          </w:p>
        </w:tc>
        <w:tc>
          <w:tcPr>
            <w:tcW w:w="4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49,252</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Total Liabilities</w:t>
            </w:r>
          </w:p>
        </w:tc>
        <w:tc>
          <w:tcPr>
            <w:tcW w:w="40" w:type="dxa"/>
            <w:vAlign w:val="bottom"/>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1,968,652</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770,522</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Stockholders' Equity</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CC"/>
          </w:tcPr>
          <w:p>
            <w:pPr>
              <w:ind w:left="320"/>
              <w:spacing w:after="0" w:line="201" w:lineRule="exact"/>
              <w:rPr>
                <w:sz w:val="20"/>
                <w:szCs w:val="20"/>
                <w:color w:val="auto"/>
              </w:rPr>
            </w:pPr>
            <w:r>
              <w:rPr>
                <w:rFonts w:ascii="Arial" w:cs="Arial" w:eastAsia="Arial" w:hAnsi="Arial"/>
                <w:sz w:val="18"/>
                <w:szCs w:val="18"/>
                <w:color w:val="auto"/>
                <w:w w:val="91"/>
              </w:rPr>
              <w:t>Preferred stock, $.001 par value, 10,000,000 shares authorized,</w:t>
            </w:r>
          </w:p>
        </w:tc>
        <w:tc>
          <w:tcPr>
            <w:tcW w:w="4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6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6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65 shares issued and outstanding</w:t>
            </w:r>
          </w:p>
        </w:tc>
        <w:tc>
          <w:tcPr>
            <w:tcW w:w="4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ind w:left="320"/>
              <w:spacing w:after="0" w:line="201" w:lineRule="exact"/>
              <w:rPr>
                <w:sz w:val="20"/>
                <w:szCs w:val="20"/>
                <w:color w:val="auto"/>
              </w:rPr>
            </w:pPr>
            <w:r>
              <w:rPr>
                <w:rFonts w:ascii="Arial" w:cs="Arial" w:eastAsia="Arial" w:hAnsi="Arial"/>
                <w:sz w:val="18"/>
                <w:szCs w:val="18"/>
                <w:color w:val="auto"/>
                <w:w w:val="89"/>
              </w:rPr>
              <w:t>Common stock, $.001 par value, 500,000,000 shares authorized,</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w w:val="98"/>
              </w:rPr>
              <w:t>14,773,496 and 14,232,496 shares issued and outstanding</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14,773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14,232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warrants</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18,148,049</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20,058,051</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Additional paid-in-capital</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8,726,708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6,164,666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Deferred stock compensation</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(233,942)</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(24,616,220)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(24,832,067)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Stockholders' Equity</w:t>
            </w:r>
          </w:p>
        </w:tc>
        <w:tc>
          <w:tcPr>
            <w:tcW w:w="4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bottom w:val="single" w:sz="8" w:color="auto"/>
            </w:tcBorders>
            <w:shd w:val="clear" w:color="auto" w:fill="CCEECC"/>
          </w:tcPr>
          <w:p>
            <w:pPr>
              <w:spacing w:after="0"/>
              <w:rPr>
                <w:sz w:val="18"/>
                <w:szCs w:val="18"/>
                <w:color w:val="auto"/>
              </w:rPr>
            </w:pPr>
          </w:p>
        </w:tc>
        <w:tc>
          <w:tcPr>
            <w:tcW w:w="16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2,039,368</w:t>
            </w:r>
          </w:p>
        </w:tc>
        <w:tc>
          <w:tcPr>
            <w:tcW w:w="8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bottom w:val="single" w:sz="8" w:color="auto"/>
            </w:tcBorders>
            <w:shd w:val="clear" w:color="auto" w:fill="CCEECC"/>
          </w:tcPr>
          <w:p>
            <w:pPr>
              <w:spacing w:after="0"/>
              <w:rPr>
                <w:sz w:val="18"/>
                <w:szCs w:val="18"/>
                <w:color w:val="auto"/>
              </w:rPr>
            </w:pPr>
          </w:p>
        </w:tc>
        <w:tc>
          <w:tcPr>
            <w:tcW w:w="16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1,404,882</w:t>
            </w: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4,008,020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2,175,404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Ended December 31, 2013 and 2012</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color w:val="auto"/>
                <w:w w:val="94"/>
              </w:rPr>
              <w:t>For the year 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December 31, 2013</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8"/>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NET REVENUE</w:t>
            </w:r>
          </w:p>
        </w:tc>
        <w:tc>
          <w:tcPr>
            <w:tcW w:w="22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4,957,016</w:t>
            </w:r>
          </w:p>
        </w:tc>
        <w:tc>
          <w:tcPr>
            <w:tcW w:w="360" w:type="dxa"/>
            <w:vAlign w:val="bottom"/>
            <w:gridSpan w:val="3"/>
            <w:shd w:val="clear" w:color="auto" w:fill="CCEECC"/>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1,989,086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CC"/>
            </w:tcBorders>
          </w:tcPr>
          <w:p>
            <w:pPr>
              <w:ind w:left="160"/>
              <w:spacing w:after="0"/>
              <w:rPr>
                <w:sz w:val="20"/>
                <w:szCs w:val="20"/>
                <w:color w:val="auto"/>
              </w:rPr>
            </w:pPr>
            <w:r>
              <w:rPr>
                <w:rFonts w:ascii="Arial" w:cs="Arial" w:eastAsia="Arial" w:hAnsi="Arial"/>
                <w:sz w:val="18"/>
                <w:szCs w:val="18"/>
                <w:color w:val="auto"/>
              </w:rPr>
              <w:t>REVENUE SHARE EXPENSE</w:t>
            </w:r>
          </w:p>
        </w:tc>
        <w:tc>
          <w:tcPr>
            <w:tcW w:w="2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1,767,425</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115,360</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spacing w:after="0"/>
              <w:rPr>
                <w:sz w:val="18"/>
                <w:szCs w:val="18"/>
                <w:color w:val="auto"/>
              </w:rPr>
            </w:pPr>
          </w:p>
        </w:tc>
        <w:tc>
          <w:tcPr>
            <w:tcW w:w="1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3,189,591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spacing w:after="0"/>
              <w:rPr>
                <w:sz w:val="18"/>
                <w:szCs w:val="18"/>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1,873,726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Operating expenses (See Note 17)</w:t>
            </w:r>
          </w:p>
        </w:tc>
        <w:tc>
          <w:tcPr>
            <w:tcW w:w="20" w:type="dxa"/>
            <w:vAlign w:val="bottom"/>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spacing w:after="0"/>
              <w:rPr>
                <w:sz w:val="19"/>
                <w:szCs w:val="19"/>
                <w:color w:val="auto"/>
              </w:rPr>
            </w:pPr>
          </w:p>
        </w:tc>
        <w:tc>
          <w:tcPr>
            <w:tcW w:w="1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2,973,990</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2,328,648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CC"/>
            </w:tcBorders>
          </w:tcPr>
          <w:p>
            <w:pPr>
              <w:ind w:left="16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215,601</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(454,922</w:t>
            </w:r>
          </w:p>
        </w:tc>
        <w:tc>
          <w:tcPr>
            <w:tcW w:w="8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CC"/>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CC"/>
            </w:tcBorders>
          </w:tcPr>
          <w:p>
            <w:pPr>
              <w:ind w:left="160"/>
              <w:spacing w:after="0"/>
              <w:rPr>
                <w:sz w:val="20"/>
                <w:szCs w:val="20"/>
                <w:color w:val="auto"/>
              </w:rPr>
            </w:pPr>
            <w:r>
              <w:rPr>
                <w:rFonts w:ascii="Arial" w:cs="Arial" w:eastAsia="Arial" w:hAnsi="Arial"/>
                <w:sz w:val="18"/>
                <w:szCs w:val="18"/>
                <w:color w:val="auto"/>
              </w:rPr>
              <w:t>TOTAL OTHER INCOME (EXPENSE)</w:t>
            </w:r>
          </w:p>
        </w:tc>
        <w:tc>
          <w:tcPr>
            <w:tcW w:w="2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5"/>
              </w:rPr>
              <w:t>INCOME (LOSS) BEFORE PROVISION FOR INCOME TAXES</w:t>
            </w: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(454,553)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CC"/>
            </w:tcBorders>
            <w:shd w:val="clear" w:color="auto" w:fill="CCEECC"/>
          </w:tcPr>
          <w:p>
            <w:pPr>
              <w:ind w:left="160"/>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8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(454,553</w:t>
            </w:r>
          </w:p>
        </w:tc>
        <w:tc>
          <w:tcPr>
            <w:tcW w:w="80" w:type="dxa"/>
            <w:vAlign w:val="bottom"/>
            <w:tcBorders>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0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020" w:type="dxa"/>
            <w:vAlign w:val="bottom"/>
            <w:gridSpan w:val="2"/>
          </w:tcPr>
          <w:p>
            <w:pPr>
              <w:spacing w:after="0"/>
              <w:rPr>
                <w:sz w:val="20"/>
                <w:szCs w:val="20"/>
                <w:color w:val="auto"/>
              </w:rPr>
            </w:pPr>
            <w:r>
              <w:rPr>
                <w:rFonts w:ascii="Arial" w:cs="Arial" w:eastAsia="Arial" w:hAnsi="Arial"/>
                <w:sz w:val="18"/>
                <w:szCs w:val="18"/>
                <w:color w:val="auto"/>
              </w:rPr>
              <w:t>OUTSTANDING: BASIC</w:t>
            </w: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14,388,017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14,211,455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top w:val="single" w:sz="8" w:color="CCEECC"/>
              <w:bottom w:val="single" w:sz="8" w:color="CCEECC"/>
            </w:tcBorders>
            <w:shd w:val="clear" w:color="auto" w:fill="CCEECC"/>
          </w:tcPr>
          <w:p>
            <w:pPr>
              <w:spacing w:after="0" w:line="190" w:lineRule="exact"/>
              <w:rPr>
                <w:sz w:val="20"/>
                <w:szCs w:val="20"/>
                <w:color w:val="auto"/>
              </w:rPr>
            </w:pPr>
            <w:r>
              <w:rPr>
                <w:rFonts w:ascii="Arial" w:cs="Arial" w:eastAsia="Arial" w:hAnsi="Arial"/>
                <w:sz w:val="18"/>
                <w:szCs w:val="18"/>
                <w:color w:val="auto"/>
              </w:rPr>
              <w:t>NET INCOME (LOSS) PER SHARE: BASIC</w:t>
            </w:r>
          </w:p>
        </w:tc>
        <w:tc>
          <w:tcPr>
            <w:tcW w:w="2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0.02</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(0.03</w:t>
            </w:r>
          </w:p>
        </w:tc>
        <w:tc>
          <w:tcPr>
            <w:tcW w:w="8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0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020" w:type="dxa"/>
            <w:vAlign w:val="bottom"/>
            <w:gridSpan w:val="2"/>
          </w:tcPr>
          <w:p>
            <w:pPr>
              <w:spacing w:after="0"/>
              <w:rPr>
                <w:sz w:val="20"/>
                <w:szCs w:val="20"/>
                <w:color w:val="auto"/>
              </w:rPr>
            </w:pPr>
            <w:r>
              <w:rPr>
                <w:rFonts w:ascii="Arial" w:cs="Arial" w:eastAsia="Arial" w:hAnsi="Arial"/>
                <w:sz w:val="18"/>
                <w:szCs w:val="18"/>
                <w:color w:val="auto"/>
              </w:rPr>
              <w:t>OUTSTANDING: DILUTED</w:t>
            </w: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14,713,017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14,211,455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top w:val="single" w:sz="8" w:color="CCEECC"/>
              <w:bottom w:val="single" w:sz="8" w:color="CCEECC"/>
            </w:tcBorders>
            <w:shd w:val="clear" w:color="auto" w:fill="CCEECC"/>
          </w:tcPr>
          <w:p>
            <w:pPr>
              <w:spacing w:after="0" w:line="190" w:lineRule="exact"/>
              <w:rPr>
                <w:sz w:val="20"/>
                <w:szCs w:val="20"/>
                <w:color w:val="auto"/>
              </w:rPr>
            </w:pPr>
            <w:r>
              <w:rPr>
                <w:rFonts w:ascii="Arial" w:cs="Arial" w:eastAsia="Arial" w:hAnsi="Arial"/>
                <w:sz w:val="18"/>
                <w:szCs w:val="18"/>
                <w:color w:val="auto"/>
              </w:rPr>
              <w:t>NET INCOME (LOSS) PER SHARE: DILUTED</w:t>
            </w:r>
          </w:p>
        </w:tc>
        <w:tc>
          <w:tcPr>
            <w:tcW w:w="2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0.01</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(0.03</w:t>
            </w:r>
          </w:p>
        </w:tc>
        <w:tc>
          <w:tcPr>
            <w:tcW w:w="8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Consolidated Statement of Stockholders’ Equity as of</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December 31, 2013</w:t>
      </w:r>
    </w:p>
    <w:p>
      <w:pPr>
        <w:spacing w:after="0" w:line="238"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Additional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Deferred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Total</w:t>
            </w:r>
          </w:p>
        </w:tc>
      </w:tr>
      <w:tr>
        <w:trPr>
          <w:trHeight w:val="243"/>
        </w:trPr>
        <w:tc>
          <w:tcPr>
            <w:tcW w:w="1160" w:type="dxa"/>
            <w:vAlign w:val="bottom"/>
          </w:tcPr>
          <w:p>
            <w:pPr>
              <w:spacing w:after="0"/>
              <w:rPr>
                <w:sz w:val="21"/>
                <w:szCs w:val="21"/>
                <w:color w:val="auto"/>
              </w:rPr>
            </w:pPr>
          </w:p>
        </w:tc>
        <w:tc>
          <w:tcPr>
            <w:tcW w:w="1740" w:type="dxa"/>
            <w:vAlign w:val="bottom"/>
            <w:gridSpan w:val="6"/>
          </w:tcPr>
          <w:p>
            <w:pPr>
              <w:jc w:val="right"/>
              <w:ind w:right="340"/>
              <w:spacing w:after="0"/>
              <w:rPr>
                <w:sz w:val="20"/>
                <w:szCs w:val="20"/>
                <w:color w:val="auto"/>
              </w:rPr>
            </w:pPr>
            <w:r>
              <w:rPr>
                <w:rFonts w:ascii="Arial" w:cs="Arial" w:eastAsia="Arial" w:hAnsi="Arial"/>
                <w:sz w:val="18"/>
                <w:szCs w:val="18"/>
                <w:color w:val="auto"/>
              </w:rPr>
              <w:t>Preferred Stock</w:t>
            </w:r>
          </w:p>
        </w:tc>
        <w:tc>
          <w:tcPr>
            <w:tcW w:w="1740" w:type="dxa"/>
            <w:vAlign w:val="bottom"/>
            <w:gridSpan w:val="6"/>
          </w:tcPr>
          <w:p>
            <w:pPr>
              <w:jc w:val="right"/>
              <w:ind w:right="320"/>
              <w:spacing w:after="0"/>
              <w:rPr>
                <w:sz w:val="20"/>
                <w:szCs w:val="20"/>
                <w:color w:val="auto"/>
              </w:rPr>
            </w:pPr>
            <w:r>
              <w:rPr>
                <w:rFonts w:ascii="Arial" w:cs="Arial" w:eastAsia="Arial" w:hAnsi="Arial"/>
                <w:sz w:val="18"/>
                <w:szCs w:val="18"/>
                <w:color w:val="auto"/>
              </w:rPr>
              <w:t>Common Stock</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Stock</w:t>
            </w:r>
          </w:p>
        </w:tc>
        <w:tc>
          <w:tcPr>
            <w:tcW w:w="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Paid-in</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Stock</w:t>
            </w: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w w:val="90"/>
              </w:rPr>
              <w:t>Accumulated</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Stockholders’</w:t>
            </w:r>
          </w:p>
        </w:tc>
      </w:tr>
      <w:tr>
        <w:trPr>
          <w:trHeight w:val="230"/>
        </w:trPr>
        <w:tc>
          <w:tcPr>
            <w:tcW w:w="11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Amount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Amount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Warrants</w:t>
            </w:r>
          </w:p>
        </w:tc>
        <w:tc>
          <w:tcPr>
            <w:tcW w:w="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Capital</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Compensation</w:t>
            </w:r>
          </w:p>
        </w:tc>
        <w:tc>
          <w:tcPr>
            <w:tcW w:w="1140" w:type="dxa"/>
            <w:vAlign w:val="bottom"/>
            <w:gridSpan w:val="4"/>
          </w:tcPr>
          <w:p>
            <w:pPr>
              <w:jc w:val="right"/>
              <w:ind w:right="400"/>
              <w:spacing w:after="0"/>
              <w:rPr>
                <w:sz w:val="20"/>
                <w:szCs w:val="20"/>
                <w:color w:val="auto"/>
              </w:rPr>
            </w:pPr>
            <w:r>
              <w:rPr>
                <w:rFonts w:ascii="Arial" w:cs="Arial" w:eastAsia="Arial" w:hAnsi="Arial"/>
                <w:sz w:val="18"/>
                <w:szCs w:val="18"/>
                <w:color w:val="auto"/>
              </w:rPr>
              <w:t>Deficit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Equity</w:t>
            </w:r>
          </w:p>
        </w:tc>
      </w:tr>
      <w:tr>
        <w:trPr>
          <w:trHeight w:val="182"/>
        </w:trPr>
        <w:tc>
          <w:tcPr>
            <w:tcW w:w="1160" w:type="dxa"/>
            <w:vAlign w:val="bottom"/>
            <w:tcBorders>
              <w:top w:val="single" w:sz="8" w:color="CCEECC"/>
            </w:tcBorders>
            <w:shd w:val="clear" w:color="auto" w:fill="CCEECC"/>
          </w:tcPr>
          <w:p>
            <w:pPr>
              <w:spacing w:after="0" w:line="182" w:lineRule="exact"/>
              <w:rPr>
                <w:sz w:val="20"/>
                <w:szCs w:val="20"/>
                <w:color w:val="auto"/>
              </w:rPr>
            </w:pPr>
            <w:r>
              <w:rPr>
                <w:rFonts w:ascii="Arial" w:cs="Arial" w:eastAsia="Arial" w:hAnsi="Arial"/>
                <w:sz w:val="18"/>
                <w:szCs w:val="18"/>
                <w:color w:val="auto"/>
              </w:rPr>
              <w:t>Balance,</w:t>
            </w: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74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6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92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9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20" w:type="dxa"/>
            <w:vAlign w:val="bottom"/>
            <w:tcBorders>
              <w:top w:val="single" w:sz="8" w:color="auto"/>
            </w:tcBorders>
            <w:shd w:val="clear" w:color="auto" w:fill="CCEECC"/>
          </w:tcPr>
          <w:p>
            <w:pPr>
              <w:spacing w:after="0"/>
              <w:rPr>
                <w:sz w:val="15"/>
                <w:szCs w:val="15"/>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88"/>
              </w:rPr>
              <w:t>January 1, 2012</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3"/>
              </w:rPr>
              <w:t>14,192,496</w:t>
            </w:r>
          </w:p>
        </w:tc>
        <w:tc>
          <w:tcPr>
            <w:tcW w:w="4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14,192</w:t>
            </w: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7"/>
              </w:rPr>
              <w:t>$20,826,934</w:t>
            </w: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4"/>
              </w:rPr>
              <w:t>$ 5,125,558</w:t>
            </w:r>
          </w:p>
        </w:tc>
        <w:tc>
          <w:tcPr>
            <w:tcW w:w="1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-0- $</w:t>
            </w:r>
          </w:p>
        </w:tc>
        <w:tc>
          <w:tcPr>
            <w:tcW w:w="1140" w:type="dxa"/>
            <w:vAlign w:val="bottom"/>
            <w:gridSpan w:val="4"/>
            <w:shd w:val="clear" w:color="auto" w:fill="CCEECC"/>
          </w:tcPr>
          <w:p>
            <w:pPr>
              <w:jc w:val="right"/>
              <w:spacing w:after="0"/>
              <w:rPr>
                <w:sz w:val="20"/>
                <w:szCs w:val="20"/>
                <w:color w:val="auto"/>
              </w:rPr>
            </w:pPr>
            <w:r>
              <w:rPr>
                <w:rFonts w:ascii="Arial" w:cs="Arial" w:eastAsia="Arial" w:hAnsi="Arial"/>
                <w:sz w:val="18"/>
                <w:szCs w:val="18"/>
                <w:color w:val="auto"/>
                <w:w w:val="99"/>
              </w:rPr>
              <w:t>(24,377,514)$</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1,589,170</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stock options: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1"/>
              </w:rPr>
              <w:t>to employees</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150,367</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150,367</w:t>
            </w: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02"/>
        </w:trPr>
        <w:tc>
          <w:tcPr>
            <w:tcW w:w="1160" w:type="dxa"/>
            <w:vAlign w:val="bottom"/>
          </w:tcPr>
          <w:p>
            <w:pPr>
              <w:ind w:left="160"/>
              <w:spacing w:after="0" w:line="201" w:lineRule="exact"/>
              <w:rPr>
                <w:sz w:val="20"/>
                <w:szCs w:val="20"/>
                <w:color w:val="auto"/>
              </w:rPr>
            </w:pPr>
            <w:r>
              <w:rPr>
                <w:rFonts w:ascii="Arial" w:cs="Arial" w:eastAsia="Arial" w:hAnsi="Arial"/>
                <w:sz w:val="18"/>
                <w:szCs w:val="18"/>
                <w:color w:val="auto"/>
              </w:rPr>
              <w:t>for</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ind w:left="160"/>
              <w:spacing w:after="0"/>
              <w:rPr>
                <w:sz w:val="20"/>
                <w:szCs w:val="20"/>
                <w:color w:val="auto"/>
              </w:rPr>
            </w:pPr>
            <w:r>
              <w:rPr>
                <w:rFonts w:ascii="Arial" w:cs="Arial" w:eastAsia="Arial" w:hAnsi="Arial"/>
                <w:sz w:val="18"/>
                <w:szCs w:val="18"/>
                <w:color w:val="auto"/>
              </w:rPr>
              <w:t>consulting</w:t>
            </w:r>
          </w:p>
        </w:tc>
        <w:tc>
          <w:tcPr>
            <w:tcW w:w="780" w:type="dxa"/>
            <w:vAlign w:val="bottom"/>
          </w:tcPr>
          <w:p>
            <w:pPr>
              <w:jc w:val="right"/>
              <w:spacing w:after="0"/>
              <w:rPr>
                <w:sz w:val="20"/>
                <w:szCs w:val="20"/>
                <w:color w:val="auto"/>
              </w:rPr>
            </w:pPr>
            <w:r>
              <w:rPr>
                <w:rFonts w:ascii="Arial" w:cs="Arial" w:eastAsia="Arial" w:hAnsi="Arial"/>
                <w:sz w:val="18"/>
                <w:szCs w:val="18"/>
                <w:color w:val="auto"/>
              </w:rPr>
              <w:t>75,098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75,098</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94"/>
              </w:rPr>
              <w:t>common stock:</w:t>
            </w: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16"/>
        </w:trPr>
        <w:tc>
          <w:tcPr>
            <w:tcW w:w="1160" w:type="dxa"/>
            <w:vAlign w:val="bottom"/>
          </w:tcPr>
          <w:p>
            <w:pPr>
              <w:ind w:left="160"/>
              <w:spacing w:after="0"/>
              <w:rPr>
                <w:sz w:val="20"/>
                <w:szCs w:val="20"/>
                <w:color w:val="auto"/>
              </w:rPr>
            </w:pPr>
            <w:r>
              <w:rPr>
                <w:rFonts w:ascii="Arial" w:cs="Arial" w:eastAsia="Arial" w:hAnsi="Arial"/>
                <w:sz w:val="18"/>
                <w:szCs w:val="18"/>
                <w:color w:val="auto"/>
              </w:rPr>
              <w:t>for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44,800</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1"/>
              </w:rPr>
              <w:t>Reclassification</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for options</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previously</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recorded as</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warrants</w:t>
            </w:r>
          </w:p>
        </w:tc>
        <w:tc>
          <w:tcPr>
            <w:tcW w:w="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(768,883)</w:t>
            </w: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768,883</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w w:val="94"/>
              </w:rPr>
              <w:t>Net loss for the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8"/>
                <w:szCs w:val="18"/>
                <w:color w:val="auto"/>
                <w:w w:val="97"/>
              </w:rPr>
              <w:t>year (restated)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(454,553)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(454,553)</w:t>
            </w: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82"/>
        </w:trPr>
        <w:tc>
          <w:tcPr>
            <w:tcW w:w="1160" w:type="dxa"/>
            <w:vAlign w:val="bottom"/>
            <w:tcBorders>
              <w:top w:val="single" w:sz="8" w:color="CCEECC"/>
            </w:tcBorders>
            <w:shd w:val="clear" w:color="auto" w:fill="CCEECC"/>
          </w:tcPr>
          <w:p>
            <w:pPr>
              <w:spacing w:after="0" w:line="182" w:lineRule="exact"/>
              <w:rPr>
                <w:sz w:val="20"/>
                <w:szCs w:val="20"/>
                <w:color w:val="auto"/>
              </w:rPr>
            </w:pPr>
            <w:r>
              <w:rPr>
                <w:rFonts w:ascii="Arial" w:cs="Arial" w:eastAsia="Arial" w:hAnsi="Arial"/>
                <w:sz w:val="18"/>
                <w:szCs w:val="18"/>
                <w:color w:val="auto"/>
              </w:rPr>
              <w:t>Balance,</w:t>
            </w: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74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6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92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9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20" w:type="dxa"/>
            <w:vAlign w:val="bottom"/>
            <w:tcBorders>
              <w:top w:val="single" w:sz="8" w:color="auto"/>
            </w:tcBorders>
            <w:shd w:val="clear" w:color="auto" w:fill="CCEECC"/>
          </w:tcPr>
          <w:p>
            <w:pPr>
              <w:spacing w:after="0"/>
              <w:rPr>
                <w:sz w:val="15"/>
                <w:szCs w:val="15"/>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December 31,</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93"/>
              </w:rPr>
              <w:t>2012 (restated)</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3"/>
              </w:rPr>
              <w:t>14,232,496</w:t>
            </w:r>
          </w:p>
        </w:tc>
        <w:tc>
          <w:tcPr>
            <w:tcW w:w="4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14,232</w:t>
            </w: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7"/>
              </w:rPr>
              <w:t>20,058,051</w:t>
            </w: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4"/>
              </w:rPr>
              <w:t>$ 6,164,666</w:t>
            </w:r>
          </w:p>
        </w:tc>
        <w:tc>
          <w:tcPr>
            <w:tcW w:w="1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-0- $</w:t>
            </w:r>
          </w:p>
        </w:tc>
        <w:tc>
          <w:tcPr>
            <w:tcW w:w="1140" w:type="dxa"/>
            <w:vAlign w:val="bottom"/>
            <w:gridSpan w:val="4"/>
            <w:shd w:val="clear" w:color="auto" w:fill="CCEECC"/>
          </w:tcPr>
          <w:p>
            <w:pPr>
              <w:jc w:val="right"/>
              <w:spacing w:after="0"/>
              <w:rPr>
                <w:sz w:val="20"/>
                <w:szCs w:val="20"/>
                <w:color w:val="auto"/>
              </w:rPr>
            </w:pPr>
            <w:r>
              <w:rPr>
                <w:rFonts w:ascii="Arial" w:cs="Arial" w:eastAsia="Arial" w:hAnsi="Arial"/>
                <w:sz w:val="18"/>
                <w:szCs w:val="18"/>
                <w:color w:val="auto"/>
                <w:w w:val="99"/>
              </w:rPr>
              <w:t>(24,832,067)$</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1,404,882</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stock options: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1"/>
              </w:rPr>
              <w:t>to employees</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7,720</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7,720</w:t>
            </w: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02"/>
        </w:trPr>
        <w:tc>
          <w:tcPr>
            <w:tcW w:w="1160" w:type="dxa"/>
            <w:vAlign w:val="bottom"/>
          </w:tcPr>
          <w:p>
            <w:pPr>
              <w:ind w:left="160"/>
              <w:spacing w:after="0" w:line="201" w:lineRule="exact"/>
              <w:rPr>
                <w:sz w:val="20"/>
                <w:szCs w:val="20"/>
                <w:color w:val="auto"/>
              </w:rPr>
            </w:pPr>
            <w:r>
              <w:rPr>
                <w:rFonts w:ascii="Arial" w:cs="Arial" w:eastAsia="Arial" w:hAnsi="Arial"/>
                <w:sz w:val="18"/>
                <w:szCs w:val="18"/>
                <w:color w:val="auto"/>
              </w:rPr>
              <w:t>for</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ind w:left="160"/>
              <w:spacing w:after="0"/>
              <w:rPr>
                <w:sz w:val="20"/>
                <w:szCs w:val="20"/>
                <w:color w:val="auto"/>
              </w:rPr>
            </w:pPr>
            <w:r>
              <w:rPr>
                <w:rFonts w:ascii="Arial" w:cs="Arial" w:eastAsia="Arial" w:hAnsi="Arial"/>
                <w:sz w:val="18"/>
                <w:szCs w:val="18"/>
                <w:color w:val="auto"/>
              </w:rPr>
              <w:t>consulting</w:t>
            </w:r>
          </w:p>
        </w:tc>
        <w:tc>
          <w:tcPr>
            <w:tcW w:w="780" w:type="dxa"/>
            <w:vAlign w:val="bottom"/>
          </w:tcPr>
          <w:p>
            <w:pPr>
              <w:jc w:val="right"/>
              <w:spacing w:after="0"/>
              <w:rPr>
                <w:sz w:val="20"/>
                <w:szCs w:val="20"/>
                <w:color w:val="auto"/>
              </w:rPr>
            </w:pPr>
            <w:r>
              <w:rPr>
                <w:rFonts w:ascii="Arial" w:cs="Arial" w:eastAsia="Arial" w:hAnsi="Arial"/>
                <w:sz w:val="18"/>
                <w:szCs w:val="18"/>
                <w:color w:val="auto"/>
              </w:rPr>
              <w:t>70,961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(59,134)</w:t>
            </w:r>
          </w:p>
        </w:tc>
        <w:tc>
          <w:tcPr>
            <w:tcW w:w="880" w:type="dxa"/>
            <w:vAlign w:val="bottom"/>
          </w:tcPr>
          <w:p>
            <w:pPr>
              <w:jc w:val="right"/>
              <w:spacing w:after="0"/>
              <w:rPr>
                <w:sz w:val="20"/>
                <w:szCs w:val="20"/>
                <w:color w:val="auto"/>
              </w:rPr>
            </w:pPr>
            <w:r>
              <w:rPr>
                <w:rFonts w:ascii="Arial" w:cs="Arial" w:eastAsia="Arial" w:hAnsi="Arial"/>
                <w:sz w:val="18"/>
                <w:szCs w:val="18"/>
                <w:color w:val="auto"/>
              </w:rPr>
              <w:t>11,827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94"/>
              </w:rPr>
              <w:t>common stock:</w:t>
            </w: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16"/>
        </w:trPr>
        <w:tc>
          <w:tcPr>
            <w:tcW w:w="1160" w:type="dxa"/>
            <w:vAlign w:val="bottom"/>
          </w:tcPr>
          <w:p>
            <w:pPr>
              <w:ind w:left="160"/>
              <w:spacing w:after="0"/>
              <w:rPr>
                <w:sz w:val="20"/>
                <w:szCs w:val="20"/>
                <w:color w:val="auto"/>
              </w:rPr>
            </w:pPr>
            <w:r>
              <w:rPr>
                <w:rFonts w:ascii="Arial" w:cs="Arial" w:eastAsia="Arial" w:hAnsi="Arial"/>
                <w:sz w:val="18"/>
                <w:szCs w:val="18"/>
                <w:color w:val="auto"/>
              </w:rPr>
              <w:t>for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68,900</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1160" w:type="dxa"/>
            <w:vAlign w:val="bottom"/>
            <w:shd w:val="clear" w:color="auto" w:fill="CCEECC"/>
          </w:tcPr>
          <w:p>
            <w:pPr>
              <w:ind w:left="160"/>
              <w:spacing w:after="0" w:line="201" w:lineRule="exact"/>
              <w:rPr>
                <w:sz w:val="20"/>
                <w:szCs w:val="20"/>
                <w:color w:val="auto"/>
              </w:rPr>
            </w:pPr>
            <w:r>
              <w:rPr>
                <w:rFonts w:ascii="Arial" w:cs="Arial" w:eastAsia="Arial" w:hAnsi="Arial"/>
                <w:sz w:val="18"/>
                <w:szCs w:val="18"/>
                <w:color w:val="auto"/>
              </w:rPr>
              <w:t>for</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9"/>
              </w:rPr>
              <w:t>employment</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severance</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504,500</w:t>
            </w: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0"/>
              </w:rPr>
              <w:t>(505,000)</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02"/>
        </w:trPr>
        <w:tc>
          <w:tcPr>
            <w:tcW w:w="1160" w:type="dxa"/>
            <w:vAlign w:val="bottom"/>
          </w:tcPr>
          <w:p>
            <w:pPr>
              <w:ind w:left="160"/>
              <w:spacing w:after="0" w:line="201" w:lineRule="exact"/>
              <w:rPr>
                <w:sz w:val="20"/>
                <w:szCs w:val="20"/>
                <w:color w:val="auto"/>
              </w:rPr>
            </w:pPr>
            <w:r>
              <w:rPr>
                <w:rFonts w:ascii="Arial" w:cs="Arial" w:eastAsia="Arial" w:hAnsi="Arial"/>
                <w:sz w:val="18"/>
                <w:szCs w:val="18"/>
                <w:color w:val="auto"/>
                <w:w w:val="93"/>
              </w:rPr>
              <w:t>for correction</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ind w:left="160"/>
              <w:spacing w:after="0"/>
              <w:rPr>
                <w:sz w:val="20"/>
                <w:szCs w:val="20"/>
                <w:color w:val="auto"/>
              </w:rPr>
            </w:pPr>
            <w:r>
              <w:rPr>
                <w:rFonts w:ascii="Arial" w:cs="Arial" w:eastAsia="Arial" w:hAnsi="Arial"/>
                <w:sz w:val="18"/>
                <w:szCs w:val="18"/>
                <w:color w:val="auto"/>
                <w:w w:val="95"/>
              </w:rPr>
              <w:t>of prior issue</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Reclassify</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expired</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warrants</w:t>
            </w:r>
          </w:p>
        </w:tc>
        <w:tc>
          <w:tcPr>
            <w:tcW w:w="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89"/>
              </w:rPr>
              <w:t>(1,910,002)</w:t>
            </w: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1,910,002</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Expense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consulting</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330,192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330,192</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7"/>
              </w:rPr>
              <w:t>Net income for</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44"/>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the period</w:t>
            </w: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6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60" w:type="dxa"/>
            <w:vAlign w:val="bottom"/>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66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920" w:type="dxa"/>
            <w:vAlign w:val="bottom"/>
            <w:tcBorders>
              <w:bottom w:val="single" w:sz="8" w:color="auto"/>
            </w:tcBorders>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1060" w:type="dxa"/>
            <w:vAlign w:val="bottom"/>
            <w:tcBorders>
              <w:bottom w:val="single" w:sz="8" w:color="auto"/>
            </w:tcBorders>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98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1020" w:type="dxa"/>
            <w:vAlign w:val="bottom"/>
            <w:tcBorders>
              <w:bottom w:val="single" w:sz="8" w:color="auto"/>
            </w:tcBorders>
            <w:shd w:val="clear" w:color="auto" w:fill="CCEECC"/>
          </w:tcPr>
          <w:p>
            <w:pPr>
              <w:spacing w:after="0"/>
              <w:rPr>
                <w:sz w:val="21"/>
                <w:szCs w:val="21"/>
                <w:color w:val="auto"/>
              </w:rPr>
            </w:pPr>
          </w:p>
        </w:tc>
      </w:tr>
      <w:tr>
        <w:trPr>
          <w:trHeight w:val="182"/>
        </w:trPr>
        <w:tc>
          <w:tcPr>
            <w:tcW w:w="116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December 31,</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18"/>
                <w:szCs w:val="18"/>
                <w:color w:val="auto"/>
              </w:rPr>
              <w:t>2013</w:t>
            </w: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14,773,496</w:t>
            </w:r>
          </w:p>
        </w:tc>
        <w:tc>
          <w:tcPr>
            <w:tcW w:w="4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14,773</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18,148,049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4"/>
              </w:rPr>
              <w:t>$ 8,726,708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(233,942)$</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w w:val="99"/>
              </w:rPr>
              <w:t>(24,616,220)$</w:t>
            </w:r>
          </w:p>
        </w:tc>
        <w:tc>
          <w:tcPr>
            <w:tcW w:w="1020" w:type="dxa"/>
            <w:vAlign w:val="bottom"/>
          </w:tcPr>
          <w:p>
            <w:pPr>
              <w:jc w:val="right"/>
              <w:spacing w:after="0"/>
              <w:rPr>
                <w:sz w:val="20"/>
                <w:szCs w:val="20"/>
                <w:color w:val="auto"/>
              </w:rPr>
            </w:pPr>
            <w:r>
              <w:rPr>
                <w:rFonts w:ascii="Arial" w:cs="Arial" w:eastAsia="Arial" w:hAnsi="Arial"/>
                <w:sz w:val="18"/>
                <w:szCs w:val="18"/>
                <w:color w:val="auto"/>
              </w:rPr>
              <w:t>2,039,368</w:t>
            </w:r>
          </w:p>
        </w:tc>
      </w:tr>
      <w:tr>
        <w:trPr>
          <w:trHeight w:val="20"/>
        </w:trPr>
        <w:tc>
          <w:tcPr>
            <w:tcW w:w="1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233" w:right="9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Ended December 31, 2013 and 2012</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For the year 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December 31, 2013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31, 2012</w:t>
            </w:r>
          </w:p>
        </w:tc>
        <w:tc>
          <w:tcPr>
            <w:tcW w:w="0" w:type="dxa"/>
            <w:vAlign w:val="bottom"/>
          </w:tcPr>
          <w:p>
            <w:pPr>
              <w:spacing w:after="0"/>
              <w:rPr>
                <w:sz w:val="1"/>
                <w:szCs w:val="1"/>
                <w:color w:val="auto"/>
              </w:rPr>
            </w:pPr>
          </w:p>
        </w:tc>
      </w:tr>
      <w:tr>
        <w:trPr>
          <w:trHeight w:val="224"/>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02"/>
        </w:trPr>
        <w:tc>
          <w:tcPr>
            <w:tcW w:w="4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Net income (loss) for the period</w:t>
            </w:r>
          </w:p>
        </w:tc>
        <w:tc>
          <w:tcPr>
            <w:tcW w:w="3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(454,553)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line="201" w:lineRule="exact"/>
              <w:rPr>
                <w:sz w:val="20"/>
                <w:szCs w:val="20"/>
                <w:color w:val="auto"/>
              </w:rPr>
            </w:pPr>
            <w:r>
              <w:rPr>
                <w:rFonts w:ascii="Arial" w:cs="Arial" w:eastAsia="Arial" w:hAnsi="Arial"/>
                <w:sz w:val="18"/>
                <w:szCs w:val="18"/>
                <w:color w:val="auto"/>
                <w:w w:val="92"/>
              </w:rPr>
              <w:t>Adjustments to reconcile net income (loss) to net cash provided by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(used in) operating activities: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193,791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187,104</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Stock issued for services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49,618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options issued for services</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19,547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40,007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399,092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180,640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Bad debt expense</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6,923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Changes 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(950,166)</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56,387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134,046</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(282,019)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1,103,084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90,577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(281,353)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tcBorders>
              <w:top w:val="single" w:sz="8" w:color="CCEECC"/>
            </w:tcBorders>
            <w:shd w:val="clear" w:color="auto" w:fill="CCEECC"/>
          </w:tcPr>
          <w:p>
            <w:pPr>
              <w:spacing w:after="0" w:line="178" w:lineRule="exact"/>
              <w:rPr>
                <w:sz w:val="20"/>
                <w:szCs w:val="20"/>
                <w:color w:val="auto"/>
              </w:rPr>
            </w:pPr>
            <w:r>
              <w:rPr>
                <w:rFonts w:ascii="Arial" w:cs="Arial" w:eastAsia="Arial" w:hAnsi="Arial"/>
                <w:sz w:val="18"/>
                <w:szCs w:val="18"/>
                <w:b w:val="1"/>
                <w:bCs w:val="1"/>
                <w:color w:val="auto"/>
              </w:rPr>
              <w:t>NET CASH PROVIDED BY (USED IN) OPERATING</w:t>
            </w:r>
          </w:p>
        </w:tc>
        <w:tc>
          <w:tcPr>
            <w:tcW w:w="120" w:type="dxa"/>
            <w:vAlign w:val="bottom"/>
            <w:tcBorders>
              <w:top w:val="single" w:sz="8" w:color="CCEECC"/>
            </w:tcBorders>
            <w:shd w:val="clear" w:color="auto" w:fill="CCEECC"/>
          </w:tcPr>
          <w:p>
            <w:pPr>
              <w:spacing w:after="0"/>
              <w:rPr>
                <w:sz w:val="15"/>
                <w:szCs w:val="15"/>
                <w:color w:val="auto"/>
              </w:rPr>
            </w:pPr>
          </w:p>
        </w:tc>
        <w:tc>
          <w:tcPr>
            <w:tcW w:w="180" w:type="dxa"/>
            <w:vAlign w:val="bottom"/>
            <w:tcBorders>
              <w:top w:val="single" w:sz="8" w:color="auto"/>
            </w:tcBorders>
            <w:shd w:val="clear" w:color="auto" w:fill="CCEECC"/>
          </w:tcPr>
          <w:p>
            <w:pPr>
              <w:spacing w:after="0"/>
              <w:rPr>
                <w:sz w:val="15"/>
                <w:szCs w:val="15"/>
                <w:color w:val="auto"/>
              </w:rPr>
            </w:pPr>
          </w:p>
        </w:tc>
        <w:tc>
          <w:tcPr>
            <w:tcW w:w="17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180" w:type="dxa"/>
            <w:vAlign w:val="bottom"/>
            <w:tcBorders>
              <w:top w:val="single" w:sz="8" w:color="auto"/>
            </w:tcBorders>
            <w:shd w:val="clear" w:color="auto" w:fill="CCEECC"/>
          </w:tcPr>
          <w:p>
            <w:pPr>
              <w:spacing w:after="0"/>
              <w:rPr>
                <w:sz w:val="15"/>
                <w:szCs w:val="15"/>
                <w:color w:val="auto"/>
              </w:rPr>
            </w:pPr>
          </w:p>
        </w:tc>
        <w:tc>
          <w:tcPr>
            <w:tcW w:w="172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shd w:val="clear" w:color="auto" w:fill="CCEECC"/>
          </w:tcPr>
          <w:p>
            <w:pPr>
              <w:spacing w:after="0"/>
              <w:rPr>
                <w:sz w:val="21"/>
                <w:szCs w:val="21"/>
                <w:color w:val="auto"/>
              </w:rPr>
            </w:pPr>
          </w:p>
        </w:tc>
        <w:tc>
          <w:tcPr>
            <w:tcW w:w="180" w:type="dxa"/>
            <w:vAlign w:val="bottom"/>
            <w:shd w:val="clear" w:color="auto" w:fill="CCEECC"/>
          </w:tcPr>
          <w:p>
            <w:pPr>
              <w:spacing w:after="0"/>
              <w:rPr>
                <w:sz w:val="21"/>
                <w:szCs w:val="21"/>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1,132,628</w:t>
            </w: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180" w:type="dxa"/>
            <w:vAlign w:val="bottom"/>
            <w:shd w:val="clear" w:color="auto" w:fill="CCEECC"/>
          </w:tcPr>
          <w:p>
            <w:pPr>
              <w:spacing w:after="0"/>
              <w:rPr>
                <w:sz w:val="21"/>
                <w:szCs w:val="21"/>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(624,033)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Patent rights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(150,588)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Web development costs</w:t>
            </w:r>
          </w:p>
        </w:tc>
        <w:tc>
          <w:tcPr>
            <w:tcW w:w="1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(148,060)</w:t>
            </w: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(48,640)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(298,648)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shd w:val="clear" w:color="auto" w:fill="CCEECC"/>
          </w:tcPr>
          <w:p>
            <w:pPr>
              <w:spacing w:after="0" w:line="198" w:lineRule="exact"/>
              <w:rPr>
                <w:sz w:val="20"/>
                <w:szCs w:val="20"/>
                <w:color w:val="auto"/>
              </w:rPr>
            </w:pPr>
            <w:r>
              <w:rPr>
                <w:rFonts w:ascii="Arial" w:cs="Arial" w:eastAsia="Arial" w:hAnsi="Arial"/>
                <w:sz w:val="18"/>
                <w:szCs w:val="18"/>
                <w:b w:val="1"/>
                <w:bCs w:val="1"/>
                <w:color w:val="auto"/>
              </w:rPr>
              <w:t>NET INCREASE (DECREASE) IN CASH AND CASH</w:t>
            </w:r>
          </w:p>
        </w:tc>
        <w:tc>
          <w:tcPr>
            <w:tcW w:w="12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7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EQUIVALENTS</w:t>
            </w:r>
          </w:p>
        </w:tc>
        <w:tc>
          <w:tcPr>
            <w:tcW w:w="1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833,980</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(674,903)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tcPr>
          <w:p>
            <w:pPr>
              <w:spacing w:after="0" w:line="198" w:lineRule="exact"/>
              <w:rPr>
                <w:sz w:val="20"/>
                <w:szCs w:val="20"/>
                <w:color w:val="auto"/>
              </w:rPr>
            </w:pPr>
            <w:r>
              <w:rPr>
                <w:rFonts w:ascii="Arial" w:cs="Arial" w:eastAsia="Arial" w:hAnsi="Arial"/>
                <w:sz w:val="18"/>
                <w:szCs w:val="18"/>
                <w:b w:val="1"/>
                <w:bCs w:val="1"/>
                <w:color w:val="auto"/>
              </w:rPr>
              <w:t>CASH AND CASH EQUIVALENTS - BEGINNING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959,166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Cash paid for interest</w:t>
            </w:r>
          </w:p>
        </w:tc>
        <w:tc>
          <w:tcPr>
            <w:tcW w:w="3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CC"/>
              <w:bottom w:val="single" w:sz="8" w:color="CCEECC"/>
            </w:tcBorders>
            <w:vMerge w:val="restart"/>
          </w:tcPr>
          <w:p>
            <w:pPr>
              <w:ind w:left="320"/>
              <w:spacing w:after="0"/>
              <w:rPr>
                <w:sz w:val="20"/>
                <w:szCs w:val="20"/>
                <w:color w:val="auto"/>
              </w:rPr>
            </w:pPr>
            <w:r>
              <w:rPr>
                <w:rFonts w:ascii="Arial" w:cs="Arial" w:eastAsia="Arial" w:hAnsi="Arial"/>
                <w:sz w:val="18"/>
                <w:szCs w:val="18"/>
                <w:color w:val="auto"/>
              </w:rPr>
              <w:t>Cash paid for income taxes</w:t>
            </w:r>
          </w:p>
        </w:tc>
        <w:tc>
          <w:tcPr>
            <w:tcW w:w="120" w:type="dxa"/>
            <w:vAlign w:val="bottom"/>
            <w:tcBorders>
              <w:top w:val="single" w:sz="8" w:color="CCEECC"/>
              <w:bottom w:val="single" w:sz="8" w:color="CCEECC"/>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20" w:type="dxa"/>
            <w:vAlign w:val="bottom"/>
            <w:tcBorders>
              <w:top w:val="single" w:sz="8" w:color="CCEECC"/>
              <w:bottom w:val="single" w:sz="8" w:color="CCEECC"/>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CCEECC"/>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20" w:type="dxa"/>
            <w:vAlign w:val="bottom"/>
            <w:shd w:val="clear" w:color="auto" w:fill="CCEECC"/>
          </w:tcPr>
          <w:p>
            <w:pPr>
              <w:spacing w:after="0" w:line="151" w:lineRule="exact"/>
              <w:rPr>
                <w:sz w:val="20"/>
                <w:szCs w:val="20"/>
                <w:color w:val="auto"/>
              </w:rPr>
            </w:pPr>
            <w:r>
              <w:rPr>
                <w:rFonts w:ascii="Arial" w:cs="Arial" w:eastAsia="Arial" w:hAnsi="Arial"/>
                <w:sz w:val="17"/>
                <w:szCs w:val="17"/>
                <w:b w:val="1"/>
                <w:bCs w:val="1"/>
                <w:color w:val="auto"/>
              </w:rPr>
              <w:t>SUPPLEMENTAL DISCLOSURE OF NONCASH</w:t>
            </w:r>
          </w:p>
        </w:tc>
        <w:tc>
          <w:tcPr>
            <w:tcW w:w="120" w:type="dxa"/>
            <w:vAlign w:val="bottom"/>
            <w:shd w:val="clear" w:color="auto" w:fill="CCEECC"/>
          </w:tcPr>
          <w:p>
            <w:pPr>
              <w:spacing w:after="0"/>
              <w:rPr>
                <w:sz w:val="13"/>
                <w:szCs w:val="13"/>
                <w:color w:val="auto"/>
              </w:rPr>
            </w:pPr>
          </w:p>
        </w:tc>
        <w:tc>
          <w:tcPr>
            <w:tcW w:w="180" w:type="dxa"/>
            <w:vAlign w:val="bottom"/>
            <w:shd w:val="clear" w:color="auto" w:fill="CCEECC"/>
          </w:tcPr>
          <w:p>
            <w:pPr>
              <w:spacing w:after="0"/>
              <w:rPr>
                <w:sz w:val="13"/>
                <w:szCs w:val="13"/>
                <w:color w:val="auto"/>
              </w:rPr>
            </w:pPr>
          </w:p>
        </w:tc>
        <w:tc>
          <w:tcPr>
            <w:tcW w:w="174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20" w:type="dxa"/>
            <w:vAlign w:val="bottom"/>
            <w:shd w:val="clear" w:color="auto" w:fill="CCEECC"/>
          </w:tcPr>
          <w:p>
            <w:pPr>
              <w:spacing w:after="0"/>
              <w:rPr>
                <w:sz w:val="13"/>
                <w:szCs w:val="13"/>
                <w:color w:val="auto"/>
              </w:rPr>
            </w:pPr>
          </w:p>
        </w:tc>
        <w:tc>
          <w:tcPr>
            <w:tcW w:w="180" w:type="dxa"/>
            <w:vAlign w:val="bottom"/>
            <w:shd w:val="clear" w:color="auto" w:fill="CCEECC"/>
          </w:tcPr>
          <w:p>
            <w:pPr>
              <w:spacing w:after="0"/>
              <w:rPr>
                <w:sz w:val="13"/>
                <w:szCs w:val="13"/>
                <w:color w:val="auto"/>
              </w:rPr>
            </w:pPr>
          </w:p>
        </w:tc>
        <w:tc>
          <w:tcPr>
            <w:tcW w:w="172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INVESTING AND FINANCING ACTIVITIES:</w:t>
            </w:r>
          </w:p>
        </w:tc>
        <w:tc>
          <w:tcPr>
            <w:tcW w:w="1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Common stock issued for future services</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233,942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cash, accounts receivable, prepaid expenses, patent rights, web development costs,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Bad debt expense was $0 and $6,923 for the years ended December 31, 2013 and 2012, respectively. The allowance for doubtful accounts was $0 as of December 31, 2013 and 2012.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revenue is recognized when it is earned. Revenues are generated either through the Company’s web-based activities, in which we earn revenue from advertising and lead generation activities, from our SampleMD activities by which we deliver eCoupons and eVouchers through a distribution network of ePrescribers and Electronic Health Record technology providers (channel partners), or from reselling services for other of our partners products that complement our business.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SampleMD business the company recognizes setup fees that are required for integrating client offerings and campaigns into the SampleMD content delivery system and network. Setup fees are recognized upon completion of the setup and launch of the client’s campaign within the SampleMD system. As the eCoupons and or eVouchers are distributed through the SampleMD platform and network of channel partners (a transaction), these transactions are recorded and revenue is recognized. Revenue for transactions can be realized as cost per distribution or cost per redemption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administered monthly and recognized as recurring monthly revenue.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on occasion has also resold products and or services that are available through our channel partners, and that is complementary to our core businesses and client base. In these events net revenue is recognized as this is a commission based revenue split that the company recognizes.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 depending upon if the revenue is generated through distributions and or redemptions and can also be specific to special considerations and campaigns. Traditionally, revenue share has been recognized between 25% and 50% of the transaction value. See Note 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included in the diluted earnings per share calculation for the year ended December 31, 2013. They have not been included in the diluted earnings per share calculation for the year ended December 31, 2012 since their effect is anti-dilutive.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December 31, 2013 and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1920" w:type="dxa"/>
            <w:vAlign w:val="bottom"/>
            <w:tcBorders>
              <w:bottom w:val="single" w:sz="8" w:color="CCEECC"/>
            </w:tcBorders>
          </w:tcPr>
          <w:p>
            <w:pPr>
              <w:spacing w:after="0"/>
              <w:rPr>
                <w:sz w:val="20"/>
                <w:szCs w:val="20"/>
                <w:color w:val="auto"/>
              </w:rPr>
            </w:pPr>
          </w:p>
        </w:tc>
        <w:tc>
          <w:tcPr>
            <w:tcW w:w="50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3420" w:type="dxa"/>
            <w:vAlign w:val="bottom"/>
          </w:tcPr>
          <w:p>
            <w:pPr>
              <w:spacing w:after="0"/>
              <w:rPr>
                <w:sz w:val="20"/>
                <w:szCs w:val="20"/>
                <w:color w:val="auto"/>
              </w:rPr>
            </w:pPr>
          </w:p>
        </w:tc>
      </w:tr>
      <w:tr>
        <w:trPr>
          <w:trHeight w:val="210"/>
        </w:trPr>
        <w:tc>
          <w:tcPr>
            <w:tcW w:w="3440" w:type="dxa"/>
            <w:vAlign w:val="bottom"/>
          </w:tcPr>
          <w:p>
            <w:pPr>
              <w:spacing w:after="0"/>
              <w:rPr>
                <w:sz w:val="18"/>
                <w:szCs w:val="18"/>
                <w:color w:val="auto"/>
              </w:rPr>
            </w:pPr>
          </w:p>
        </w:tc>
        <w:tc>
          <w:tcPr>
            <w:tcW w:w="192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Insurance</w:t>
            </w:r>
          </w:p>
        </w:tc>
        <w:tc>
          <w:tcPr>
            <w:tcW w:w="50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6,722</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6,437</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Rent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5,049</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92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5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31,672</w:t>
            </w: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192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Legal</w:t>
            </w:r>
          </w:p>
        </w:tc>
        <w:tc>
          <w:tcPr>
            <w:tcW w:w="50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3420" w:type="dxa"/>
            <w:vAlign w:val="bottom"/>
          </w:tcPr>
          <w:p>
            <w:pPr>
              <w:spacing w:after="0"/>
              <w:rPr>
                <w:sz w:val="19"/>
                <w:szCs w:val="19"/>
                <w:color w:val="auto"/>
              </w:rPr>
            </w:pPr>
          </w:p>
        </w:tc>
      </w:tr>
      <w:tr>
        <w:trPr>
          <w:trHeight w:val="223"/>
        </w:trPr>
        <w:tc>
          <w:tcPr>
            <w:tcW w:w="3440" w:type="dxa"/>
            <w:vAlign w:val="bottom"/>
          </w:tcPr>
          <w:p>
            <w:pPr>
              <w:spacing w:after="0"/>
              <w:rPr>
                <w:sz w:val="19"/>
                <w:szCs w:val="19"/>
                <w:color w:val="auto"/>
              </w:rPr>
            </w:pPr>
          </w:p>
        </w:tc>
        <w:tc>
          <w:tcPr>
            <w:tcW w:w="192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w w:val="97"/>
              </w:rPr>
              <w:t>Total prepaid expenses</w:t>
            </w:r>
          </w:p>
        </w:tc>
        <w:tc>
          <w:tcPr>
            <w:tcW w:w="50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11,771</w:t>
            </w:r>
          </w:p>
        </w:tc>
        <w:tc>
          <w:tcPr>
            <w:tcW w:w="40" w:type="dxa"/>
            <w:vAlign w:val="bottom"/>
            <w:tcBorders>
              <w:bottom w:val="single" w:sz="8" w:color="CCEECC"/>
            </w:tcBorders>
            <w:shd w:val="clear" w:color="auto" w:fill="CCEECC"/>
          </w:tcPr>
          <w:p>
            <w:pPr>
              <w:spacing w:after="0"/>
              <w:rPr>
                <w:sz w:val="19"/>
                <w:szCs w:val="19"/>
                <w:color w:val="auto"/>
              </w:rPr>
            </w:pPr>
          </w:p>
        </w:tc>
        <w:tc>
          <w:tcPr>
            <w:tcW w:w="6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68,158</w:t>
            </w:r>
          </w:p>
        </w:tc>
        <w:tc>
          <w:tcPr>
            <w:tcW w:w="34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86"/>
        </w:trPr>
        <w:tc>
          <w:tcPr>
            <w:tcW w:w="3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24"/>
        </w:trPr>
        <w:tc>
          <w:tcPr>
            <w:tcW w:w="3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F-24</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December 31, 2013 and 2012:</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18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18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80" w:type="dxa"/>
            <w:vAlign w:val="bottom"/>
            <w:tcBorders>
              <w:bottom w:val="single" w:sz="8" w:color="CCEECC"/>
            </w:tcBorders>
          </w:tcPr>
          <w:p>
            <w:pPr>
              <w:spacing w:after="0"/>
              <w:rPr>
                <w:sz w:val="19"/>
                <w:szCs w:val="19"/>
                <w:color w:val="auto"/>
              </w:rPr>
            </w:pPr>
          </w:p>
        </w:tc>
        <w:tc>
          <w:tcPr>
            <w:tcW w:w="4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Borders>
              <w:bottom w:val="single" w:sz="8" w:color="CCEECC"/>
            </w:tcBorders>
          </w:tcPr>
          <w:p>
            <w:pPr>
              <w:spacing w:after="0"/>
              <w:rPr>
                <w:sz w:val="19"/>
                <w:szCs w:val="19"/>
                <w:color w:val="auto"/>
              </w:rPr>
            </w:pPr>
          </w:p>
        </w:tc>
      </w:tr>
      <w:tr>
        <w:trPr>
          <w:trHeight w:val="210"/>
        </w:trPr>
        <w:tc>
          <w:tcPr>
            <w:tcW w:w="21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Subtotal</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Pr>
          <w:p>
            <w:pPr>
              <w:ind w:left="80"/>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(18,391)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(12,763)</w:t>
            </w:r>
          </w:p>
        </w:tc>
      </w:tr>
      <w:tr>
        <w:trPr>
          <w:trHeight w:val="223"/>
        </w:trPr>
        <w:tc>
          <w:tcPr>
            <w:tcW w:w="2400" w:type="dxa"/>
            <w:vAlign w:val="bottom"/>
            <w:tcBorders>
              <w:top w:val="single" w:sz="8" w:color="CCEECC"/>
              <w:bottom w:val="single" w:sz="8" w:color="CCEECC"/>
            </w:tcBorders>
            <w:gridSpan w:val="2"/>
            <w:shd w:val="clear" w:color="auto" w:fill="CCEECC"/>
          </w:tcPr>
          <w:p>
            <w:pPr>
              <w:ind w:left="260"/>
              <w:spacing w:after="0"/>
              <w:rPr>
                <w:sz w:val="20"/>
                <w:szCs w:val="20"/>
                <w:color w:val="auto"/>
              </w:rPr>
            </w:pPr>
            <w:r>
              <w:rPr>
                <w:rFonts w:ascii="Arial" w:cs="Arial" w:eastAsia="Arial" w:hAnsi="Arial"/>
                <w:sz w:val="18"/>
                <w:szCs w:val="18"/>
                <w:color w:val="auto"/>
                <w:w w:val="93"/>
              </w:rPr>
              <w:t>Property and equipment, net</w:t>
            </w:r>
          </w:p>
        </w:tc>
        <w:tc>
          <w:tcPr>
            <w:tcW w:w="220" w:type="dxa"/>
            <w:vAlign w:val="bottom"/>
            <w:tcBorders>
              <w:top w:val="single" w:sz="8" w:color="auto"/>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20,685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$5,628 and $5,476 for the years ended December 31, 2013 and 2012,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their web-based technology, which consisted of the following as of December 31, 2013 and 2012:</w:t>
      </w:r>
    </w:p>
    <w:p>
      <w:pPr>
        <w:spacing w:after="0" w:line="250"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264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72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w w:val="94"/>
              </w:rPr>
              <w:t>OptimizeRx web-based technology</w:t>
            </w: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18"/>
                <w:szCs w:val="18"/>
                <w:color w:val="auto"/>
              </w:rPr>
            </w:pPr>
          </w:p>
        </w:tc>
      </w:tr>
      <w:tr>
        <w:trPr>
          <w:trHeight w:val="216"/>
        </w:trPr>
        <w:tc>
          <w:tcPr>
            <w:tcW w:w="2640" w:type="dxa"/>
            <w:vAlign w:val="bottom"/>
          </w:tcPr>
          <w:p>
            <w:pPr>
              <w:ind w:left="80"/>
              <w:spacing w:after="0"/>
              <w:rPr>
                <w:sz w:val="20"/>
                <w:szCs w:val="20"/>
                <w:color w:val="auto"/>
              </w:rPr>
            </w:pPr>
            <w:r>
              <w:rPr>
                <w:rFonts w:ascii="Arial" w:cs="Arial" w:eastAsia="Arial" w:hAnsi="Arial"/>
                <w:sz w:val="18"/>
                <w:szCs w:val="18"/>
                <w:color w:val="auto"/>
                <w:w w:val="92"/>
              </w:rPr>
              <w:t>SampleMD web-based technology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18"/>
                <w:szCs w:val="18"/>
                <w:color w:val="auto"/>
              </w:rPr>
            </w:pPr>
          </w:p>
        </w:tc>
      </w:tr>
      <w:tr>
        <w:trPr>
          <w:trHeight w:val="202"/>
        </w:trPr>
        <w:tc>
          <w:tcPr>
            <w:tcW w:w="264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SampleMD 2.0 web-based</w:t>
            </w:r>
          </w:p>
        </w:tc>
        <w:tc>
          <w:tcPr>
            <w:tcW w:w="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44"/>
        </w:trPr>
        <w:tc>
          <w:tcPr>
            <w:tcW w:w="2640" w:type="dxa"/>
            <w:vAlign w:val="bottom"/>
            <w:shd w:val="clear" w:color="auto" w:fill="CCEECC"/>
          </w:tcPr>
          <w:p>
            <w:pPr>
              <w:ind w:left="80"/>
              <w:spacing w:after="0"/>
              <w:rPr>
                <w:sz w:val="20"/>
                <w:szCs w:val="20"/>
                <w:color w:val="auto"/>
              </w:rPr>
            </w:pPr>
            <w:r>
              <w:rPr>
                <w:rFonts w:ascii="Arial" w:cs="Arial" w:eastAsia="Arial" w:hAnsi="Arial"/>
                <w:sz w:val="18"/>
                <w:szCs w:val="18"/>
                <w:color w:val="auto"/>
              </w:rPr>
              <w:t>technology</w:t>
            </w:r>
          </w:p>
        </w:tc>
        <w:tc>
          <w:tcPr>
            <w:tcW w:w="80" w:type="dxa"/>
            <w:vAlign w:val="bottom"/>
            <w:shd w:val="clear" w:color="auto" w:fill="CCEECC"/>
          </w:tcPr>
          <w:p>
            <w:pPr>
              <w:spacing w:after="0"/>
              <w:rPr>
                <w:sz w:val="21"/>
                <w:szCs w:val="21"/>
                <w:color w:val="auto"/>
              </w:rPr>
            </w:pPr>
          </w:p>
        </w:tc>
        <w:tc>
          <w:tcPr>
            <w:tcW w:w="240" w:type="dxa"/>
            <w:vAlign w:val="bottom"/>
            <w:tcBorders>
              <w:bottom w:val="single" w:sz="8" w:color="auto"/>
            </w:tcBorders>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148,060</w:t>
            </w:r>
          </w:p>
        </w:tc>
        <w:tc>
          <w:tcPr>
            <w:tcW w:w="6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240" w:type="dxa"/>
            <w:vAlign w:val="bottom"/>
            <w:tcBorders>
              <w:bottom w:val="single" w:sz="8" w:color="auto"/>
            </w:tcBorders>
            <w:shd w:val="clear" w:color="auto" w:fill="CCEECC"/>
          </w:tcPr>
          <w:p>
            <w:pPr>
              <w:spacing w:after="0"/>
              <w:rPr>
                <w:sz w:val="21"/>
                <w:szCs w:val="21"/>
                <w:color w:val="auto"/>
              </w:rPr>
            </w:pPr>
          </w:p>
        </w:tc>
        <w:tc>
          <w:tcPr>
            <w:tcW w:w="8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1"/>
                <w:szCs w:val="21"/>
                <w:color w:val="auto"/>
              </w:rPr>
            </w:pPr>
          </w:p>
        </w:tc>
      </w:tr>
      <w:tr>
        <w:trPr>
          <w:trHeight w:val="210"/>
        </w:trPr>
        <w:tc>
          <w:tcPr>
            <w:tcW w:w="2640" w:type="dxa"/>
            <w:vAlign w:val="bottom"/>
          </w:tcPr>
          <w:p>
            <w:pPr>
              <w:ind w:left="260"/>
              <w:spacing w:after="0"/>
              <w:rPr>
                <w:sz w:val="20"/>
                <w:szCs w:val="20"/>
                <w:color w:val="auto"/>
              </w:rPr>
            </w:pPr>
            <w:r>
              <w:rPr>
                <w:rFonts w:ascii="Arial" w:cs="Arial" w:eastAsia="Arial" w:hAnsi="Arial"/>
                <w:sz w:val="18"/>
                <w:szCs w:val="18"/>
                <w:color w:val="auto"/>
                <w:w w:val="92"/>
              </w:rPr>
              <w:t>Subtotal, web-based technology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904,710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756,650</w:t>
            </w:r>
          </w:p>
        </w:tc>
        <w:tc>
          <w:tcPr>
            <w:tcW w:w="60" w:type="dxa"/>
            <w:vAlign w:val="bottom"/>
          </w:tcPr>
          <w:p>
            <w:pPr>
              <w:spacing w:after="0"/>
              <w:rPr>
                <w:sz w:val="18"/>
                <w:szCs w:val="18"/>
                <w:color w:val="auto"/>
              </w:rPr>
            </w:pPr>
          </w:p>
        </w:tc>
      </w:tr>
      <w:tr>
        <w:trPr>
          <w:trHeight w:val="216"/>
        </w:trPr>
        <w:tc>
          <w:tcPr>
            <w:tcW w:w="2640" w:type="dxa"/>
            <w:vAlign w:val="bottom"/>
            <w:shd w:val="clear" w:color="auto" w:fill="CCEECC"/>
          </w:tcPr>
          <w:p>
            <w:pPr>
              <w:ind w:left="80"/>
              <w:spacing w:after="0"/>
              <w:rPr>
                <w:sz w:val="20"/>
                <w:szCs w:val="20"/>
                <w:color w:val="auto"/>
              </w:rPr>
            </w:pPr>
            <w:r>
              <w:rPr>
                <w:rFonts w:ascii="Arial" w:cs="Arial" w:eastAsia="Arial" w:hAnsi="Arial"/>
                <w:sz w:val="18"/>
                <w:szCs w:val="18"/>
                <w:color w:val="auto"/>
              </w:rPr>
              <w:t>Accumulated amortization</w:t>
            </w:r>
          </w:p>
        </w:tc>
        <w:tc>
          <w:tcPr>
            <w:tcW w:w="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(440,641)</w:t>
            </w: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(310,352)</w:t>
            </w:r>
          </w:p>
        </w:tc>
      </w:tr>
      <w:tr>
        <w:trPr>
          <w:trHeight w:val="230"/>
        </w:trPr>
        <w:tc>
          <w:tcPr>
            <w:tcW w:w="2640" w:type="dxa"/>
            <w:vAlign w:val="bottom"/>
          </w:tcPr>
          <w:p>
            <w:pPr>
              <w:ind w:left="80"/>
              <w:spacing w:after="0"/>
              <w:rPr>
                <w:sz w:val="20"/>
                <w:szCs w:val="20"/>
                <w:color w:val="auto"/>
              </w:rPr>
            </w:pPr>
            <w:r>
              <w:rPr>
                <w:rFonts w:ascii="Arial" w:cs="Arial" w:eastAsia="Arial" w:hAnsi="Arial"/>
                <w:sz w:val="18"/>
                <w:szCs w:val="18"/>
                <w:color w:val="auto"/>
              </w:rPr>
              <w:t>Impairment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(59,083)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(59,083)</w:t>
            </w:r>
          </w:p>
        </w:tc>
      </w:tr>
      <w:tr>
        <w:trPr>
          <w:trHeight w:val="223"/>
        </w:trPr>
        <w:tc>
          <w:tcPr>
            <w:tcW w:w="264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rPr>
              <w:t>Web-based technology, net</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auto"/>
              <w:bottom w:val="single" w:sz="8" w:color="auto"/>
            </w:tcBorders>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404,986</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auto"/>
              <w:bottom w:val="single" w:sz="8" w:color="auto"/>
            </w:tcBorders>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387,215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is recorded using the straight-line method over a period of five years. The Company is currently developing enhanced SampleMD web-based technology and has capitalized $148,060. The development is currently in process. It was not completed at December 31, 2013. Accordingly, no amortization has been recorded. The development is expected to be completed in 2014. Amortization expense for the web-based technology costs was $130,289 and $126,923 for the years ended December 31,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26, 2010, the Company acquired from an officer and shareholder the technical contributions and assignment of all exclusive rights to and for the SampleMD patent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and defending the SampleMD patent, which consisted of the following as of December 31, 2013 and 2012:</w:t>
      </w:r>
    </w:p>
    <w:p>
      <w:pPr>
        <w:spacing w:after="0" w:line="262"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262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w w:val="91"/>
              </w:rPr>
              <w:t>Patent rights and intangible assets</w:t>
            </w:r>
          </w:p>
        </w:tc>
        <w:tc>
          <w:tcPr>
            <w:tcW w:w="10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18"/>
                <w:szCs w:val="18"/>
                <w:color w:val="auto"/>
              </w:rPr>
            </w:pPr>
          </w:p>
        </w:tc>
      </w:tr>
      <w:tr>
        <w:trPr>
          <w:trHeight w:val="216"/>
        </w:trPr>
        <w:tc>
          <w:tcPr>
            <w:tcW w:w="2620" w:type="dxa"/>
            <w:vAlign w:val="bottom"/>
          </w:tcPr>
          <w:p>
            <w:pPr>
              <w:ind w:left="80"/>
              <w:spacing w:after="0"/>
              <w:rPr>
                <w:sz w:val="20"/>
                <w:szCs w:val="20"/>
                <w:color w:val="auto"/>
              </w:rPr>
            </w:pPr>
            <w:r>
              <w:rPr>
                <w:rFonts w:ascii="Arial" w:cs="Arial" w:eastAsia="Arial" w:hAnsi="Arial"/>
                <w:sz w:val="18"/>
                <w:szCs w:val="18"/>
                <w:color w:val="auto"/>
              </w:rPr>
              <w:t>Patent defense costs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87,993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New patents and trademarks</w:t>
            </w:r>
          </w:p>
        </w:tc>
        <w:tc>
          <w:tcPr>
            <w:tcW w:w="10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62,595</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r>
      <w:tr>
        <w:trPr>
          <w:trHeight w:val="230"/>
        </w:trPr>
        <w:tc>
          <w:tcPr>
            <w:tcW w:w="2620" w:type="dxa"/>
            <w:vAlign w:val="bottom"/>
          </w:tcPr>
          <w:p>
            <w:pPr>
              <w:ind w:left="80"/>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(194,638)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(136,764)</w:t>
            </w:r>
          </w:p>
        </w:tc>
      </w:tr>
      <w:tr>
        <w:trPr>
          <w:trHeight w:val="182"/>
        </w:trPr>
        <w:tc>
          <w:tcPr>
            <w:tcW w:w="2620" w:type="dxa"/>
            <w:vAlign w:val="bottom"/>
            <w:tcBorders>
              <w:top w:val="single" w:sz="8" w:color="CCEECC"/>
            </w:tcBorders>
            <w:shd w:val="clear" w:color="auto" w:fill="CCEECC"/>
          </w:tcPr>
          <w:p>
            <w:pPr>
              <w:ind w:left="260"/>
              <w:spacing w:after="0" w:line="182" w:lineRule="exact"/>
              <w:rPr>
                <w:sz w:val="20"/>
                <w:szCs w:val="20"/>
                <w:color w:val="auto"/>
              </w:rPr>
            </w:pPr>
            <w:r>
              <w:rPr>
                <w:rFonts w:ascii="Arial" w:cs="Arial" w:eastAsia="Arial" w:hAnsi="Arial"/>
                <w:sz w:val="18"/>
                <w:szCs w:val="18"/>
                <w:color w:val="auto"/>
              </w:rPr>
              <w:t>Patent rights and intangible</w:t>
            </w:r>
          </w:p>
        </w:tc>
        <w:tc>
          <w:tcPr>
            <w:tcW w:w="100" w:type="dxa"/>
            <w:vAlign w:val="bottom"/>
            <w:tcBorders>
              <w:top w:val="single" w:sz="8" w:color="CCEECC"/>
            </w:tcBorders>
            <w:shd w:val="clear" w:color="auto" w:fill="CCEECC"/>
          </w:tcPr>
          <w:p>
            <w:pPr>
              <w:spacing w:after="0"/>
              <w:rPr>
                <w:sz w:val="15"/>
                <w:szCs w:val="15"/>
                <w:color w:val="auto"/>
              </w:rPr>
            </w:pPr>
          </w:p>
        </w:tc>
        <w:tc>
          <w:tcPr>
            <w:tcW w:w="240" w:type="dxa"/>
            <w:vAlign w:val="bottom"/>
            <w:tcBorders>
              <w:top w:val="single" w:sz="8" w:color="auto"/>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40" w:type="dxa"/>
            <w:vAlign w:val="bottom"/>
            <w:tcBorders>
              <w:top w:val="single" w:sz="8" w:color="auto"/>
            </w:tcBorders>
            <w:shd w:val="clear" w:color="auto" w:fill="CCEECC"/>
          </w:tcPr>
          <w:p>
            <w:pPr>
              <w:spacing w:after="0"/>
              <w:rPr>
                <w:sz w:val="15"/>
                <w:szCs w:val="15"/>
                <w:color w:val="auto"/>
              </w:rPr>
            </w:pPr>
          </w:p>
        </w:tc>
        <w:tc>
          <w:tcPr>
            <w:tcW w:w="8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r>
      <w:tr>
        <w:trPr>
          <w:trHeight w:val="257"/>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assets, net</w:t>
            </w:r>
          </w:p>
        </w:tc>
        <w:tc>
          <w:tcPr>
            <w:tcW w:w="340" w:type="dxa"/>
            <w:vAlign w:val="bottom"/>
            <w:gridSpan w:val="2"/>
            <w:shd w:val="clear" w:color="auto" w:fill="CCEEC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885,950</w:t>
            </w:r>
          </w:p>
        </w:tc>
        <w:tc>
          <w:tcPr>
            <w:tcW w:w="60" w:type="dxa"/>
            <w:vAlign w:val="bottom"/>
            <w:shd w:val="clear" w:color="auto" w:fill="CCEECC"/>
          </w:tcPr>
          <w:p>
            <w:pPr>
              <w:spacing w:after="0"/>
              <w:rPr>
                <w:sz w:val="22"/>
                <w:szCs w:val="22"/>
                <w:color w:val="auto"/>
              </w:rPr>
            </w:pPr>
          </w:p>
        </w:tc>
        <w:tc>
          <w:tcPr>
            <w:tcW w:w="300" w:type="dxa"/>
            <w:vAlign w:val="bottom"/>
            <w:gridSpan w:val="2"/>
            <w:shd w:val="clear" w:color="auto" w:fill="CCEECC"/>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793,236</w:t>
            </w:r>
          </w:p>
        </w:tc>
        <w:tc>
          <w:tcPr>
            <w:tcW w:w="60" w:type="dxa"/>
            <w:vAlign w:val="bottom"/>
            <w:shd w:val="clear" w:color="auto" w:fill="CCEECC"/>
          </w:tcPr>
          <w:p>
            <w:pPr>
              <w:spacing w:after="0"/>
              <w:rPr>
                <w:sz w:val="22"/>
                <w:szCs w:val="22"/>
                <w:color w:val="auto"/>
              </w:rPr>
            </w:pPr>
          </w:p>
        </w:tc>
      </w:tr>
      <w:tr>
        <w:trPr>
          <w:trHeight w:val="20"/>
        </w:trPr>
        <w:tc>
          <w:tcPr>
            <w:tcW w:w="262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$57,874 and $54,705 for the years ended December 31,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7 – ACCRUED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Accrued expenses at December 31, 2013 and 2012 consisted of amounts owed to the Company’s outside independent auditors for services rendered for periods reported on in these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8 – DEFERRED 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signed several contracts with customers for either the distribution or redemption of coupons. The payments are not taken into revenue until either the coupon is distributed to a patient or the coupon has been redeemed depending on the specific contract. The distributions and redemptions are tracked by the Company’s administrative tool. Additionally, customer setup contracts that have been paid in full are deferred until the Company has completed the obligations of the contacts. Deferred revenue was $4,252 and $49,252 as of December 31, 2013 and 2012,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9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December 31, 2013. There were 14,773,496 and 14,232,496 common shares issued and outstanding at December 31, 2013 and 2012, respectively.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2012, the Company entered into a consulting agreement with North Coast Advisors, Inc. for various services. The Company agreed to issue 40,000 shares of common stock as of the date of the contract. However, these shares were not issued until July 12, 2012. The Company also agreed to issue an additional 40,000 shares every six months in alignment with the agreement renewal up to the two years of the agreement. The first 40,000 shares were valued at the Company’s common stock price as of the date of the contract, which was $1.12/share and has been expensed. No additional shares were issued and the agreement was voided and replaced by a new agreement as noted below.</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closing price as of the date of the contract, which was $1.945/share; and the second 20,000 shares were valued at the Company’s common stock closing price of $1.50/share on the date of issuance, and have been expensed.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20, 2013, the Company entered into a separation agreement that includes post-employment consulting services with a former officer. The Company agreed to issue 500,000 shares of common stock, 250,000 shares immediately and 250,000 by January 1, 2014. The first 250,000 shares have been issued and the Company has recognized the entire issuance in the December 31, 2013 shares outstanding. The shares were valued at $505,000 and $174,808 of that amount remains as deferred stock compensation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and undeclared dividends of $350,000 that were due in February and September 2013 for a total undeclared amount of $700,000 as of December 31, 2013.</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1,000,000 shares of common stock and bear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and undeclared dividends of $150,000 that were due in February and September 2013 for a total undeclared amount of $300,000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$187,005 during the year ended December 31, 2011. The remaining balance of $133,580 was recognized over the first five months of 2012.</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quarter ended December 31, 2011, the Company issued 20,000 stock options to 2 employees at an exercise price of $1.00. The options were valued on the grant date using the Black-Scholes option-pricing model with the following assumptions: dividend yield of 0%, expected volatility of 204-205%, risk-free interest rate of 0.88-0.93% and expected life of 60 months. The total value of the options was $19,270. The options vest over one year. The Company recognized share-based compensation expense of $2,480 and $16,790 during the years ended December 31, 2012 and 2011, respectively.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21, 2011, the Company issued 100,000 stock options to an individual at an exercise price of $0.73. The options were valued on the grant date using the Black-Scholes option-pricing model with the following assumptions: dividend yield of 0%, expected volatility of 205%, risk-free interest rate of 0.92% and expected life of 60 months. The Company recognized expenses of $91,811 and $8,346 during the years ended December 31, 2012 and 2011, respectively.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March 31, 2012, the Company issued 50,000 stock options to 4 non-employees at an exercise price of $0.89. The options were valued on the grant date using the Black-Scholes option-pricing model with the following assumptions: dividend yield of 0%, expected volatility of 198%, risk-free interest rate of 0.65% and expected life of 48 months. The total value of the options was $35,091. The options vest over 4 months. The Company recognized share-based compensation expense of $35,091 during the six months ended June 30, 2012.</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December 31, 2012, the Company issued 25,000 stock options to a non-employee at an exercise price of $1.58. The options were valued on the grant date using the Black-Scholes option-pricing model with the following assumptions: dividend yield of 0%, expected volatility of 200%, risk-free interest rate of 0.67% and expected life of 60 months. The total value of the options was $40,007. The options vest over 1 year. The Company recognized share-based compensation expense of $31,672 and $8,335 during the years ended December 31, 2013 and 2012, respectively.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30, 2013, the Company issued 50,000 stock options to 6 employees at an exercise price of $1.00. The options were valued on the grant date using the Black-Scholes option-pricing model with the following assumptions: dividend yield of 0%, expected volatility of 171%, risk-free interest rate of 1.30% and expected life of 60 months. The total value of the options was $46,322. The options vest over one year. The Company recognized share-based compensation expense of $7,720 during the year ended December 31, 2013. The remaining balance will be recognized during 2014.</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8, 2013, the Company issued 75,000 stock options to 2 non-employees at an exercise price of $1.00. The options were valued on the grant date using the Black-Scholes option-pricing model with the following assumptions: dividend yield of 0%, expected volatility of 171%, risk-free interest rate of 1.42% and expected life of 60 months. The total value of the options was $70,961. The options vest over 1 year. The Company recognized share-based compensation expense of $11,827 during the three months ended December 31, 2013. The remaining balance of $59,134 has been recorded as deferred stock compensation and will be recognized during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options outstanding as of December 31, 2013:</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80" w:type="dxa"/>
            <w:vAlign w:val="bottom"/>
            <w:tcBorders>
              <w:bottom w:val="single" w:sz="8" w:color="CCEECC"/>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Number of Options</w:t>
            </w:r>
          </w:p>
        </w:tc>
        <w:tc>
          <w:tcPr>
            <w:tcW w:w="4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gridSpan w:val="2"/>
            <w:shd w:val="clear" w:color="auto" w:fill="CCEECC"/>
          </w:tcPr>
          <w:p>
            <w:pPr>
              <w:ind w:left="40"/>
              <w:spacing w:after="0" w:line="182" w:lineRule="exact"/>
              <w:rPr>
                <w:sz w:val="20"/>
                <w:szCs w:val="20"/>
                <w:color w:val="auto"/>
              </w:rPr>
            </w:pPr>
            <w:r>
              <w:rPr>
                <w:rFonts w:ascii="Arial" w:cs="Arial" w:eastAsia="Arial" w:hAnsi="Arial"/>
                <w:sz w:val="18"/>
                <w:szCs w:val="18"/>
                <w:color w:val="auto"/>
                <w:w w:val="96"/>
              </w:rPr>
              <w:t>Outstanding, January 1,</w:t>
            </w:r>
          </w:p>
        </w:tc>
        <w:tc>
          <w:tcPr>
            <w:tcW w:w="180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405,000</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- 2012</w:t>
            </w:r>
          </w:p>
        </w:tc>
        <w:tc>
          <w:tcPr>
            <w:tcW w:w="1800" w:type="dxa"/>
            <w:vAlign w:val="bottom"/>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- 2012</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2012</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(455,000)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w w:val="97"/>
              </w:rPr>
              <w:t>Balance, December</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31, 2012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2013</w:t>
            </w:r>
          </w:p>
        </w:tc>
        <w:tc>
          <w:tcPr>
            <w:tcW w:w="1800" w:type="dxa"/>
            <w:vAlign w:val="bottom"/>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2013</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rPr>
              <w:t>Balance,</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December 31,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CC"/>
          </w:tcPr>
          <w:p>
            <w:pPr>
              <w:spacing w:after="0"/>
              <w:rPr>
                <w:sz w:val="20"/>
                <w:szCs w:val="20"/>
                <w:color w:val="auto"/>
              </w:rPr>
            </w:pP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outstanding as of December 31, 2013:</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80" w:type="dxa"/>
            <w:vAlign w:val="bottom"/>
            <w:tcBorders>
              <w:bottom w:val="single" w:sz="8" w:color="CCEECC"/>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Number of Warrants</w:t>
            </w:r>
          </w:p>
        </w:tc>
        <w:tc>
          <w:tcPr>
            <w:tcW w:w="4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gridSpan w:val="2"/>
            <w:shd w:val="clear" w:color="auto" w:fill="CCEECC"/>
          </w:tcPr>
          <w:p>
            <w:pPr>
              <w:ind w:left="40"/>
              <w:spacing w:after="0" w:line="182" w:lineRule="exact"/>
              <w:rPr>
                <w:sz w:val="20"/>
                <w:szCs w:val="20"/>
                <w:color w:val="auto"/>
              </w:rPr>
            </w:pPr>
            <w:r>
              <w:rPr>
                <w:rFonts w:ascii="Arial" w:cs="Arial" w:eastAsia="Arial" w:hAnsi="Arial"/>
                <w:sz w:val="18"/>
                <w:szCs w:val="18"/>
                <w:color w:val="auto"/>
                <w:w w:val="96"/>
              </w:rPr>
              <w:t>Outstanding, January 1,</w:t>
            </w:r>
          </w:p>
        </w:tc>
        <w:tc>
          <w:tcPr>
            <w:tcW w:w="180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- 2012</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- 2012</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- 2012</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w w:val="97"/>
              </w:rPr>
              <w:t>Balance, December</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31, 2012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- 2013</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- 2013</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(686,100)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rPr>
              <w:t>Balance,</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December 31,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13,658,334</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CC"/>
          </w:tcPr>
          <w:p>
            <w:pPr>
              <w:spacing w:after="0"/>
              <w:rPr>
                <w:sz w:val="20"/>
                <w:szCs w:val="20"/>
                <w:color w:val="auto"/>
              </w:rPr>
            </w:pP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 Minimum annual rent is as follows for the initial term of the 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3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Year ended December 31, 2014</w:t>
            </w:r>
          </w:p>
        </w:tc>
        <w:tc>
          <w:tcPr>
            <w:tcW w:w="260" w:type="dxa"/>
            <w:vAlign w:val="bottom"/>
            <w:gridSpan w:val="2"/>
            <w:shd w:val="clear" w:color="auto" w:fill="CCEECC"/>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55,542</w:t>
            </w:r>
          </w:p>
        </w:tc>
        <w:tc>
          <w:tcPr>
            <w:tcW w:w="3720" w:type="dxa"/>
            <w:vAlign w:val="bottom"/>
          </w:tcPr>
          <w:p>
            <w:pPr>
              <w:spacing w:after="0"/>
              <w:rPr>
                <w:sz w:val="19"/>
                <w:szCs w:val="19"/>
                <w:color w:val="auto"/>
              </w:rPr>
            </w:pPr>
          </w:p>
        </w:tc>
      </w:tr>
      <w:tr>
        <w:trPr>
          <w:trHeight w:val="223"/>
        </w:trPr>
        <w:tc>
          <w:tcPr>
            <w:tcW w:w="3720" w:type="dxa"/>
            <w:vAlign w:val="bottom"/>
          </w:tcPr>
          <w:p>
            <w:pPr>
              <w:spacing w:after="0"/>
              <w:rPr>
                <w:sz w:val="19"/>
                <w:szCs w:val="19"/>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Total lease commitment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55,542</w:t>
            </w:r>
          </w:p>
        </w:tc>
        <w:tc>
          <w:tcPr>
            <w:tcW w:w="4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86"/>
        </w:trPr>
        <w:tc>
          <w:tcPr>
            <w:tcW w:w="37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r>
        <w:trPr>
          <w:trHeight w:val="224"/>
        </w:trPr>
        <w:tc>
          <w:tcPr>
            <w:tcW w:w="3720" w:type="dxa"/>
            <w:vAlign w:val="bottom"/>
          </w:tcPr>
          <w:p>
            <w:pPr>
              <w:spacing w:after="0"/>
              <w:rPr>
                <w:sz w:val="19"/>
                <w:szCs w:val="19"/>
                <w:color w:val="auto"/>
              </w:rPr>
            </w:pPr>
          </w:p>
        </w:tc>
        <w:tc>
          <w:tcPr>
            <w:tcW w:w="3020" w:type="dxa"/>
            <w:vAlign w:val="bottom"/>
          </w:tcPr>
          <w:p>
            <w:pPr>
              <w:jc w:val="right"/>
              <w:ind w:right="770"/>
              <w:spacing w:after="0"/>
              <w:rPr>
                <w:sz w:val="20"/>
                <w:szCs w:val="20"/>
                <w:color w:val="auto"/>
              </w:rPr>
            </w:pPr>
            <w:r>
              <w:rPr>
                <w:rFonts w:ascii="Arial" w:cs="Arial" w:eastAsia="Arial" w:hAnsi="Arial"/>
                <w:sz w:val="18"/>
                <w:szCs w:val="18"/>
                <w:color w:val="auto"/>
              </w:rPr>
              <w:t>F-30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two major customers that accounted for 58% and two major customers that accounted for 52% of the Company’s revenues for the years ended December 31, 2013 and 2012, respectively. The Company expects to continue to maintain these relationships with the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2013, the Company incurred net income of approximately $216,000 but has no tax liability. The Company began operations in 2007 and has previous net operating loss carry-forwards of approximately $13,934,000 through December 31, 2012. The cumulative loss of approximately $13,718,000 will be carried forward and can be used through the year 2033 to offset future taxable income. In the future, the cumulative net operating loss carry-forward for income tax purposes may differ from the cumulative financial statement loss due to timing differences between book and tax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years ended December 31, 2013 and 2012:</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60" w:type="dxa"/>
            <w:vAlign w:val="bottom"/>
            <w:vMerge w:val="restart"/>
          </w:tcPr>
          <w:p>
            <w:pPr>
              <w:spacing w:after="0"/>
              <w:rPr>
                <w:sz w:val="20"/>
                <w:szCs w:val="20"/>
                <w:color w:val="auto"/>
              </w:rPr>
            </w:pPr>
            <w:r>
              <w:rPr>
                <w:rFonts w:ascii="Arial" w:cs="Arial" w:eastAsia="Arial" w:hAnsi="Arial"/>
                <w:sz w:val="18"/>
                <w:szCs w:val="18"/>
                <w:color w:val="auto"/>
                <w:w w:val="94"/>
              </w:rPr>
              <w:t>Federal income tax (expense)</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benefit attributable to:</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CC"/>
          </w:tcPr>
          <w:p>
            <w:pPr>
              <w:ind w:left="80"/>
              <w:spacing w:after="0"/>
              <w:rPr>
                <w:sz w:val="20"/>
                <w:szCs w:val="20"/>
                <w:color w:val="auto"/>
              </w:rPr>
            </w:pPr>
            <w:r>
              <w:rPr>
                <w:rFonts w:ascii="Arial" w:cs="Arial" w:eastAsia="Arial" w:hAnsi="Arial"/>
                <w:sz w:val="18"/>
                <w:szCs w:val="18"/>
                <w:color w:val="auto"/>
              </w:rPr>
              <w:t>Current operations</w:t>
            </w:r>
          </w:p>
        </w:tc>
        <w:tc>
          <w:tcPr>
            <w:tcW w:w="36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(73,000)</w:t>
            </w:r>
          </w:p>
        </w:tc>
        <w:tc>
          <w:tcPr>
            <w:tcW w:w="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155,000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80"/>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182"/>
        </w:trPr>
        <w:tc>
          <w:tcPr>
            <w:tcW w:w="2260" w:type="dxa"/>
            <w:vAlign w:val="bottom"/>
            <w:tcBorders>
              <w:top w:val="single" w:sz="8" w:color="CCEECC"/>
            </w:tcBorders>
            <w:shd w:val="clear" w:color="auto" w:fill="CCEECC"/>
          </w:tcPr>
          <w:p>
            <w:pPr>
              <w:ind w:left="260"/>
              <w:spacing w:after="0" w:line="182" w:lineRule="exact"/>
              <w:rPr>
                <w:sz w:val="20"/>
                <w:szCs w:val="20"/>
                <w:color w:val="auto"/>
              </w:rPr>
            </w:pPr>
            <w:r>
              <w:rPr>
                <w:rFonts w:ascii="Arial" w:cs="Arial" w:eastAsia="Arial" w:hAnsi="Arial"/>
                <w:sz w:val="18"/>
                <w:szCs w:val="18"/>
                <w:color w:val="auto"/>
              </w:rPr>
              <w:t>Net provision for federal</w:t>
            </w:r>
          </w:p>
        </w:tc>
        <w:tc>
          <w:tcPr>
            <w:tcW w:w="14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7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260" w:type="dxa"/>
            <w:vAlign w:val="bottom"/>
            <w:shd w:val="clear" w:color="auto" w:fill="CCEECC"/>
          </w:tcPr>
          <w:p>
            <w:pPr>
              <w:spacing w:after="0"/>
              <w:rPr>
                <w:sz w:val="20"/>
                <w:szCs w:val="20"/>
                <w:color w:val="auto"/>
              </w:rPr>
            </w:pPr>
            <w:r>
              <w:rPr>
                <w:rFonts w:ascii="Arial" w:cs="Arial" w:eastAsia="Arial" w:hAnsi="Arial"/>
                <w:sz w:val="18"/>
                <w:szCs w:val="18"/>
                <w:color w:val="auto"/>
              </w:rPr>
              <w:t>income tax</w:t>
            </w:r>
          </w:p>
        </w:tc>
        <w:tc>
          <w:tcPr>
            <w:tcW w:w="36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2"/>
                <w:szCs w:val="22"/>
                <w:color w:val="auto"/>
              </w:rPr>
            </w:pPr>
          </w:p>
        </w:tc>
        <w:tc>
          <w:tcPr>
            <w:tcW w:w="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CC"/>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 as of December 31, 2013 and 2012:</w:t>
      </w:r>
    </w:p>
    <w:p>
      <w:pPr>
        <w:spacing w:after="0" w:line="184"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60" w:type="dxa"/>
            <w:vAlign w:val="bottom"/>
            <w:vMerge w:val="restart"/>
          </w:tcPr>
          <w:p>
            <w:pPr>
              <w:spacing w:after="0"/>
              <w:rPr>
                <w:sz w:val="20"/>
                <w:szCs w:val="20"/>
                <w:color w:val="auto"/>
              </w:rPr>
            </w:pPr>
            <w:r>
              <w:rPr>
                <w:rFonts w:ascii="Arial" w:cs="Arial" w:eastAsia="Arial" w:hAnsi="Arial"/>
                <w:sz w:val="18"/>
                <w:szCs w:val="18"/>
                <w:color w:val="auto"/>
                <w:w w:val="92"/>
              </w:rPr>
              <w:t>Deferred tax asset attributable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to:</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CC"/>
          </w:tcPr>
          <w:p>
            <w:pPr>
              <w:ind w:left="80"/>
              <w:spacing w:after="0"/>
              <w:rPr>
                <w:sz w:val="20"/>
                <w:szCs w:val="20"/>
                <w:color w:val="auto"/>
              </w:rPr>
            </w:pPr>
            <w:r>
              <w:rPr>
                <w:rFonts w:ascii="Arial" w:cs="Arial" w:eastAsia="Arial" w:hAnsi="Arial"/>
                <w:sz w:val="18"/>
                <w:szCs w:val="18"/>
                <w:color w:val="auto"/>
                <w:w w:val="95"/>
              </w:rPr>
              <w:t>Net operating loss carryover</w:t>
            </w:r>
          </w:p>
        </w:tc>
        <w:tc>
          <w:tcPr>
            <w:tcW w:w="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4,665,000</w:t>
            </w:r>
          </w:p>
        </w:tc>
        <w:tc>
          <w:tcPr>
            <w:tcW w:w="60" w:type="dxa"/>
            <w:vAlign w:val="bottom"/>
            <w:shd w:val="clear" w:color="auto" w:fill="CCEECC"/>
          </w:tcPr>
          <w:p>
            <w:pPr>
              <w:spacing w:after="0"/>
              <w:rPr>
                <w:sz w:val="18"/>
                <w:szCs w:val="18"/>
                <w:color w:val="auto"/>
              </w:rPr>
            </w:pP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4,738,000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80"/>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(4,665,000)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(4,738,000)</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rPr>
              <w:t>Net deferred tax asset</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$13,718,000 for Federal income tax reporting purposes are subject to annual limitations. Should a change in ownership occur, net operating loss carry forwards may be limited as to use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14, 2013, the Company hired a new CEO. The employment agreement required annual compensation of $175,000 that was to be accrued and deferred until at least January 1, 2014. Additionally, the agreement required the issuance of 2,000,000 options with an exercise price of $1.00 for a term of five years. The options were not exercisable until at least January 1, 2014, and were only exercisable after reaching certain financial terms and conditions. Due to these restrictions, no accrual was made for the issuance of these options.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20, 2013, the Company entered into a separation agreement with the CEO. As part of the terms of the separation agreement, the accrued compensation up to the date of separation was paid and the options were terminated.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years ended December 31, 2013 and 2012, respectively:</w:t>
      </w:r>
    </w:p>
    <w:p>
      <w:pPr>
        <w:spacing w:after="0" w:line="225" w:lineRule="exact"/>
        <w:rPr>
          <w:sz w:val="20"/>
          <w:szCs w:val="20"/>
          <w:color w:val="auto"/>
        </w:rPr>
      </w:pPr>
    </w:p>
    <w:tbl>
      <w:tblPr>
        <w:tblLayout w:type="fixed"/>
        <w:tblInd w:w="316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Years ended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Years ended</w:t>
            </w:r>
          </w:p>
        </w:tc>
      </w:tr>
      <w:tr>
        <w:trPr>
          <w:trHeight w:val="230"/>
        </w:trPr>
        <w:tc>
          <w:tcPr>
            <w:tcW w:w="272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December 31,</w:t>
            </w:r>
          </w:p>
        </w:tc>
      </w:tr>
      <w:tr>
        <w:trPr>
          <w:trHeight w:val="230"/>
        </w:trPr>
        <w:tc>
          <w:tcPr>
            <w:tcW w:w="272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40" w:type="dxa"/>
            <w:vAlign w:val="bottom"/>
            <w:tcBorders>
              <w:bottom w:val="single" w:sz="8" w:color="auto"/>
            </w:tcBorders>
          </w:tcPr>
          <w:p>
            <w:pPr>
              <w:spacing w:after="0"/>
              <w:rPr>
                <w:sz w:val="20"/>
                <w:szCs w:val="20"/>
                <w:color w:val="auto"/>
              </w:rPr>
            </w:pPr>
          </w:p>
        </w:tc>
      </w:tr>
      <w:tr>
        <w:trPr>
          <w:trHeight w:val="210"/>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Advertising</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47,105</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57,218</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552,824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263,396</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100,077</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19,148</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color w:val="auto"/>
              </w:rPr>
              <w:t>Salaries, wages and benefits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1,319,712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1,184,367</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Rent</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60,592</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62,362</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193,971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187,104</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411,412</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285,605</w:t>
            </w:r>
          </w:p>
        </w:tc>
        <w:tc>
          <w:tcPr>
            <w:tcW w:w="40" w:type="dxa"/>
            <w:vAlign w:val="bottom"/>
            <w:shd w:val="clear" w:color="auto" w:fill="CCEECC"/>
          </w:tcPr>
          <w:p>
            <w:pPr>
              <w:spacing w:after="0"/>
              <w:rPr>
                <w:sz w:val="18"/>
                <w:szCs w:val="18"/>
                <w:color w:val="auto"/>
              </w:rPr>
            </w:pPr>
          </w:p>
        </w:tc>
      </w:tr>
      <w:tr>
        <w:trPr>
          <w:trHeight w:val="230"/>
        </w:trPr>
        <w:tc>
          <w:tcPr>
            <w:tcW w:w="272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288,297</w:t>
            </w:r>
          </w:p>
        </w:tc>
        <w:tc>
          <w:tcPr>
            <w:tcW w:w="6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269,448</w:t>
            </w:r>
          </w:p>
        </w:tc>
        <w:tc>
          <w:tcPr>
            <w:tcW w:w="40" w:type="dxa"/>
            <w:vAlign w:val="bottom"/>
            <w:tcBorders>
              <w:bottom w:val="single" w:sz="8" w:color="CCEECC"/>
            </w:tcBorders>
          </w:tcPr>
          <w:p>
            <w:pPr>
              <w:spacing w:after="0"/>
              <w:rPr>
                <w:sz w:val="19"/>
                <w:szCs w:val="19"/>
                <w:color w:val="auto"/>
              </w:rPr>
            </w:pPr>
          </w:p>
        </w:tc>
      </w:tr>
      <w:tr>
        <w:trPr>
          <w:trHeight w:val="223"/>
        </w:trPr>
        <w:tc>
          <w:tcPr>
            <w:tcW w:w="272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2,973,990</w:t>
            </w:r>
          </w:p>
        </w:tc>
        <w:tc>
          <w:tcPr>
            <w:tcW w:w="60" w:type="dxa"/>
            <w:vAlign w:val="bottom"/>
            <w:tcBorders>
              <w:bottom w:val="single" w:sz="8" w:color="CCEECC"/>
            </w:tcBorders>
            <w:shd w:val="clear" w:color="auto" w:fill="CCEECC"/>
          </w:tcPr>
          <w:p>
            <w:pPr>
              <w:spacing w:after="0"/>
              <w:rPr>
                <w:sz w:val="19"/>
                <w:szCs w:val="19"/>
                <w:color w:val="auto"/>
              </w:rPr>
            </w:pPr>
          </w:p>
        </w:tc>
        <w:tc>
          <w:tcPr>
            <w:tcW w:w="6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2,328,648</w:t>
            </w:r>
          </w:p>
        </w:tc>
        <w:tc>
          <w:tcPr>
            <w:tcW w:w="40" w:type="dxa"/>
            <w:vAlign w:val="bottom"/>
            <w:tcBorders>
              <w:bottom w:val="single" w:sz="8" w:color="CCEECC"/>
            </w:tcBorders>
            <w:shd w:val="clear" w:color="auto" w:fill="CCEECC"/>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RESTATEMENT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December 31, 2013, the Company corrected an accounting error related to revenue share expenses. The Company will accrue the expense for amounts due, versus when they are paid, for proper matching. The revenue share expense was not properly accrued at the end of 2012 or at the end of each 2013 quarter</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restated Consolidated Balance Sheet, Consolidated Statement of Operations and Consolidated Statement of Cash Flows for the year ended December 31, 2012 is as follows:</w:t>
      </w:r>
    </w:p>
    <w:p>
      <w:pPr>
        <w:spacing w:after="0" w:line="184"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33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Year ended December 31, 2012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6"/>
              </w:rPr>
              <w:t>Previously</w:t>
            </w:r>
          </w:p>
        </w:tc>
        <w:tc>
          <w:tcPr>
            <w:tcW w:w="0" w:type="dxa"/>
            <w:vAlign w:val="bottom"/>
          </w:tcPr>
          <w:p>
            <w:pPr>
              <w:spacing w:after="0"/>
              <w:rPr>
                <w:sz w:val="1"/>
                <w:szCs w:val="1"/>
                <w:color w:val="auto"/>
              </w:rPr>
            </w:pPr>
          </w:p>
        </w:tc>
      </w:tr>
      <w:tr>
        <w:trPr>
          <w:trHeight w:val="182"/>
        </w:trPr>
        <w:tc>
          <w:tcPr>
            <w:tcW w:w="1700" w:type="dxa"/>
            <w:vAlign w:val="bottom"/>
            <w:gridSpan w:val="2"/>
            <w:vMerge w:val="restart"/>
          </w:tcPr>
          <w:p>
            <w:pPr>
              <w:ind w:left="80"/>
              <w:spacing w:after="0"/>
              <w:rPr>
                <w:sz w:val="20"/>
                <w:szCs w:val="20"/>
                <w:color w:val="auto"/>
              </w:rPr>
            </w:pPr>
            <w:r>
              <w:rPr>
                <w:rFonts w:ascii="Arial" w:cs="Arial" w:eastAsia="Arial" w:hAnsi="Arial"/>
                <w:sz w:val="18"/>
                <w:szCs w:val="18"/>
                <w:color w:val="auto"/>
              </w:rPr>
              <w:t>Financial Statement</w:t>
            </w:r>
          </w:p>
        </w:tc>
        <w:tc>
          <w:tcPr>
            <w:tcW w:w="1640" w:type="dxa"/>
            <w:vAlign w:val="bottom"/>
            <w:vMerge w:val="restart"/>
          </w:tcPr>
          <w:p>
            <w:pPr>
              <w:ind w:left="100"/>
              <w:spacing w:after="0"/>
              <w:rPr>
                <w:sz w:val="20"/>
                <w:szCs w:val="20"/>
                <w:color w:val="auto"/>
              </w:rPr>
            </w:pPr>
            <w:r>
              <w:rPr>
                <w:rFonts w:ascii="Arial" w:cs="Arial" w:eastAsia="Arial" w:hAnsi="Arial"/>
                <w:sz w:val="18"/>
                <w:szCs w:val="18"/>
                <w:color w:val="auto"/>
              </w:rPr>
              <w:t>Line Item</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00" w:type="dxa"/>
            <w:vAlign w:val="bottom"/>
            <w:gridSpan w:val="2"/>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Corrected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Stated</w:t>
            </w:r>
          </w:p>
        </w:tc>
        <w:tc>
          <w:tcPr>
            <w:tcW w:w="0" w:type="dxa"/>
            <w:vAlign w:val="bottom"/>
          </w:tcPr>
          <w:p>
            <w:pPr>
              <w:spacing w:after="0"/>
              <w:rPr>
                <w:sz w:val="1"/>
                <w:szCs w:val="1"/>
                <w:color w:val="auto"/>
              </w:rPr>
            </w:pPr>
          </w:p>
        </w:tc>
      </w:tr>
      <w:tr>
        <w:trPr>
          <w:trHeight w:val="195"/>
        </w:trPr>
        <w:tc>
          <w:tcPr>
            <w:tcW w:w="166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640" w:type="dxa"/>
            <w:vAlign w:val="bottom"/>
            <w:tcBorders>
              <w:top w:val="single" w:sz="8" w:color="auto"/>
            </w:tcBorders>
            <w:shd w:val="clear" w:color="auto" w:fill="CCEECC"/>
          </w:tcPr>
          <w:p>
            <w:pPr>
              <w:ind w:left="100"/>
              <w:spacing w:after="0" w:line="195" w:lineRule="exact"/>
              <w:rPr>
                <w:sz w:val="20"/>
                <w:szCs w:val="20"/>
                <w:color w:val="auto"/>
              </w:rPr>
            </w:pPr>
            <w:r>
              <w:rPr>
                <w:rFonts w:ascii="Arial" w:cs="Arial" w:eastAsia="Arial" w:hAnsi="Arial"/>
                <w:sz w:val="18"/>
                <w:szCs w:val="18"/>
                <w:color w:val="auto"/>
              </w:rPr>
              <w:t>Revenue share</w:t>
            </w:r>
          </w:p>
        </w:tc>
        <w:tc>
          <w:tcPr>
            <w:tcW w:w="6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Balance sheet</w:t>
            </w:r>
          </w:p>
        </w:tc>
        <w:tc>
          <w:tcPr>
            <w:tcW w:w="1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payable</w:t>
            </w:r>
          </w:p>
        </w:tc>
        <w:tc>
          <w:tcPr>
            <w:tcW w:w="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90,577</w:t>
            </w:r>
          </w:p>
        </w:tc>
        <w:tc>
          <w:tcPr>
            <w:tcW w:w="100" w:type="dxa"/>
            <w:vAlign w:val="bottom"/>
            <w:shd w:val="clear" w:color="auto" w:fill="CCEECC"/>
          </w:tcPr>
          <w:p>
            <w:pPr>
              <w:spacing w:after="0"/>
              <w:rPr>
                <w:sz w:val="20"/>
                <w:szCs w:val="20"/>
                <w:color w:val="auto"/>
              </w:rPr>
            </w:pP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ind w:left="100"/>
              <w:spacing w:after="0" w:line="201" w:lineRule="exact"/>
              <w:rPr>
                <w:sz w:val="20"/>
                <w:szCs w:val="20"/>
                <w:color w:val="auto"/>
              </w:rPr>
            </w:pPr>
            <w:r>
              <w:rPr>
                <w:rFonts w:ascii="Arial" w:cs="Arial" w:eastAsia="Arial" w:hAnsi="Arial"/>
                <w:sz w:val="18"/>
                <w:szCs w:val="18"/>
                <w:color w:val="auto"/>
              </w:rPr>
              <w:t>Revenue share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640" w:type="dxa"/>
            <w:vAlign w:val="bottom"/>
          </w:tcPr>
          <w:p>
            <w:pPr>
              <w:ind w:left="100"/>
              <w:spacing w:after="0"/>
              <w:rPr>
                <w:sz w:val="20"/>
                <w:szCs w:val="20"/>
                <w:color w:val="auto"/>
              </w:rPr>
            </w:pPr>
            <w:r>
              <w:rPr>
                <w:rFonts w:ascii="Arial" w:cs="Arial" w:eastAsia="Arial" w:hAnsi="Arial"/>
                <w:sz w:val="18"/>
                <w:szCs w:val="18"/>
                <w:color w:val="auto"/>
              </w:rPr>
              <w:t>expense</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115,360</w:t>
            </w: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840" w:type="dxa"/>
            <w:vAlign w:val="bottom"/>
            <w:gridSpan w:val="3"/>
            <w:shd w:val="clear" w:color="auto" w:fill="CCEECC"/>
          </w:tcPr>
          <w:p>
            <w:pPr>
              <w:ind w:left="100"/>
              <w:spacing w:after="0"/>
              <w:rPr>
                <w:sz w:val="20"/>
                <w:szCs w:val="20"/>
                <w:color w:val="auto"/>
              </w:rPr>
            </w:pPr>
            <w:r>
              <w:rPr>
                <w:rFonts w:ascii="Arial" w:cs="Arial" w:eastAsia="Arial" w:hAnsi="Arial"/>
                <w:sz w:val="18"/>
                <w:szCs w:val="18"/>
                <w:color w:val="auto"/>
                <w:w w:val="93"/>
              </w:rPr>
              <w:t>Loss from operations $</w:t>
            </w:r>
          </w:p>
        </w:tc>
        <w:tc>
          <w:tcPr>
            <w:tcW w:w="10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(454,922)</w:t>
            </w: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(364,345)</w:t>
            </w:r>
          </w:p>
        </w:tc>
        <w:tc>
          <w:tcPr>
            <w:tcW w:w="0" w:type="dxa"/>
            <w:vAlign w:val="bottom"/>
          </w:tcPr>
          <w:p>
            <w:pPr>
              <w:spacing w:after="0"/>
              <w:rPr>
                <w:sz w:val="1"/>
                <w:szCs w:val="1"/>
                <w:color w:val="auto"/>
              </w:rPr>
            </w:pPr>
          </w:p>
        </w:tc>
      </w:tr>
      <w:tr>
        <w:trPr>
          <w:trHeight w:val="202"/>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ind w:left="100"/>
              <w:spacing w:after="0" w:line="201" w:lineRule="exact"/>
              <w:rPr>
                <w:sz w:val="20"/>
                <w:szCs w:val="20"/>
                <w:color w:val="auto"/>
              </w:rPr>
            </w:pPr>
            <w:r>
              <w:rPr>
                <w:rFonts w:ascii="Arial" w:cs="Arial" w:eastAsia="Arial" w:hAnsi="Arial"/>
                <w:sz w:val="18"/>
                <w:szCs w:val="18"/>
                <w:color w:val="auto"/>
              </w:rPr>
              <w:t>Loss before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8"/>
                <w:szCs w:val="18"/>
                <w:color w:val="auto"/>
                <w:w w:val="94"/>
              </w:rPr>
              <w:t>provision for income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640" w:type="dxa"/>
            <w:vAlign w:val="bottom"/>
          </w:tcPr>
          <w:p>
            <w:pPr>
              <w:ind w:left="100"/>
              <w:spacing w:after="0"/>
              <w:rPr>
                <w:sz w:val="20"/>
                <w:szCs w:val="20"/>
                <w:color w:val="auto"/>
              </w:rPr>
            </w:pPr>
            <w:r>
              <w:rPr>
                <w:rFonts w:ascii="Arial" w:cs="Arial" w:eastAsia="Arial" w:hAnsi="Arial"/>
                <w:sz w:val="18"/>
                <w:szCs w:val="18"/>
                <w:color w:val="auto"/>
              </w:rPr>
              <w:t>taxes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(454,553)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Net loss</w:t>
            </w:r>
          </w:p>
        </w:tc>
        <w:tc>
          <w:tcPr>
            <w:tcW w:w="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(454,553)</w:t>
            </w: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02"/>
        </w:trPr>
        <w:tc>
          <w:tcPr>
            <w:tcW w:w="17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Statement of cash</w:t>
            </w: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80"/>
              <w:spacing w:after="0"/>
              <w:rPr>
                <w:sz w:val="20"/>
                <w:szCs w:val="20"/>
                <w:color w:val="auto"/>
              </w:rPr>
            </w:pPr>
            <w:r>
              <w:rPr>
                <w:rFonts w:ascii="Arial" w:cs="Arial" w:eastAsia="Arial" w:hAnsi="Arial"/>
                <w:sz w:val="18"/>
                <w:szCs w:val="18"/>
                <w:color w:val="auto"/>
              </w:rPr>
              <w:t>flows</w:t>
            </w:r>
          </w:p>
        </w:tc>
        <w:tc>
          <w:tcPr>
            <w:tcW w:w="16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(454,553)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02"/>
        </w:trPr>
        <w:tc>
          <w:tcPr>
            <w:tcW w:w="1700" w:type="dxa"/>
            <w:vAlign w:val="bottom"/>
            <w:gridSpan w:val="2"/>
            <w:shd w:val="clear" w:color="auto" w:fill="CCEECC"/>
          </w:tcPr>
          <w:p>
            <w:pPr>
              <w:ind w:left="80"/>
              <w:spacing w:after="0" w:line="201" w:lineRule="exact"/>
              <w:rPr>
                <w:sz w:val="20"/>
                <w:szCs w:val="20"/>
                <w:color w:val="auto"/>
              </w:rPr>
            </w:pPr>
            <w:r>
              <w:rPr>
                <w:rFonts w:ascii="Arial" w:cs="Arial" w:eastAsia="Arial" w:hAnsi="Arial"/>
                <w:sz w:val="18"/>
                <w:szCs w:val="18"/>
                <w:color w:val="auto"/>
              </w:rPr>
              <w:t>Statement of cash</w:t>
            </w:r>
          </w:p>
        </w:tc>
        <w:tc>
          <w:tcPr>
            <w:tcW w:w="1640" w:type="dxa"/>
            <w:vAlign w:val="bottom"/>
            <w:shd w:val="clear" w:color="auto" w:fill="CCEECC"/>
          </w:tcPr>
          <w:p>
            <w:pPr>
              <w:ind w:left="100"/>
              <w:spacing w:after="0" w:line="201" w:lineRule="exact"/>
              <w:rPr>
                <w:sz w:val="20"/>
                <w:szCs w:val="20"/>
                <w:color w:val="auto"/>
              </w:rPr>
            </w:pPr>
            <w:r>
              <w:rPr>
                <w:rFonts w:ascii="Arial" w:cs="Arial" w:eastAsia="Arial" w:hAnsi="Arial"/>
                <w:sz w:val="18"/>
                <w:szCs w:val="18"/>
                <w:color w:val="auto"/>
                <w:w w:val="96"/>
              </w:rPr>
              <w:t>Increase in revenue</w:t>
            </w:r>
          </w:p>
        </w:tc>
        <w:tc>
          <w:tcPr>
            <w:tcW w:w="6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flows</w:t>
            </w:r>
          </w:p>
        </w:tc>
        <w:tc>
          <w:tcPr>
            <w:tcW w:w="1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share payable</w:t>
            </w:r>
          </w:p>
        </w:tc>
        <w:tc>
          <w:tcPr>
            <w:tcW w:w="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90,577</w:t>
            </w:r>
          </w:p>
        </w:tc>
        <w:tc>
          <w:tcPr>
            <w:tcW w:w="100" w:type="dxa"/>
            <w:vAlign w:val="bottom"/>
            <w:shd w:val="clear" w:color="auto" w:fill="CCEECC"/>
          </w:tcPr>
          <w:p>
            <w:pPr>
              <w:spacing w:after="0"/>
              <w:rPr>
                <w:sz w:val="20"/>
                <w:szCs w:val="20"/>
                <w:color w:val="auto"/>
              </w:rPr>
            </w:pP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19 – SUBSEQUENT EVENTS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2014 the Company executed an amendment to their securities redemption option agreement with Vicis Capital Master Fund that provides an option to purchase all of the outstanding shares and derivative securities held by Vicis for a total of $6,000,000. The term of the option is through March 31, 2014. The original agreement payment was for $9,000,000 and term was through December 30,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17, 2014, the Company entered into a securities purchase agreement, pursuant to which the Company sold an aggregate of 8,333,333 shares of the Company’s common stock for $1.20 per share, or gross proceeds of $10,000,000.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19 – SUBSEQUENT EVENTS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agent warrants also provide for piggy-back registration rights.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a portion of the net proceeds of the offering to exercise the securities redemption option agreement, as amended, with Vicis Capital Master Fund that provides the Company with an option to purchase all of the outstanding shares and derivative securities held by Vicis for total payment of $6,000,000. The shares and derivative securities include the Series A Convertible Preferred Stock, Series B Convertible Preferred Stock, Common Stock, and warrants to purchase shares of common stock held by Vicis in the Company. The balance of the net proceeds will be used for working capital purposes.</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5, 2012, LDM Group, LLC (“LDM”) commenced an action against the Company in the United States District Court for the Eastern District of Missouri, Eastern Division. The complaint alleged that OptimizeRx infringed on a patent issued on February 21, 2012 in favor of LDM. LDM alleged that its patent is an invention of a method for making available targeted content to a prescription medication patient while the patient is still in the physician’s office. According to LDM, the Company’s Integrated SampleMD uses systems and methods that perform the elements of the LDM patent and, therefore, infringes on its patent. On February 25, 2013, a Settlement and Patent License Agreement was reached with LDM, and LDM subsequently dismissed the lawsuit with prejudice. On April 23, 2013, however, LDM reinstituted the patent infringement action in the United States District Court for the Eastern District of Missouri, Eastern Division claiming that OptimizeRx breached the Settlement and Patent License Agreement. The Company continued to vigorously defend the OptimizeRx technology, preparing for litigation, depositions and patent protection while also positioning for legal actions against LDM. On February 28, 2014, a Settlement Agreement was reached with LDM, and the judge dismissed the case with prejudice on March 18, 2014. Per the terms of the settlement agreement, the Company paid a one-time fee of $400,000 and will pay LDM the greater of $0.37 per patient discount distributed by OptimizeRx or 10% of the total revenue earned by OptimizeRx for distribution and redemption of all patent discounts.</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December 31, 2013 through the date these financial statements were issued and has determined that it does not have any material subsequent events to disclose in these financial statements other than the events described above.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AND DISAGREEMENTS WITH ACCOUNTANTS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events occurred requiring disclosure under Item 304 of Regulation S-K during the fiscal year ending December 31, 2013.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 annual, quarterly and current reports, proxy statements and other documents with the SEC. These filings contain important information which does not appear in this prospectus. You may read and copy, at prescribed rates, any documents we have filed with the SEC at its Public Reference Room located at 100 F Street, N.E., Washington, DC 20549. You may obtain information on the operation of the Public Reference Room by calling the SEC at 1-800-SEC-0330. We also file these documents with the SEC electronically. You can access the electronic versions of these filings on the SEC’s website found at http://www.sec.gov.</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filed with the Securities and Exchange Commission (“SEC”) a registration statement for the securities on Form S-1 under the Securities Act. This prospectus, which forms part of the registration statement, does not contain all the information contained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may inspect and copy the registration statement at the public reference facilities maintained by the SEC at 100 F Street, N.E., Washington, D.C. 20549 upon payment of certain prescribed fees. You may obtain information on the operation of the SEC’s public reference facilities by calling the SEC at 1-800-SEC-0330. You may also access the registration statement electronically through the SEC’s Electronic Data Gathering, Analysis and Retrieval, or EDGAR, system at the SEC’s website located at http://www.sec.gov.</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Until _______________, all dealers that effect transactions in these securities whether or not participating in this offering may be required to deliver a</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underwriters and with respect to their unsold allotments or subscriptions.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2019-12-07T19:50:54Z</dcterms:created>
  <dcterms:modified xsi:type="dcterms:W3CDTF">2019-12-07T19:50:54Z</dcterms:modified>
</cp:coreProperties>
</file>