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[X] Quarterly Report pursuant to Section 13 or 15(d) of the Securities Exchange Act of 1934</w:t>
      </w:r>
    </w:p>
    <w:p>
      <w:pPr>
        <w:spacing w:after="0" w:line="221" w:lineRule="exact"/>
        <w:rPr>
          <w:sz w:val="24"/>
          <w:szCs w:val="24"/>
          <w:color w:val="auto"/>
        </w:rPr>
      </w:pPr>
    </w:p>
    <w:p>
      <w:pPr>
        <w:ind w:left="7000"/>
        <w:spacing w:after="0"/>
        <w:rPr>
          <w:sz w:val="20"/>
          <w:szCs w:val="20"/>
          <w:color w:val="auto"/>
        </w:rPr>
      </w:pPr>
      <w:r>
        <w:rPr>
          <w:rFonts w:ascii="Arial" w:cs="Arial" w:eastAsia="Arial" w:hAnsi="Arial"/>
          <w:sz w:val="18"/>
          <w:szCs w:val="18"/>
          <w:color w:val="auto"/>
        </w:rPr>
        <w:t xml:space="preserve">For the quarterly period ended </w:t>
      </w:r>
      <w:r>
        <w:rPr>
          <w:rFonts w:ascii="Arial" w:cs="Arial" w:eastAsia="Arial" w:hAnsi="Arial"/>
          <w:sz w:val="18"/>
          <w:szCs w:val="18"/>
          <w:b w:val="1"/>
          <w:bCs w:val="1"/>
          <w:u w:val="single" w:color="auto"/>
          <w:color w:val="auto"/>
        </w:rPr>
        <w:t>June 30, 2014</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 ] Transition Report pursuant to 13 or 15(d) of the Securities Exchange Act of 1934</w:t>
      </w:r>
    </w:p>
    <w:p>
      <w:pPr>
        <w:spacing w:after="0" w:line="225" w:lineRule="exact"/>
        <w:rPr>
          <w:sz w:val="24"/>
          <w:szCs w:val="24"/>
          <w:color w:val="auto"/>
        </w:rPr>
      </w:pPr>
    </w:p>
    <w:p>
      <w:pPr>
        <w:ind w:left="6020"/>
        <w:spacing w:after="0"/>
        <w:rPr>
          <w:sz w:val="20"/>
          <w:szCs w:val="20"/>
          <w:color w:val="auto"/>
        </w:rPr>
      </w:pPr>
      <w:r>
        <w:rPr>
          <w:rFonts w:ascii="Arial" w:cs="Arial" w:eastAsia="Arial" w:hAnsi="Arial"/>
          <w:sz w:val="18"/>
          <w:szCs w:val="18"/>
          <w:color w:val="auto"/>
        </w:rPr>
        <w:t>For the transition period from __________ to __________</w:t>
      </w:r>
    </w:p>
    <w:p>
      <w:pPr>
        <w:spacing w:after="0" w:line="221" w:lineRule="exact"/>
        <w:rPr>
          <w:sz w:val="24"/>
          <w:szCs w:val="24"/>
          <w:color w:val="auto"/>
        </w:rPr>
      </w:pPr>
    </w:p>
    <w:p>
      <w:pPr>
        <w:jc w:val="right"/>
        <w:ind w:right="108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186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4080" w:type="dxa"/>
            <w:vAlign w:val="bottom"/>
            <w:gridSpan w:val="5"/>
          </w:tcPr>
          <w:p>
            <w:pPr>
              <w:spacing w:after="0"/>
              <w:rPr>
                <w:sz w:val="17"/>
                <w:szCs w:val="17"/>
                <w:color w:val="auto"/>
              </w:rPr>
            </w:pPr>
          </w:p>
        </w:tc>
        <w:tc>
          <w:tcPr>
            <w:tcW w:w="258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rPr>
              <w:t>26-1265381</w:t>
            </w:r>
          </w:p>
        </w:tc>
      </w:tr>
      <w:tr>
        <w:trPr>
          <w:trHeight w:val="20"/>
        </w:trPr>
        <w:tc>
          <w:tcPr>
            <w:tcW w:w="18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6520" w:type="dxa"/>
            <w:vAlign w:val="bottom"/>
            <w:gridSpan w:val="7"/>
          </w:tcPr>
          <w:p>
            <w:pPr>
              <w:jc w:val="center"/>
              <w:ind w:right="222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2580" w:type="dxa"/>
            <w:vAlign w:val="bottom"/>
            <w:gridSpan w:val="3"/>
          </w:tcPr>
          <w:p>
            <w:pPr>
              <w:jc w:val="center"/>
              <w:ind w:left="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1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b w:val="1"/>
                <w:bCs w:val="1"/>
                <w:color w:val="auto"/>
                <w:w w:val="91"/>
              </w:rPr>
              <w:t>400 Water Street, Suite 200</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18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40" w:type="dxa"/>
            <w:vAlign w:val="bottom"/>
            <w:gridSpan w:val="4"/>
          </w:tcPr>
          <w:p>
            <w:pPr>
              <w:jc w:val="center"/>
              <w:ind w:right="720"/>
              <w:spacing w:after="0" w:line="194" w:lineRule="exact"/>
              <w:rPr>
                <w:sz w:val="20"/>
                <w:szCs w:val="20"/>
                <w:color w:val="auto"/>
              </w:rPr>
            </w:pPr>
            <w:r>
              <w:rPr>
                <w:rFonts w:ascii="Arial" w:cs="Arial" w:eastAsia="Arial" w:hAnsi="Arial"/>
                <w:sz w:val="18"/>
                <w:szCs w:val="18"/>
                <w:b w:val="1"/>
                <w:bCs w:val="1"/>
                <w:color w:val="auto"/>
                <w:w w:val="90"/>
              </w:rPr>
              <w:t>Rochester, MI, 48307</w:t>
            </w:r>
          </w:p>
        </w:tc>
        <w:tc>
          <w:tcPr>
            <w:tcW w:w="9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1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color w:val="auto"/>
                <w:w w:val="92"/>
              </w:rPr>
              <w:t>(Address of principal executive offices)</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92"/>
        </w:trPr>
        <w:tc>
          <w:tcPr>
            <w:tcW w:w="4480" w:type="dxa"/>
            <w:vAlign w:val="bottom"/>
            <w:gridSpan w:val="4"/>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37"/>
        </w:trPr>
        <w:tc>
          <w:tcPr>
            <w:tcW w:w="1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80" w:type="dxa"/>
            <w:vAlign w:val="bottom"/>
            <w:gridSpan w:val="5"/>
          </w:tcPr>
          <w:p>
            <w:pPr>
              <w:jc w:val="center"/>
              <w:ind w:left="930"/>
              <w:spacing w:after="0"/>
              <w:rPr>
                <w:sz w:val="20"/>
                <w:szCs w:val="20"/>
                <w:color w:val="auto"/>
              </w:rPr>
            </w:pPr>
            <w:r>
              <w:rPr>
                <w:rFonts w:ascii="Arial" w:cs="Arial" w:eastAsia="Arial" w:hAnsi="Arial"/>
                <w:sz w:val="18"/>
                <w:szCs w:val="18"/>
                <w:color w:val="auto"/>
                <w:w w:val="89"/>
              </w:rPr>
              <w:t>(Registrant's telephone number)</w:t>
            </w:r>
          </w:p>
        </w:tc>
        <w:tc>
          <w:tcPr>
            <w:tcW w:w="9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w:t>
      </w:r>
    </w:p>
    <w:p>
      <w:pPr>
        <w:spacing w:after="0" w:line="35" w:lineRule="exact"/>
        <w:rPr>
          <w:sz w:val="24"/>
          <w:szCs w:val="24"/>
          <w:color w:val="auto"/>
        </w:rPr>
      </w:pPr>
    </w:p>
    <w:p>
      <w:pPr>
        <w:spacing w:after="0"/>
        <w:rPr>
          <w:sz w:val="20"/>
          <w:szCs w:val="20"/>
          <w:color w:val="auto"/>
        </w:rPr>
      </w:pPr>
      <w:r>
        <w:rPr>
          <w:rFonts w:ascii="Arial" w:cs="Arial" w:eastAsia="Arial" w:hAnsi="Arial"/>
          <w:sz w:val="17"/>
          <w:szCs w:val="17"/>
          <w:color w:val="auto"/>
        </w:rPr>
        <w:t>during the preceding 12 months (or for such shorter period that the registrant was required to file such reports), and (2) has been subject to such filing</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requirements for 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[X] Yes [ ] No</w:t>
      </w:r>
    </w:p>
    <w:p>
      <w:pPr>
        <w:spacing w:after="0" w:line="211"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[X] No [ ]</w:t>
      </w:r>
    </w:p>
    <w:p>
      <w:pPr>
        <w:spacing w:after="0" w:line="18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360"/>
          </w:cols>
          <w:pgMar w:left="240" w:top="233" w:right="299" w:bottom="1440" w:gutter="0" w:footer="0" w:header="0"/>
        </w:sectPr>
      </w:pPr>
    </w:p>
    <w:p>
      <w:pPr>
        <w:spacing w:after="0" w:line="237" w:lineRule="exact"/>
        <w:rPr>
          <w:sz w:val="24"/>
          <w:szCs w:val="24"/>
          <w:color w:val="auto"/>
        </w:rPr>
      </w:pPr>
    </w:p>
    <w:p>
      <w:pPr>
        <w:ind w:right="1920"/>
        <w:spacing w:after="0" w:line="277" w:lineRule="auto"/>
        <w:rPr>
          <w:sz w:val="20"/>
          <w:szCs w:val="20"/>
          <w:color w:val="auto"/>
        </w:rPr>
      </w:pPr>
      <w:r>
        <w:rPr>
          <w:rFonts w:ascii="Arial" w:cs="Arial" w:eastAsia="Arial" w:hAnsi="Arial"/>
          <w:sz w:val="18"/>
          <w:szCs w:val="18"/>
          <w:color w:val="auto"/>
        </w:rPr>
        <w:t>[ ] Large accelerated filer Accelerated filer [X] Smaller reporting company</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color w:val="auto"/>
        </w:rPr>
        <w:t>[ ] Non-accelerated filer</w:t>
      </w:r>
    </w:p>
    <w:p>
      <w:pPr>
        <w:spacing w:after="0" w:line="463" w:lineRule="exact"/>
        <w:rPr>
          <w:sz w:val="24"/>
          <w:szCs w:val="24"/>
          <w:color w:val="auto"/>
        </w:rPr>
      </w:pPr>
    </w:p>
    <w:p>
      <w:pPr>
        <w:sectPr>
          <w:pgSz w:w="11900" w:h="16838" w:orient="portrait"/>
          <w:cols w:equalWidth="0" w:num="2">
            <w:col w:w="5000" w:space="720"/>
            <w:col w:w="5640"/>
          </w:cols>
          <w:pgMar w:left="240" w:top="233" w:right="29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 ] No [X]</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23,362,377 common shares as of August 11,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3" w:right="29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OF CONTENTS</w:t>
      </w:r>
    </w:p>
    <w:tbl>
      <w:tblPr>
        <w:tblLayout w:type="fixed"/>
        <w:tblInd w:w="0" w:type="dxa"/>
        <w:tblCellMar>
          <w:top w:w="0" w:type="dxa"/>
          <w:left w:w="0" w:type="dxa"/>
          <w:bottom w:w="0" w:type="dxa"/>
          <w:right w:w="0" w:type="dxa"/>
        </w:tblCellMar>
      </w:tblPr>
      <w:tr>
        <w:trPr>
          <w:trHeight w:val="203"/>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3"/>
          </w:tcPr>
          <w:p>
            <w:pPr>
              <w:ind w:left="440"/>
              <w:spacing w:after="0" w:line="203" w:lineRule="exact"/>
              <w:rPr>
                <w:sz w:val="20"/>
                <w:szCs w:val="20"/>
                <w:color w:val="auto"/>
              </w:rPr>
            </w:pPr>
            <w:r>
              <w:rPr>
                <w:rFonts w:ascii="Arial" w:cs="Arial" w:eastAsia="Arial" w:hAnsi="Arial"/>
                <w:sz w:val="18"/>
                <w:szCs w:val="18"/>
                <w:color w:val="auto"/>
              </w:rPr>
              <w:t>Page</w:t>
            </w:r>
          </w:p>
        </w:tc>
        <w:tc>
          <w:tcPr>
            <w:tcW w:w="1720" w:type="dxa"/>
            <w:vAlign w:val="bottom"/>
          </w:tcPr>
          <w:p>
            <w:pPr>
              <w:spacing w:after="0"/>
              <w:rPr>
                <w:sz w:val="17"/>
                <w:szCs w:val="17"/>
                <w:color w:val="auto"/>
              </w:rPr>
            </w:pPr>
          </w:p>
        </w:tc>
      </w:tr>
      <w:tr>
        <w:trPr>
          <w:trHeight w:val="41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8"/>
          </w:tcPr>
          <w:p>
            <w:pPr>
              <w:jc w:val="center"/>
              <w:ind w:right="1400"/>
              <w:spacing w:after="0"/>
              <w:rPr>
                <w:sz w:val="20"/>
                <w:szCs w:val="20"/>
                <w:color w:val="auto"/>
              </w:rPr>
            </w:pPr>
            <w:r>
              <w:rPr>
                <w:rFonts w:ascii="Arial" w:cs="Arial" w:eastAsia="Arial" w:hAnsi="Arial"/>
                <w:sz w:val="18"/>
                <w:szCs w:val="18"/>
                <w:b w:val="1"/>
                <w:bCs w:val="1"/>
                <w:color w:val="auto"/>
              </w:rPr>
              <w:t>PART I – FINANCIAL INFORMATION</w:t>
            </w: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6"/>
        </w:trPr>
        <w:tc>
          <w:tcPr>
            <w:tcW w:w="1720" w:type="dxa"/>
            <w:vAlign w:val="bottom"/>
          </w:tcPr>
          <w:p>
            <w:pPr>
              <w:spacing w:after="0"/>
              <w:rPr>
                <w:sz w:val="17"/>
                <w:szCs w:val="17"/>
                <w:color w:val="auto"/>
              </w:rPr>
            </w:pPr>
          </w:p>
        </w:tc>
        <w:tc>
          <w:tcPr>
            <w:tcW w:w="920" w:type="dxa"/>
            <w:vAlign w:val="bottom"/>
            <w:tcBorders>
              <w:bottom w:val="single" w:sz="8" w:color="CCEECC"/>
            </w:tcBorders>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EE"/>
            </w:tcBorders>
            <w:gridSpan w:val="6"/>
            <w:shd w:val="clear" w:color="auto" w:fill="CCEECC"/>
          </w:tcPr>
          <w:p>
            <w:pPr>
              <w:spacing w:after="0" w:line="176" w:lineRule="exact"/>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4560" w:type="dxa"/>
            <w:vAlign w:val="bottom"/>
            <w:tcBorders>
              <w:bottom w:val="single" w:sz="8" w:color="CCEECC"/>
            </w:tcBorders>
            <w:gridSpan w:val="8"/>
            <w:shd w:val="clear" w:color="auto" w:fill="CCEECC"/>
          </w:tcPr>
          <w:p>
            <w:pPr>
              <w:spacing w:after="0"/>
              <w:rPr>
                <w:sz w:val="17"/>
                <w:szCs w:val="17"/>
                <w:color w:val="auto"/>
              </w:rPr>
            </w:pPr>
          </w:p>
        </w:tc>
        <w:tc>
          <w:tcPr>
            <w:tcW w:w="780" w:type="dxa"/>
            <w:vAlign w:val="bottom"/>
            <w:tcBorders>
              <w:bottom w:val="single" w:sz="8" w:color="CCEECC"/>
            </w:tcBorders>
            <w:gridSpan w:val="2"/>
            <w:shd w:val="clear" w:color="auto" w:fill="CCEECC"/>
          </w:tcPr>
          <w:p>
            <w:pPr>
              <w:jc w:val="center"/>
              <w:ind w:left="350"/>
              <w:spacing w:after="0" w:line="176" w:lineRule="exact"/>
              <w:rPr>
                <w:sz w:val="20"/>
                <w:szCs w:val="20"/>
                <w:color w:val="auto"/>
              </w:rPr>
            </w:pPr>
            <w:r>
              <w:rPr>
                <w:rFonts w:ascii="Arial" w:cs="Arial" w:eastAsia="Arial" w:hAnsi="Arial"/>
                <w:sz w:val="18"/>
                <w:szCs w:val="18"/>
                <w:color w:val="auto"/>
                <w:w w:val="99"/>
              </w:rPr>
              <w:t>3</w:t>
            </w:r>
          </w:p>
        </w:tc>
        <w:tc>
          <w:tcPr>
            <w:tcW w:w="220" w:type="dxa"/>
            <w:vAlign w:val="bottom"/>
            <w:tcBorders>
              <w:bottom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5"/>
          </w:tcPr>
          <w:p>
            <w:pPr>
              <w:ind w:left="100"/>
              <w:spacing w:after="0" w:line="176" w:lineRule="exact"/>
              <w:rPr>
                <w:rFonts w:ascii="Arial" w:cs="Arial" w:eastAsia="Arial" w:hAnsi="Arial"/>
                <w:sz w:val="18"/>
                <w:szCs w:val="18"/>
                <w:color w:val="auto"/>
                <w:w w:val="99"/>
              </w:rPr>
            </w:pPr>
            <w:r>
              <w:rPr>
                <w:rFonts w:ascii="Arial" w:cs="Arial" w:eastAsia="Arial" w:hAnsi="Arial"/>
                <w:sz w:val="18"/>
                <w:szCs w:val="18"/>
                <w:color w:val="auto"/>
                <w:w w:val="99"/>
              </w:rPr>
              <w:t xml:space="preserve">Item 2:    </w:t>
            </w:r>
            <w:hyperlink w:anchor="page11">
              <w:r>
                <w:rPr>
                  <w:rFonts w:ascii="Arial" w:cs="Arial" w:eastAsia="Arial" w:hAnsi="Arial"/>
                  <w:sz w:val="18"/>
                  <w:szCs w:val="18"/>
                  <w:color w:val="0000EE"/>
                  <w:w w:val="99"/>
                </w:rPr>
                <w:t>Management’s Discussion and Analysis of Financial Condition and Results of</w:t>
              </w:r>
            </w:hyperlink>
          </w:p>
        </w:tc>
        <w:tc>
          <w:tcPr>
            <w:tcW w:w="780" w:type="dxa"/>
            <w:vAlign w:val="bottom"/>
            <w:gridSpan w:val="2"/>
          </w:tcPr>
          <w:p>
            <w:pPr>
              <w:jc w:val="center"/>
              <w:ind w:left="350"/>
              <w:spacing w:after="0" w:line="176" w:lineRule="exact"/>
              <w:rPr>
                <w:sz w:val="20"/>
                <w:szCs w:val="20"/>
                <w:color w:val="auto"/>
              </w:rPr>
            </w:pPr>
            <w:r>
              <w:rPr>
                <w:rFonts w:ascii="Arial" w:cs="Arial" w:eastAsia="Arial" w:hAnsi="Arial"/>
                <w:sz w:val="18"/>
                <w:szCs w:val="18"/>
                <w:color w:val="auto"/>
                <w:w w:val="99"/>
              </w:rPr>
              <w:t>4</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62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Operations</w:t>
              </w:r>
            </w:hyperlink>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5"/>
            <w:shd w:val="clear" w:color="auto" w:fill="CCEECC"/>
          </w:tcPr>
          <w:p>
            <w:pPr>
              <w:ind w:left="10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16">
              <w:r>
                <w:rPr>
                  <w:rFonts w:ascii="Arial" w:cs="Arial" w:eastAsia="Arial" w:hAnsi="Arial"/>
                  <w:sz w:val="18"/>
                  <w:szCs w:val="18"/>
                  <w:color w:val="0000EE"/>
                </w:rPr>
                <w:t>Quantitative and Qualitative Disclosures About Market Risk</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Arial" w:cs="Arial" w:eastAsia="Arial" w:hAnsi="Arial"/>
                <w:sz w:val="18"/>
                <w:szCs w:val="18"/>
                <w:color w:val="auto"/>
                <w:w w:val="99"/>
              </w:rPr>
              <w:t>9</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40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right w:val="single" w:sz="8" w:color="CCEECC"/>
            </w:tcBorders>
            <w:shd w:val="clear" w:color="auto" w:fill="CCEECC"/>
          </w:tcPr>
          <w:p>
            <w:pPr>
              <w:spacing w:after="0" w:line="20" w:lineRule="exact"/>
              <w:rPr>
                <w:sz w:val="1"/>
                <w:szCs w:val="1"/>
                <w:color w:val="auto"/>
              </w:rPr>
            </w:pPr>
          </w:p>
        </w:tc>
        <w:tc>
          <w:tcPr>
            <w:tcW w:w="560" w:type="dxa"/>
            <w:vAlign w:val="bottom"/>
            <w:tcBorders>
              <w:top w:val="single" w:sz="8" w:color="0000EE"/>
            </w:tcBorders>
            <w:shd w:val="clear" w:color="auto" w:fill="CCEECC"/>
          </w:tcPr>
          <w:p>
            <w:pPr>
              <w:spacing w:after="0" w:line="20" w:lineRule="exact"/>
              <w:rPr>
                <w:sz w:val="1"/>
                <w:szCs w:val="1"/>
                <w:color w:val="auto"/>
              </w:rPr>
            </w:pPr>
          </w:p>
        </w:tc>
        <w:tc>
          <w:tcPr>
            <w:tcW w:w="202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96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5"/>
          </w:tcPr>
          <w:p>
            <w:pPr>
              <w:ind w:left="10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16">
              <w:r>
                <w:rPr>
                  <w:rFonts w:ascii="Arial" w:cs="Arial" w:eastAsia="Arial" w:hAnsi="Arial"/>
                  <w:sz w:val="18"/>
                  <w:szCs w:val="18"/>
                  <w:color w:val="0000EE"/>
                </w:rPr>
                <w:t>Controls and Procedures</w:t>
              </w:r>
            </w:hyperlink>
          </w:p>
        </w:tc>
        <w:tc>
          <w:tcPr>
            <w:tcW w:w="780" w:type="dxa"/>
            <w:vAlign w:val="bottom"/>
            <w:gridSpan w:val="2"/>
          </w:tcPr>
          <w:p>
            <w:pPr>
              <w:jc w:val="center"/>
              <w:ind w:left="350"/>
              <w:spacing w:after="0" w:line="176" w:lineRule="exact"/>
              <w:rPr>
                <w:sz w:val="20"/>
                <w:szCs w:val="20"/>
                <w:color w:val="auto"/>
              </w:rPr>
            </w:pPr>
            <w:r>
              <w:rPr>
                <w:rFonts w:ascii="Arial" w:cs="Arial" w:eastAsia="Arial" w:hAnsi="Arial"/>
                <w:sz w:val="18"/>
                <w:szCs w:val="18"/>
                <w:color w:val="auto"/>
                <w:w w:val="99"/>
              </w:rPr>
              <w:t>9</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0"/>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2"/>
        </w:trPr>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60" w:type="dxa"/>
            <w:vAlign w:val="bottom"/>
            <w:gridSpan w:val="8"/>
          </w:tcPr>
          <w:p>
            <w:pPr>
              <w:jc w:val="center"/>
              <w:ind w:right="1420"/>
              <w:spacing w:after="0"/>
              <w:rPr>
                <w:sz w:val="20"/>
                <w:szCs w:val="20"/>
                <w:color w:val="auto"/>
              </w:rPr>
            </w:pPr>
            <w:r>
              <w:rPr>
                <w:rFonts w:ascii="Arial" w:cs="Arial" w:eastAsia="Arial" w:hAnsi="Arial"/>
                <w:sz w:val="18"/>
                <w:szCs w:val="18"/>
                <w:b w:val="1"/>
                <w:bCs w:val="1"/>
                <w:color w:val="auto"/>
              </w:rPr>
              <w:t>PART II – OTHER INFORMATION</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37"/>
        </w:trPr>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20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1:</w:t>
            </w:r>
          </w:p>
        </w:tc>
        <w:tc>
          <w:tcPr>
            <w:tcW w:w="6060" w:type="dxa"/>
            <w:vAlign w:val="bottom"/>
            <w:gridSpan w:val="14"/>
            <w:shd w:val="clear" w:color="auto" w:fill="CCEECC"/>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9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w:t>
            </w:r>
          </w:p>
        </w:tc>
        <w:tc>
          <w:tcPr>
            <w:tcW w:w="1320" w:type="dxa"/>
            <w:vAlign w:val="bottom"/>
            <w:tcBorders>
              <w:top w:val="single" w:sz="8" w:color="0000EE"/>
            </w:tcBorders>
            <w:gridSpan w:val="5"/>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4740" w:type="dxa"/>
            <w:vAlign w:val="bottom"/>
            <w:tcBorders>
              <w:top w:val="single" w:sz="8" w:color="CCEECC"/>
            </w:tcBorders>
            <w:gridSpan w:val="9"/>
          </w:tcPr>
          <w:p>
            <w:pPr>
              <w:spacing w:after="0"/>
              <w:rPr>
                <w:sz w:val="15"/>
                <w:szCs w:val="15"/>
                <w:color w:val="auto"/>
              </w:rPr>
            </w:pPr>
          </w:p>
        </w:tc>
        <w:tc>
          <w:tcPr>
            <w:tcW w:w="780" w:type="dxa"/>
            <w:vAlign w:val="bottom"/>
            <w:tcBorders>
              <w:top w:val="single" w:sz="8" w:color="CCEECC"/>
            </w:tcBorders>
            <w:gridSpan w:val="2"/>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r>
      <w:tr>
        <w:trPr>
          <w:trHeight w:val="237"/>
        </w:trPr>
        <w:tc>
          <w:tcPr>
            <w:tcW w:w="1720" w:type="dxa"/>
            <w:vAlign w:val="bottom"/>
          </w:tcPr>
          <w:p>
            <w:pPr>
              <w:spacing w:after="0"/>
              <w:rPr>
                <w:sz w:val="20"/>
                <w:szCs w:val="20"/>
                <w:color w:val="auto"/>
              </w:rPr>
            </w:pPr>
          </w:p>
        </w:tc>
        <w:tc>
          <w:tcPr>
            <w:tcW w:w="920" w:type="dxa"/>
            <w:vAlign w:val="bottom"/>
          </w:tcPr>
          <w:p>
            <w:pPr>
              <w:ind w:left="100"/>
              <w:spacing w:after="0"/>
              <w:rPr>
                <w:sz w:val="20"/>
                <w:szCs w:val="20"/>
                <w:color w:val="auto"/>
              </w:rPr>
            </w:pPr>
            <w:r>
              <w:rPr>
                <w:rFonts w:ascii="Arial" w:cs="Arial" w:eastAsia="Arial" w:hAnsi="Arial"/>
                <w:sz w:val="18"/>
                <w:szCs w:val="18"/>
                <w:color w:val="auto"/>
              </w:rPr>
              <w:t>1A:</w:t>
            </w:r>
          </w:p>
        </w:tc>
        <w:tc>
          <w:tcPr>
            <w:tcW w:w="6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5"/>
            <w:shd w:val="clear" w:color="auto" w:fill="CCEECC"/>
          </w:tcPr>
          <w:p>
            <w:pPr>
              <w:ind w:left="10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2:    </w:t>
            </w:r>
            <w:hyperlink w:anchor="page17">
              <w:r>
                <w:rPr>
                  <w:rFonts w:ascii="Arial" w:cs="Arial" w:eastAsia="Arial" w:hAnsi="Arial"/>
                  <w:sz w:val="18"/>
                  <w:szCs w:val="18"/>
                  <w:color w:val="0000EE"/>
                </w:rPr>
                <w:t>Unregistered Sales of Equity Securities and Use of Proceeds</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shd w:val="clear" w:color="auto" w:fill="CCEECC"/>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Borders>
              <w:top w:val="single" w:sz="8" w:color="CCEECC"/>
            </w:tcBorders>
            <w:shd w:val="clear" w:color="auto" w:fill="CCEECC"/>
          </w:tcPr>
          <w:p>
            <w:pPr>
              <w:spacing w:after="0" w:line="20" w:lineRule="exact"/>
              <w:rPr>
                <w:sz w:val="1"/>
                <w:szCs w:val="1"/>
                <w:color w:val="auto"/>
              </w:rPr>
            </w:pPr>
          </w:p>
        </w:tc>
        <w:tc>
          <w:tcPr>
            <w:tcW w:w="60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tcBorders>
            <w:shd w:val="clear" w:color="auto" w:fill="CCEECC"/>
          </w:tcPr>
          <w:p>
            <w:pPr>
              <w:spacing w:after="0" w:line="20" w:lineRule="exact"/>
              <w:rPr>
                <w:sz w:val="1"/>
                <w:szCs w:val="1"/>
                <w:color w:val="auto"/>
              </w:rPr>
            </w:pPr>
          </w:p>
        </w:tc>
        <w:tc>
          <w:tcPr>
            <w:tcW w:w="400" w:type="dxa"/>
            <w:vAlign w:val="bottom"/>
            <w:tcBorders>
              <w:top w:val="single" w:sz="8" w:color="0000EE"/>
            </w:tcBorders>
            <w:shd w:val="clear" w:color="auto" w:fill="CCEECC"/>
          </w:tcPr>
          <w:p>
            <w:pPr>
              <w:spacing w:after="0" w:line="20" w:lineRule="exact"/>
              <w:rPr>
                <w:sz w:val="1"/>
                <w:szCs w:val="1"/>
                <w:color w:val="auto"/>
              </w:rPr>
            </w:pPr>
          </w:p>
        </w:tc>
        <w:tc>
          <w:tcPr>
            <w:tcW w:w="20" w:type="dxa"/>
            <w:vAlign w:val="bottom"/>
            <w:tcBorders>
              <w:top w:val="single" w:sz="8" w:color="0000EE"/>
            </w:tcBorders>
            <w:shd w:val="clear" w:color="auto" w:fill="CCEECC"/>
          </w:tcPr>
          <w:p>
            <w:pPr>
              <w:spacing w:after="0" w:line="20" w:lineRule="exact"/>
              <w:rPr>
                <w:sz w:val="1"/>
                <w:szCs w:val="1"/>
                <w:color w:val="auto"/>
              </w:rPr>
            </w:pPr>
          </w:p>
        </w:tc>
        <w:tc>
          <w:tcPr>
            <w:tcW w:w="180" w:type="dxa"/>
            <w:vAlign w:val="bottom"/>
            <w:tcBorders>
              <w:top w:val="single" w:sz="8" w:color="0000EE"/>
            </w:tcBorders>
            <w:shd w:val="clear" w:color="auto" w:fill="CCEECC"/>
          </w:tcPr>
          <w:p>
            <w:pPr>
              <w:spacing w:after="0" w:line="20" w:lineRule="exact"/>
              <w:rPr>
                <w:sz w:val="1"/>
                <w:szCs w:val="1"/>
                <w:color w:val="auto"/>
              </w:rPr>
            </w:pPr>
          </w:p>
        </w:tc>
        <w:tc>
          <w:tcPr>
            <w:tcW w:w="140" w:type="dxa"/>
            <w:vAlign w:val="bottom"/>
            <w:tcBorders>
              <w:top w:val="single" w:sz="8" w:color="0000EE"/>
            </w:tcBorders>
            <w:shd w:val="clear" w:color="auto" w:fill="CCEECC"/>
          </w:tcPr>
          <w:p>
            <w:pPr>
              <w:spacing w:after="0" w:line="20" w:lineRule="exact"/>
              <w:rPr>
                <w:sz w:val="1"/>
                <w:szCs w:val="1"/>
                <w:color w:val="auto"/>
              </w:rPr>
            </w:pPr>
          </w:p>
        </w:tc>
        <w:tc>
          <w:tcPr>
            <w:tcW w:w="120" w:type="dxa"/>
            <w:vAlign w:val="bottom"/>
            <w:tcBorders>
              <w:top w:val="single" w:sz="8" w:color="0000EE"/>
              <w:right w:val="single" w:sz="8" w:color="CCEECC"/>
            </w:tcBorders>
            <w:shd w:val="clear" w:color="auto" w:fill="CCEECC"/>
          </w:tcPr>
          <w:p>
            <w:pPr>
              <w:spacing w:after="0" w:line="20" w:lineRule="exact"/>
              <w:rPr>
                <w:sz w:val="1"/>
                <w:szCs w:val="1"/>
                <w:color w:val="auto"/>
              </w:rPr>
            </w:pPr>
          </w:p>
        </w:tc>
        <w:tc>
          <w:tcPr>
            <w:tcW w:w="560" w:type="dxa"/>
            <w:vAlign w:val="bottom"/>
            <w:tcBorders>
              <w:top w:val="single" w:sz="8" w:color="0000EE"/>
            </w:tcBorders>
            <w:shd w:val="clear" w:color="auto" w:fill="CCEECC"/>
          </w:tcPr>
          <w:p>
            <w:pPr>
              <w:spacing w:after="0" w:line="20" w:lineRule="exact"/>
              <w:rPr>
                <w:sz w:val="1"/>
                <w:szCs w:val="1"/>
                <w:color w:val="auto"/>
              </w:rPr>
            </w:pPr>
          </w:p>
        </w:tc>
        <w:tc>
          <w:tcPr>
            <w:tcW w:w="2020" w:type="dxa"/>
            <w:vAlign w:val="bottom"/>
            <w:tcBorders>
              <w:top w:val="single" w:sz="8" w:color="0000EE"/>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160" w:type="dxa"/>
            <w:vAlign w:val="bottom"/>
            <w:tcBorders>
              <w:top w:val="single" w:sz="8" w:color="CCEECC"/>
            </w:tcBorders>
            <w:shd w:val="clear" w:color="auto" w:fill="CCEECC"/>
          </w:tcPr>
          <w:p>
            <w:pPr>
              <w:spacing w:after="0" w:line="20" w:lineRule="exact"/>
              <w:rPr>
                <w:sz w:val="1"/>
                <w:szCs w:val="1"/>
                <w:color w:val="auto"/>
              </w:rPr>
            </w:pPr>
          </w:p>
        </w:tc>
        <w:tc>
          <w:tcPr>
            <w:tcW w:w="96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440" w:type="dxa"/>
            <w:vAlign w:val="bottom"/>
            <w:tcBorders>
              <w:top w:val="single" w:sz="8" w:color="CCEECC"/>
            </w:tcBorders>
            <w:shd w:val="clear" w:color="auto" w:fill="CCEECC"/>
          </w:tcPr>
          <w:p>
            <w:pPr>
              <w:spacing w:after="0" w:line="20" w:lineRule="exact"/>
              <w:rPr>
                <w:sz w:val="1"/>
                <w:szCs w:val="1"/>
                <w:color w:val="auto"/>
              </w:rPr>
            </w:pPr>
          </w:p>
        </w:tc>
        <w:tc>
          <w:tcPr>
            <w:tcW w:w="340" w:type="dxa"/>
            <w:vAlign w:val="bottom"/>
            <w:tcBorders>
              <w:top w:val="single" w:sz="8" w:color="CCEECC"/>
            </w:tcBorders>
            <w:shd w:val="clear" w:color="auto" w:fill="CCEECC"/>
          </w:tcPr>
          <w:p>
            <w:pPr>
              <w:spacing w:after="0" w:line="20" w:lineRule="exact"/>
              <w:rPr>
                <w:sz w:val="1"/>
                <w:szCs w:val="1"/>
                <w:color w:val="auto"/>
              </w:rPr>
            </w:pPr>
          </w:p>
        </w:tc>
        <w:tc>
          <w:tcPr>
            <w:tcW w:w="220" w:type="dxa"/>
            <w:vAlign w:val="bottom"/>
            <w:tcBorders>
              <w:top w:val="single" w:sz="8" w:color="CCEECC"/>
            </w:tcBorders>
            <w:shd w:val="clear" w:color="auto" w:fill="CCEECC"/>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76"/>
        </w:trPr>
        <w:tc>
          <w:tcPr>
            <w:tcW w:w="1720" w:type="dxa"/>
            <w:vAlign w:val="bottom"/>
          </w:tcPr>
          <w:p>
            <w:pPr>
              <w:spacing w:after="0"/>
              <w:rPr>
                <w:sz w:val="15"/>
                <w:szCs w:val="15"/>
                <w:color w:val="auto"/>
              </w:rPr>
            </w:pPr>
          </w:p>
        </w:tc>
        <w:tc>
          <w:tcPr>
            <w:tcW w:w="6980" w:type="dxa"/>
            <w:vAlign w:val="bottom"/>
            <w:gridSpan w:val="15"/>
          </w:tcPr>
          <w:p>
            <w:pPr>
              <w:ind w:left="10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3:    </w:t>
            </w:r>
            <w:hyperlink w:anchor="page17">
              <w:r>
                <w:rPr>
                  <w:rFonts w:ascii="Arial" w:cs="Arial" w:eastAsia="Arial" w:hAnsi="Arial"/>
                  <w:sz w:val="18"/>
                  <w:szCs w:val="18"/>
                  <w:color w:val="0000EE"/>
                </w:rPr>
                <w:t>Defaults Upon Senior Securities</w:t>
              </w:r>
            </w:hyperlink>
          </w:p>
        </w:tc>
        <w:tc>
          <w:tcPr>
            <w:tcW w:w="780" w:type="dxa"/>
            <w:vAlign w:val="bottom"/>
            <w:gridSpan w:val="2"/>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6980" w:type="dxa"/>
            <w:vAlign w:val="bottom"/>
            <w:gridSpan w:val="15"/>
            <w:shd w:val="clear" w:color="auto" w:fill="CCEECC"/>
          </w:tcPr>
          <w:p>
            <w:pPr>
              <w:ind w:left="100"/>
              <w:spacing w:after="0" w:line="176" w:lineRule="exact"/>
              <w:rPr>
                <w:rFonts w:ascii="Arial" w:cs="Arial" w:eastAsia="Arial" w:hAnsi="Arial"/>
                <w:sz w:val="18"/>
                <w:szCs w:val="18"/>
                <w:color w:val="auto"/>
              </w:rPr>
            </w:pPr>
            <w:r>
              <w:rPr>
                <w:rFonts w:ascii="Arial" w:cs="Arial" w:eastAsia="Arial" w:hAnsi="Arial"/>
                <w:sz w:val="18"/>
                <w:szCs w:val="18"/>
                <w:color w:val="auto"/>
              </w:rPr>
              <w:t xml:space="preserve">Item 4:    </w:t>
            </w:r>
            <w:hyperlink w:anchor="page17">
              <w:r>
                <w:rPr>
                  <w:rFonts w:ascii="Arial" w:cs="Arial" w:eastAsia="Arial" w:hAnsi="Arial"/>
                  <w:sz w:val="18"/>
                  <w:szCs w:val="18"/>
                  <w:color w:val="0000EE"/>
                </w:rPr>
                <w:t>Mine Safety Disclosure</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176"/>
        </w:trPr>
        <w:tc>
          <w:tcPr>
            <w:tcW w:w="1720" w:type="dxa"/>
            <w:vAlign w:val="bottom"/>
          </w:tcPr>
          <w:p>
            <w:pPr>
              <w:spacing w:after="0"/>
              <w:rPr>
                <w:sz w:val="15"/>
                <w:szCs w:val="15"/>
                <w:color w:val="auto"/>
              </w:rPr>
            </w:pPr>
          </w:p>
        </w:tc>
        <w:tc>
          <w:tcPr>
            <w:tcW w:w="920" w:type="dxa"/>
            <w:vAlign w:val="bottom"/>
            <w:tcBorders>
              <w:top w:val="single" w:sz="8" w:color="CCEECC"/>
            </w:tcBorders>
          </w:tcPr>
          <w:p>
            <w:pPr>
              <w:ind w:left="100"/>
              <w:spacing w:after="0" w:line="176" w:lineRule="exact"/>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8"/>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Other Information</w:t>
              </w:r>
            </w:hyperlink>
          </w:p>
        </w:tc>
        <w:tc>
          <w:tcPr>
            <w:tcW w:w="4300" w:type="dxa"/>
            <w:vAlign w:val="bottom"/>
            <w:tcBorders>
              <w:top w:val="single" w:sz="8" w:color="CCEECC"/>
            </w:tcBorders>
            <w:gridSpan w:val="6"/>
          </w:tcPr>
          <w:p>
            <w:pPr>
              <w:spacing w:after="0"/>
              <w:rPr>
                <w:sz w:val="15"/>
                <w:szCs w:val="15"/>
                <w:color w:val="auto"/>
              </w:rPr>
            </w:pPr>
          </w:p>
        </w:tc>
        <w:tc>
          <w:tcPr>
            <w:tcW w:w="780" w:type="dxa"/>
            <w:vAlign w:val="bottom"/>
            <w:tcBorders>
              <w:top w:val="single" w:sz="8" w:color="CCEECC"/>
            </w:tcBorders>
            <w:gridSpan w:val="2"/>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tcBorders>
              <w:top w:val="single" w:sz="8" w:color="CCEECC"/>
            </w:tcBorders>
          </w:tcPr>
          <w:p>
            <w:pPr>
              <w:spacing w:after="0"/>
              <w:rPr>
                <w:sz w:val="15"/>
                <w:szCs w:val="15"/>
                <w:color w:val="auto"/>
              </w:rPr>
            </w:pPr>
          </w:p>
        </w:tc>
        <w:tc>
          <w:tcPr>
            <w:tcW w:w="1720" w:type="dxa"/>
            <w:vAlign w:val="bottom"/>
          </w:tcPr>
          <w:p>
            <w:pPr>
              <w:spacing w:after="0"/>
              <w:rPr>
                <w:sz w:val="15"/>
                <w:szCs w:val="15"/>
                <w:color w:val="auto"/>
              </w:rPr>
            </w:pPr>
          </w:p>
        </w:tc>
      </w:tr>
      <w:tr>
        <w:trPr>
          <w:trHeight w:val="21"/>
        </w:trPr>
        <w:tc>
          <w:tcPr>
            <w:tcW w:w="1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6"/>
        </w:trPr>
        <w:tc>
          <w:tcPr>
            <w:tcW w:w="1720" w:type="dxa"/>
            <w:vAlign w:val="bottom"/>
          </w:tcPr>
          <w:p>
            <w:pPr>
              <w:spacing w:after="0"/>
              <w:rPr>
                <w:sz w:val="17"/>
                <w:szCs w:val="17"/>
                <w:color w:val="auto"/>
              </w:rPr>
            </w:pPr>
          </w:p>
        </w:tc>
        <w:tc>
          <w:tcPr>
            <w:tcW w:w="920" w:type="dxa"/>
            <w:vAlign w:val="bottom"/>
            <w:shd w:val="clear" w:color="auto" w:fill="CCEECC"/>
          </w:tcPr>
          <w:p>
            <w:pPr>
              <w:ind w:left="100"/>
              <w:spacing w:after="0" w:line="176" w:lineRule="exact"/>
              <w:rPr>
                <w:sz w:val="20"/>
                <w:szCs w:val="20"/>
                <w:color w:val="auto"/>
              </w:rPr>
            </w:pPr>
            <w:r>
              <w:rPr>
                <w:rFonts w:ascii="Arial" w:cs="Arial" w:eastAsia="Arial" w:hAnsi="Arial"/>
                <w:sz w:val="18"/>
                <w:szCs w:val="18"/>
                <w:color w:val="auto"/>
              </w:rPr>
              <w:t>Item 6:</w:t>
            </w:r>
          </w:p>
        </w:tc>
        <w:tc>
          <w:tcPr>
            <w:tcW w:w="6060" w:type="dxa"/>
            <w:vAlign w:val="bottom"/>
            <w:gridSpan w:val="14"/>
            <w:shd w:val="clear" w:color="auto" w:fill="CCEECC"/>
          </w:tcPr>
          <w:p>
            <w:pPr>
              <w:spacing w:after="0" w:line="176" w:lineRule="exact"/>
              <w:rPr>
                <w:rFonts w:ascii="Arial" w:cs="Arial" w:eastAsia="Arial" w:hAnsi="Arial"/>
                <w:sz w:val="18"/>
                <w:szCs w:val="18"/>
                <w:color w:val="0000EE"/>
              </w:rPr>
            </w:pPr>
            <w:hyperlink w:anchor="page17">
              <w:r>
                <w:rPr>
                  <w:rFonts w:ascii="Arial" w:cs="Arial" w:eastAsia="Arial" w:hAnsi="Arial"/>
                  <w:sz w:val="18"/>
                  <w:szCs w:val="18"/>
                  <w:color w:val="0000EE"/>
                </w:rPr>
                <w:t>Exhibits</w:t>
              </w:r>
            </w:hyperlink>
          </w:p>
        </w:tc>
        <w:tc>
          <w:tcPr>
            <w:tcW w:w="780" w:type="dxa"/>
            <w:vAlign w:val="bottom"/>
            <w:gridSpan w:val="2"/>
            <w:shd w:val="clear" w:color="auto" w:fill="CCEECC"/>
          </w:tcPr>
          <w:p>
            <w:pPr>
              <w:jc w:val="center"/>
              <w:ind w:left="350"/>
              <w:spacing w:after="0" w:line="176" w:lineRule="exact"/>
              <w:rPr>
                <w:sz w:val="20"/>
                <w:szCs w:val="20"/>
                <w:color w:val="auto"/>
              </w:rPr>
            </w:pPr>
            <w:r>
              <w:rPr>
                <w:rFonts w:ascii="Arial" w:cs="Arial" w:eastAsia="Arial" w:hAnsi="Arial"/>
                <w:sz w:val="18"/>
                <w:szCs w:val="18"/>
                <w:color w:val="auto"/>
                <w:w w:val="89"/>
              </w:rPr>
              <w:t>10</w:t>
            </w:r>
          </w:p>
        </w:tc>
        <w:tc>
          <w:tcPr>
            <w:tcW w:w="220" w:type="dxa"/>
            <w:vAlign w:val="bottom"/>
            <w:shd w:val="clear" w:color="auto" w:fill="CCEECC"/>
          </w:tcPr>
          <w:p>
            <w:pPr>
              <w:spacing w:after="0"/>
              <w:rPr>
                <w:sz w:val="17"/>
                <w:szCs w:val="17"/>
                <w:color w:val="auto"/>
              </w:rPr>
            </w:pPr>
          </w:p>
        </w:tc>
        <w:tc>
          <w:tcPr>
            <w:tcW w:w="1720" w:type="dxa"/>
            <w:vAlign w:val="bottom"/>
          </w:tcPr>
          <w:p>
            <w:pPr>
              <w:spacing w:after="0"/>
              <w:rPr>
                <w:sz w:val="17"/>
                <w:szCs w:val="17"/>
                <w:color w:val="auto"/>
              </w:rPr>
            </w:pPr>
          </w:p>
        </w:tc>
      </w:tr>
      <w:tr>
        <w:trPr>
          <w:trHeight w:val="432"/>
        </w:trPr>
        <w:tc>
          <w:tcPr>
            <w:tcW w:w="1720" w:type="dxa"/>
            <w:vAlign w:val="bottom"/>
            <w:tcBorders>
              <w:bottom w:val="single" w:sz="8" w:color="auto"/>
            </w:tcBorders>
          </w:tcPr>
          <w:p>
            <w:pPr>
              <w:spacing w:after="0"/>
              <w:rPr>
                <w:sz w:val="24"/>
                <w:szCs w:val="24"/>
                <w:color w:val="auto"/>
              </w:rPr>
            </w:pPr>
          </w:p>
        </w:tc>
        <w:tc>
          <w:tcPr>
            <w:tcW w:w="920" w:type="dxa"/>
            <w:vAlign w:val="bottom"/>
            <w:tcBorders>
              <w:top w:val="single" w:sz="8" w:color="CCEECC"/>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20" w:type="dxa"/>
            <w:vAlign w:val="bottom"/>
            <w:tcBorders>
              <w:top w:val="single" w:sz="8" w:color="CCEECC"/>
              <w:bottom w:val="single" w:sz="8" w:color="auto"/>
            </w:tcBorders>
          </w:tcPr>
          <w:p>
            <w:pPr>
              <w:spacing w:after="0"/>
              <w:rPr>
                <w:sz w:val="24"/>
                <w:szCs w:val="24"/>
                <w:color w:val="auto"/>
              </w:rPr>
            </w:pPr>
          </w:p>
        </w:tc>
        <w:tc>
          <w:tcPr>
            <w:tcW w:w="400" w:type="dxa"/>
            <w:vAlign w:val="bottom"/>
            <w:tcBorders>
              <w:top w:val="single" w:sz="8" w:color="CCEECC"/>
              <w:bottom w:val="single" w:sz="8" w:color="auto"/>
            </w:tcBorders>
          </w:tcPr>
          <w:p>
            <w:pPr>
              <w:spacing w:after="0"/>
              <w:rPr>
                <w:sz w:val="24"/>
                <w:szCs w:val="24"/>
                <w:color w:val="auto"/>
              </w:rPr>
            </w:pPr>
          </w:p>
        </w:tc>
        <w:tc>
          <w:tcPr>
            <w:tcW w:w="20" w:type="dxa"/>
            <w:vAlign w:val="bottom"/>
            <w:tcBorders>
              <w:top w:val="single" w:sz="8" w:color="CCEECC"/>
              <w:bottom w:val="single" w:sz="8" w:color="auto"/>
            </w:tcBorders>
          </w:tcPr>
          <w:p>
            <w:pPr>
              <w:spacing w:after="0"/>
              <w:rPr>
                <w:sz w:val="24"/>
                <w:szCs w:val="24"/>
                <w:color w:val="auto"/>
              </w:rPr>
            </w:pPr>
          </w:p>
        </w:tc>
        <w:tc>
          <w:tcPr>
            <w:tcW w:w="180" w:type="dxa"/>
            <w:vAlign w:val="bottom"/>
            <w:tcBorders>
              <w:top w:val="single" w:sz="8" w:color="CCEECC"/>
              <w:bottom w:val="single" w:sz="8" w:color="auto"/>
            </w:tcBorders>
          </w:tcPr>
          <w:p>
            <w:pPr>
              <w:spacing w:after="0"/>
              <w:rPr>
                <w:sz w:val="24"/>
                <w:szCs w:val="24"/>
                <w:color w:val="auto"/>
              </w:rPr>
            </w:pPr>
          </w:p>
        </w:tc>
        <w:tc>
          <w:tcPr>
            <w:tcW w:w="140" w:type="dxa"/>
            <w:vAlign w:val="bottom"/>
            <w:tcBorders>
              <w:top w:val="single" w:sz="8" w:color="CCEECC"/>
              <w:bottom w:val="single" w:sz="8" w:color="auto"/>
            </w:tcBorders>
          </w:tcPr>
          <w:p>
            <w:pPr>
              <w:spacing w:after="0"/>
              <w:rPr>
                <w:sz w:val="24"/>
                <w:szCs w:val="24"/>
                <w:color w:val="auto"/>
              </w:rPr>
            </w:pPr>
          </w:p>
        </w:tc>
        <w:tc>
          <w:tcPr>
            <w:tcW w:w="120" w:type="dxa"/>
            <w:vAlign w:val="bottom"/>
            <w:tcBorders>
              <w:top w:val="single" w:sz="8" w:color="CCEECC"/>
              <w:bottom w:val="single" w:sz="8" w:color="auto"/>
            </w:tcBorders>
          </w:tcPr>
          <w:p>
            <w:pPr>
              <w:spacing w:after="0"/>
              <w:rPr>
                <w:sz w:val="24"/>
                <w:szCs w:val="24"/>
                <w:color w:val="auto"/>
              </w:rPr>
            </w:pPr>
          </w:p>
        </w:tc>
        <w:tc>
          <w:tcPr>
            <w:tcW w:w="560" w:type="dxa"/>
            <w:vAlign w:val="bottom"/>
            <w:tcBorders>
              <w:top w:val="single" w:sz="8" w:color="CCEECC"/>
              <w:bottom w:val="single" w:sz="8" w:color="auto"/>
            </w:tcBorders>
          </w:tcPr>
          <w:p>
            <w:pPr>
              <w:spacing w:after="0"/>
              <w:rPr>
                <w:sz w:val="24"/>
                <w:szCs w:val="24"/>
                <w:color w:val="auto"/>
              </w:rPr>
            </w:pPr>
          </w:p>
        </w:tc>
        <w:tc>
          <w:tcPr>
            <w:tcW w:w="202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160" w:type="dxa"/>
            <w:vAlign w:val="bottom"/>
            <w:tcBorders>
              <w:top w:val="single" w:sz="8" w:color="CCEECC"/>
              <w:bottom w:val="single" w:sz="8" w:color="auto"/>
            </w:tcBorders>
          </w:tcPr>
          <w:p>
            <w:pPr>
              <w:spacing w:after="0"/>
              <w:rPr>
                <w:sz w:val="24"/>
                <w:szCs w:val="24"/>
                <w:color w:val="auto"/>
              </w:rPr>
            </w:pPr>
          </w:p>
        </w:tc>
        <w:tc>
          <w:tcPr>
            <w:tcW w:w="960" w:type="dxa"/>
            <w:vAlign w:val="bottom"/>
            <w:tcBorders>
              <w:top w:val="single" w:sz="8" w:color="CCEECC"/>
              <w:bottom w:val="single" w:sz="8" w:color="auto"/>
            </w:tcBorders>
          </w:tcPr>
          <w:p>
            <w:pPr>
              <w:spacing w:after="0"/>
              <w:rPr>
                <w:sz w:val="24"/>
                <w:szCs w:val="24"/>
                <w:color w:val="auto"/>
              </w:rPr>
            </w:pPr>
          </w:p>
        </w:tc>
        <w:tc>
          <w:tcPr>
            <w:tcW w:w="440" w:type="dxa"/>
            <w:vAlign w:val="bottom"/>
            <w:tcBorders>
              <w:top w:val="single" w:sz="8" w:color="CCEECC"/>
              <w:bottom w:val="single" w:sz="8" w:color="auto"/>
            </w:tcBorders>
          </w:tcPr>
          <w:p>
            <w:pPr>
              <w:spacing w:after="0"/>
              <w:rPr>
                <w:sz w:val="24"/>
                <w:szCs w:val="24"/>
                <w:color w:val="auto"/>
              </w:rPr>
            </w:pPr>
          </w:p>
        </w:tc>
        <w:tc>
          <w:tcPr>
            <w:tcW w:w="440" w:type="dxa"/>
            <w:vAlign w:val="bottom"/>
            <w:tcBorders>
              <w:top w:val="single" w:sz="8" w:color="CCEECC"/>
              <w:bottom w:val="single" w:sz="8" w:color="auto"/>
            </w:tcBorders>
          </w:tcPr>
          <w:p>
            <w:pPr>
              <w:spacing w:after="0"/>
              <w:rPr>
                <w:sz w:val="24"/>
                <w:szCs w:val="24"/>
                <w:color w:val="auto"/>
              </w:rPr>
            </w:pPr>
          </w:p>
        </w:tc>
        <w:tc>
          <w:tcPr>
            <w:tcW w:w="340" w:type="dxa"/>
            <w:vAlign w:val="bottom"/>
            <w:tcBorders>
              <w:top w:val="single" w:sz="8" w:color="CCEECC"/>
              <w:bottom w:val="single" w:sz="8" w:color="auto"/>
            </w:tcBorders>
          </w:tcPr>
          <w:p>
            <w:pPr>
              <w:spacing w:after="0"/>
              <w:rPr>
                <w:sz w:val="24"/>
                <w:szCs w:val="24"/>
                <w:color w:val="auto"/>
              </w:rPr>
            </w:pPr>
          </w:p>
        </w:tc>
        <w:tc>
          <w:tcPr>
            <w:tcW w:w="220" w:type="dxa"/>
            <w:vAlign w:val="bottom"/>
            <w:tcBorders>
              <w:top w:val="single" w:sz="8" w:color="CCEECC"/>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r>
      <w:tr>
        <w:trPr>
          <w:trHeight w:val="224"/>
        </w:trPr>
        <w:tc>
          <w:tcPr>
            <w:tcW w:w="17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340" w:type="dxa"/>
            <w:vAlign w:val="bottom"/>
            <w:gridSpan w:val="10"/>
          </w:tcPr>
          <w:p>
            <w:pPr>
              <w:jc w:val="center"/>
              <w:ind w:left="1710"/>
              <w:spacing w:after="0"/>
              <w:rPr>
                <w:sz w:val="20"/>
                <w:szCs w:val="20"/>
                <w:color w:val="auto"/>
              </w:rPr>
            </w:pPr>
            <w:r>
              <w:rPr>
                <w:rFonts w:ascii="Arial" w:cs="Arial" w:eastAsia="Arial" w:hAnsi="Arial"/>
                <w:sz w:val="18"/>
                <w:szCs w:val="18"/>
                <w:color w:val="auto"/>
                <w:w w:val="99"/>
              </w:rPr>
              <w:t>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 included in this Form 10-Q are as follows:</w:t>
      </w:r>
    </w:p>
    <w:p>
      <w:pPr>
        <w:spacing w:after="0" w:line="225" w:lineRule="exact"/>
        <w:rPr>
          <w:sz w:val="20"/>
          <w:szCs w:val="20"/>
          <w:color w:val="auto"/>
        </w:rPr>
      </w:pPr>
    </w:p>
    <w:p>
      <w:pPr>
        <w:ind w:right="280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F-1 </w:t>
      </w:r>
      <w:hyperlink w:anchor="page4">
        <w:r>
          <w:rPr>
            <w:rFonts w:ascii="Arial" w:cs="Arial" w:eastAsia="Arial" w:hAnsi="Arial"/>
            <w:sz w:val="18"/>
            <w:szCs w:val="18"/>
            <w:u w:val="single" w:color="auto"/>
            <w:color w:val="0000EE"/>
          </w:rPr>
          <w:t>Consolidated Balance Sheets (unaudited) as of June 30, 2014 and December 31, 2013;</w:t>
        </w:r>
      </w:hyperlink>
      <w:r>
        <w:rPr>
          <w:rFonts w:ascii="Arial" w:cs="Arial" w:eastAsia="Arial" w:hAnsi="Arial"/>
          <w:sz w:val="18"/>
          <w:szCs w:val="18"/>
          <w:color w:val="auto"/>
        </w:rPr>
        <w:t xml:space="preserve"> F-2 </w:t>
      </w:r>
      <w:hyperlink w:anchor="page5">
        <w:r>
          <w:rPr>
            <w:rFonts w:ascii="Arial" w:cs="Arial" w:eastAsia="Arial" w:hAnsi="Arial"/>
            <w:sz w:val="18"/>
            <w:szCs w:val="18"/>
            <w:u w:val="single" w:color="auto"/>
            <w:color w:val="0000EE"/>
          </w:rPr>
          <w:t>Consolidated Statements of Operations for the three and six months ended June 30, 2014 and 2013 (unaudited)</w:t>
        </w:r>
      </w:hyperlink>
      <w:r>
        <w:rPr>
          <w:rFonts w:ascii="Arial" w:cs="Arial" w:eastAsia="Arial" w:hAnsi="Arial"/>
          <w:sz w:val="18"/>
          <w:szCs w:val="18"/>
          <w:color w:val="auto"/>
        </w:rPr>
        <w:t xml:space="preserve">; F-3 </w:t>
      </w:r>
      <w:hyperlink w:anchor="page6">
        <w:r>
          <w:rPr>
            <w:rFonts w:ascii="Arial" w:cs="Arial" w:eastAsia="Arial" w:hAnsi="Arial"/>
            <w:sz w:val="18"/>
            <w:szCs w:val="18"/>
            <w:u w:val="single" w:color="auto"/>
            <w:color w:val="0000EE"/>
          </w:rPr>
          <w:t>Consolidated Statements of Cash Flow for the six months ended June 30, 2014 and 2013 (unaudited);</w:t>
        </w:r>
      </w:hyperlink>
      <w:r>
        <w:rPr>
          <w:rFonts w:ascii="Arial" w:cs="Arial" w:eastAsia="Arial" w:hAnsi="Arial"/>
          <w:sz w:val="18"/>
          <w:szCs w:val="18"/>
          <w:color w:val="auto"/>
        </w:rPr>
        <w:t xml:space="preserve"> F-4 </w:t>
      </w:r>
      <w:hyperlink w:anchor="page7">
        <w:r>
          <w:rPr>
            <w:rFonts w:ascii="Arial" w:cs="Arial" w:eastAsia="Arial" w:hAnsi="Arial"/>
            <w:sz w:val="18"/>
            <w:szCs w:val="18"/>
            <w:u w:val="single" w:color="auto"/>
            <w:color w:val="0000EE"/>
          </w:rPr>
          <w:t>Notes to Consolidated Financial Statements.</w:t>
        </w:r>
      </w:hyperlink>
    </w:p>
    <w:p>
      <w:pPr>
        <w:spacing w:after="0" w:line="187" w:lineRule="exact"/>
        <w:rPr>
          <w:rFonts w:ascii="Arial" w:cs="Arial" w:eastAsia="Arial" w:hAnsi="Arial"/>
          <w:sz w:val="18"/>
          <w:szCs w:val="18"/>
          <w:color w:val="auto"/>
        </w:rPr>
      </w:pPr>
    </w:p>
    <w:p>
      <w:pPr>
        <w:jc w:val="both"/>
        <w:spacing w:after="0" w:line="259"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June 30, 2014 are not necessarily indicative of the results that can be expected for the full year.</w:t>
      </w:r>
    </w:p>
    <w:p>
      <w:pPr>
        <w:spacing w:after="0" w:line="200" w:lineRule="exact"/>
        <w:rPr>
          <w:rFonts w:ascii="Arial" w:cs="Arial" w:eastAsia="Arial" w:hAnsi="Arial"/>
          <w:sz w:val="18"/>
          <w:szCs w:val="18"/>
          <w:color w:val="auto"/>
        </w:rPr>
      </w:pPr>
    </w:p>
    <w:p>
      <w:pPr>
        <w:spacing w:after="0" w:line="217"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 OF JUNE 30, 2014 AND DECEMBER 31, 2013</w:t>
      </w: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940" w:type="dxa"/>
            <w:vAlign w:val="bottom"/>
            <w:vMerge w:val="restart"/>
          </w:tcPr>
          <w:p>
            <w:pPr>
              <w:ind w:left="2140"/>
              <w:spacing w:after="0"/>
              <w:rPr>
                <w:sz w:val="20"/>
                <w:szCs w:val="20"/>
                <w:color w:val="auto"/>
              </w:rPr>
            </w:pPr>
            <w:r>
              <w:rPr>
                <w:rFonts w:ascii="Arial" w:cs="Arial" w:eastAsia="Arial" w:hAnsi="Arial"/>
                <w:sz w:val="18"/>
                <w:szCs w:val="18"/>
                <w:color w:val="auto"/>
              </w:rPr>
              <w:t>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3"/>
          </w:tcPr>
          <w:p>
            <w:pPr>
              <w:ind w:left="220"/>
              <w:spacing w:after="0"/>
              <w:rPr>
                <w:sz w:val="20"/>
                <w:szCs w:val="20"/>
                <w:color w:val="auto"/>
              </w:rPr>
            </w:pPr>
            <w:r>
              <w:rPr>
                <w:rFonts w:ascii="Arial" w:cs="Arial" w:eastAsia="Arial" w:hAnsi="Arial"/>
                <w:sz w:val="18"/>
                <w:szCs w:val="18"/>
                <w:color w:val="auto"/>
              </w:rPr>
              <w:t>June 30, 2014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right"/>
              <w:ind w:right="300"/>
              <w:spacing w:after="0"/>
              <w:rPr>
                <w:sz w:val="20"/>
                <w:szCs w:val="20"/>
                <w:color w:val="auto"/>
              </w:rPr>
            </w:pPr>
            <w:r>
              <w:rPr>
                <w:rFonts w:ascii="Arial" w:cs="Arial" w:eastAsia="Arial" w:hAnsi="Arial"/>
                <w:sz w:val="18"/>
                <w:szCs w:val="18"/>
                <w:color w:val="auto"/>
                <w:w w:val="93"/>
              </w:rPr>
              <w:t>December 31, 2013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7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8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3,549,698</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1,264,762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1,566,964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41,969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4,856,429</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13,909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946,703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443,385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404,986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10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10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1,395,137</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6,265,475</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180" w:type="dxa"/>
            <w:vAlign w:val="bottom"/>
            <w:tcBorders>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620"/>
              <w:spacing w:after="0"/>
              <w:rPr>
                <w:sz w:val="20"/>
                <w:szCs w:val="20"/>
                <w:color w:val="auto"/>
              </w:rPr>
            </w:pPr>
            <w:r>
              <w:rPr>
                <w:rFonts w:ascii="Arial" w:cs="Arial" w:eastAsia="Arial" w:hAnsi="Arial"/>
                <w:sz w:val="18"/>
                <w:szCs w:val="18"/>
                <w:color w:val="auto"/>
              </w:rPr>
              <w:t>LIABILITIES AND STOCKHOLDERS' EQUITY</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362,628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188,739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3"/>
          </w:tcPr>
          <w:p>
            <w:pPr>
              <w:ind w:left="13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506,901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10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42,908</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1,482,437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rPr>
              <w:t>Common stock, $.001 par value, 500,000,000 shares</w:t>
            </w:r>
          </w:p>
        </w:tc>
        <w:tc>
          <w:tcPr>
            <w:tcW w:w="10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w w:val="98"/>
              </w:rPr>
              <w:t>authorized, 23,362,377 and 14,773,496 shares issued and</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23,362</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14,773</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10,000,000 shares authorized,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65 shares issued and outstanding</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3,147,709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27,304,112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8,726,708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10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(369,929)</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(233,942)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(25,322,216)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(24,616,220)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4,783,038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80" w:type="dxa"/>
            <w:vAlign w:val="bottom"/>
            <w:tcBorders>
              <w:top w:val="single" w:sz="8" w:color="auto"/>
              <w:bottom w:val="single" w:sz="8" w:color="auto"/>
            </w:tcBorders>
            <w:shd w:val="clear" w:color="auto" w:fill="CCEECC"/>
          </w:tcPr>
          <w:p>
            <w:pPr>
              <w:spacing w:after="0"/>
              <w:rPr>
                <w:sz w:val="18"/>
                <w:szCs w:val="18"/>
                <w:color w:val="auto"/>
              </w:rPr>
            </w:pP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6,265,475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THREE AND SIX MONTHS ENDED JUNE 30, 2014 AND 2013</w:t>
      </w:r>
    </w:p>
    <w:p>
      <w:pPr>
        <w:spacing w:after="0" w:line="211"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4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20" w:type="dxa"/>
            <w:vAlign w:val="bottom"/>
            <w:gridSpan w:val="6"/>
          </w:tcPr>
          <w:p>
            <w:pPr>
              <w:jc w:val="center"/>
              <w:ind w:right="100"/>
              <w:spacing w:after="0"/>
              <w:rPr>
                <w:sz w:val="20"/>
                <w:szCs w:val="20"/>
                <w:color w:val="auto"/>
              </w:rPr>
            </w:pPr>
            <w:r>
              <w:rPr>
                <w:rFonts w:ascii="Arial" w:cs="Arial" w:eastAsia="Arial" w:hAnsi="Arial"/>
                <w:sz w:val="18"/>
                <w:szCs w:val="18"/>
                <w:color w:val="auto"/>
                <w:w w:val="90"/>
              </w:rPr>
              <w:t>For the Three Months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20" w:type="dxa"/>
            <w:vAlign w:val="bottom"/>
            <w:gridSpan w:val="6"/>
          </w:tcPr>
          <w:p>
            <w:pPr>
              <w:jc w:val="right"/>
              <w:ind w:right="100"/>
              <w:spacing w:after="0"/>
              <w:rPr>
                <w:sz w:val="20"/>
                <w:szCs w:val="20"/>
                <w:color w:val="auto"/>
              </w:rPr>
            </w:pPr>
            <w:r>
              <w:rPr>
                <w:rFonts w:ascii="Arial" w:cs="Arial" w:eastAsia="Arial" w:hAnsi="Arial"/>
                <w:sz w:val="18"/>
                <w:szCs w:val="18"/>
                <w:color w:val="auto"/>
                <w:w w:val="92"/>
              </w:rPr>
              <w:t>For the Six Months Ended</w:t>
            </w:r>
          </w:p>
        </w:tc>
        <w:tc>
          <w:tcPr>
            <w:tcW w:w="0" w:type="dxa"/>
            <w:vAlign w:val="bottom"/>
          </w:tcPr>
          <w:p>
            <w:pPr>
              <w:spacing w:after="0"/>
              <w:rPr>
                <w:sz w:val="1"/>
                <w:szCs w:val="1"/>
                <w:color w:val="auto"/>
              </w:rPr>
            </w:pPr>
          </w:p>
        </w:tc>
      </w:tr>
      <w:tr>
        <w:trPr>
          <w:trHeight w:val="230"/>
        </w:trPr>
        <w:tc>
          <w:tcPr>
            <w:tcW w:w="4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8"/>
                <w:szCs w:val="18"/>
                <w:color w:val="auto"/>
                <w:w w:val="87"/>
              </w:rPr>
              <w:t>June 30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right"/>
              <w:ind w:right="76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426"/>
        </w:trPr>
        <w:tc>
          <w:tcPr>
            <w:tcW w:w="4100" w:type="dxa"/>
            <w:vAlign w:val="bottom"/>
            <w:tcBorders>
              <w:bottom w:val="single" w:sz="8" w:color="CCEECC"/>
            </w:tcBorders>
          </w:tcPr>
          <w:p>
            <w:pPr>
              <w:spacing w:after="0"/>
              <w:rPr>
                <w:sz w:val="24"/>
                <w:szCs w:val="24"/>
                <w:color w:val="auto"/>
              </w:rPr>
            </w:pPr>
          </w:p>
        </w:tc>
        <w:tc>
          <w:tcPr>
            <w:tcW w:w="380" w:type="dxa"/>
            <w:vAlign w:val="bottom"/>
            <w:tcBorders>
              <w:bottom w:val="single" w:sz="8" w:color="CCEECC"/>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CCEECC"/>
            </w:tcBorders>
          </w:tcPr>
          <w:p>
            <w:pPr>
              <w:spacing w:after="0"/>
              <w:rPr>
                <w:sz w:val="24"/>
                <w:szCs w:val="24"/>
                <w:color w:val="auto"/>
              </w:rPr>
            </w:pPr>
          </w:p>
        </w:tc>
        <w:tc>
          <w:tcPr>
            <w:tcW w:w="110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90"/>
              </w:rPr>
              <w:t>2013 Restated</w:t>
            </w:r>
          </w:p>
        </w:tc>
        <w:tc>
          <w:tcPr>
            <w:tcW w:w="80" w:type="dxa"/>
            <w:vAlign w:val="bottom"/>
            <w:tcBorders>
              <w:bottom w:val="single" w:sz="8" w:color="CCEEC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CCEECC"/>
            </w:tcBorders>
          </w:tcPr>
          <w:p>
            <w:pPr>
              <w:spacing w:after="0"/>
              <w:rPr>
                <w:sz w:val="24"/>
                <w:szCs w:val="24"/>
                <w:color w:val="auto"/>
              </w:rPr>
            </w:pPr>
          </w:p>
        </w:tc>
        <w:tc>
          <w:tcPr>
            <w:tcW w:w="10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w w:val="88"/>
              </w:rPr>
              <w:t>2013 Restated</w:t>
            </w:r>
          </w:p>
        </w:tc>
        <w:tc>
          <w:tcPr>
            <w:tcW w:w="0" w:type="dxa"/>
            <w:vAlign w:val="bottom"/>
          </w:tcPr>
          <w:p>
            <w:pPr>
              <w:spacing w:after="0"/>
              <w:rPr>
                <w:sz w:val="1"/>
                <w:szCs w:val="1"/>
                <w:color w:val="auto"/>
              </w:rPr>
            </w:pPr>
          </w:p>
        </w:tc>
      </w:tr>
      <w:tr>
        <w:trPr>
          <w:trHeight w:val="210"/>
        </w:trPr>
        <w:tc>
          <w:tcPr>
            <w:tcW w:w="410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NET REVENUE</w:t>
            </w:r>
          </w:p>
        </w:tc>
        <w:tc>
          <w:tcPr>
            <w:tcW w:w="38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1,454,214</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1,104,087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2,771,560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1,773,377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REVENUE SHARE EXPENSE</w:t>
            </w:r>
          </w:p>
        </w:tc>
        <w:tc>
          <w:tcPr>
            <w:tcW w:w="38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540,048</w:t>
            </w:r>
          </w:p>
        </w:tc>
        <w:tc>
          <w:tcPr>
            <w:tcW w:w="10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451,494</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1,038,858</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734,924</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GROSS MARGIN</w:t>
            </w:r>
          </w:p>
        </w:tc>
        <w:tc>
          <w:tcPr>
            <w:tcW w:w="3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914,166</w:t>
            </w:r>
          </w:p>
        </w:tc>
        <w:tc>
          <w:tcPr>
            <w:tcW w:w="1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652,593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1,732,702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1,038,453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OPERATING EXPENSES</w:t>
            </w:r>
          </w:p>
        </w:tc>
        <w:tc>
          <w:tcPr>
            <w:tcW w:w="38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967,070</w:t>
            </w:r>
          </w:p>
        </w:tc>
        <w:tc>
          <w:tcPr>
            <w:tcW w:w="100" w:type="dxa"/>
            <w:vAlign w:val="bottom"/>
            <w:tcBorders>
              <w:bottom w:val="single" w:sz="8" w:color="CCEECC"/>
            </w:tcBorders>
          </w:tcPr>
          <w:p>
            <w:pPr>
              <w:spacing w:after="0"/>
              <w:rPr>
                <w:sz w:val="19"/>
                <w:szCs w:val="19"/>
                <w:color w:val="auto"/>
              </w:rPr>
            </w:pPr>
          </w:p>
        </w:tc>
        <w:tc>
          <w:tcPr>
            <w:tcW w:w="100" w:type="dxa"/>
            <w:vAlign w:val="bottom"/>
            <w:tcBorders>
              <w:bottom w:val="single" w:sz="8" w:color="CCEE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552,766</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2,439,028</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1,286,735</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INCOME (LOSS) FROM OPERATIONS</w:t>
            </w:r>
          </w:p>
        </w:tc>
        <w:tc>
          <w:tcPr>
            <w:tcW w:w="380" w:type="dxa"/>
            <w:vAlign w:val="bottom"/>
            <w:shd w:val="clear" w:color="auto" w:fill="CCEECC"/>
          </w:tcPr>
          <w:p>
            <w:pPr>
              <w:spacing w:after="0"/>
              <w:rPr>
                <w:sz w:val="18"/>
                <w:szCs w:val="18"/>
                <w:color w:val="auto"/>
              </w:rPr>
            </w:pPr>
          </w:p>
        </w:tc>
        <w:tc>
          <w:tcPr>
            <w:tcW w:w="100" w:type="dxa"/>
            <w:vAlign w:val="bottom"/>
            <w:tcBorders>
              <w:bottom w:val="single" w:sz="8" w:color="auto"/>
            </w:tcBorders>
            <w:shd w:val="clear" w:color="auto" w:fill="CCEECC"/>
          </w:tcPr>
          <w:p>
            <w:pPr>
              <w:spacing w:after="0"/>
              <w:rPr>
                <w:sz w:val="18"/>
                <w:szCs w:val="18"/>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(52,904</w:t>
            </w:r>
          </w:p>
        </w:tc>
        <w:tc>
          <w:tcPr>
            <w:tcW w:w="100" w:type="dxa"/>
            <w:vAlign w:val="bottom"/>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CEECC"/>
          </w:tcPr>
          <w:p>
            <w:pPr>
              <w:spacing w:after="0"/>
              <w:rPr>
                <w:sz w:val="18"/>
                <w:szCs w:val="18"/>
                <w:color w:val="auto"/>
              </w:rPr>
            </w:pPr>
          </w:p>
        </w:tc>
        <w:tc>
          <w:tcPr>
            <w:tcW w:w="140" w:type="dxa"/>
            <w:vAlign w:val="bottom"/>
            <w:tcBorders>
              <w:bottom w:val="single" w:sz="8" w:color="auto"/>
            </w:tcBorders>
            <w:shd w:val="clear" w:color="auto" w:fill="CCEECC"/>
          </w:tcPr>
          <w:p>
            <w:pPr>
              <w:spacing w:after="0"/>
              <w:rPr>
                <w:sz w:val="18"/>
                <w:szCs w:val="18"/>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99,827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tcBorders>
              <w:bottom w:val="single" w:sz="8" w:color="auto"/>
            </w:tcBorders>
            <w:shd w:val="clear" w:color="auto" w:fill="CCEECC"/>
          </w:tcPr>
          <w:p>
            <w:pPr>
              <w:spacing w:after="0"/>
              <w:rPr>
                <w:sz w:val="18"/>
                <w:szCs w:val="18"/>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(706,326</w:t>
            </w:r>
          </w:p>
        </w:tc>
        <w:tc>
          <w:tcPr>
            <w:tcW w:w="80" w:type="dxa"/>
            <w:vAlign w:val="bottom"/>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shd w:val="clear" w:color="auto" w:fill="CCEECC"/>
          </w:tcPr>
          <w:p>
            <w:pPr>
              <w:spacing w:after="0"/>
              <w:rPr>
                <w:sz w:val="18"/>
                <w:szCs w:val="18"/>
                <w:color w:val="auto"/>
              </w:rPr>
            </w:pPr>
          </w:p>
        </w:tc>
        <w:tc>
          <w:tcPr>
            <w:tcW w:w="140" w:type="dxa"/>
            <w:vAlign w:val="bottom"/>
            <w:tcBorders>
              <w:bottom w:val="single" w:sz="8" w:color="auto"/>
            </w:tcBorders>
            <w:shd w:val="clear" w:color="auto" w:fill="CCEECC"/>
          </w:tcPr>
          <w:p>
            <w:pPr>
              <w:spacing w:after="0"/>
              <w:rPr>
                <w:sz w:val="18"/>
                <w:szCs w:val="18"/>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(248,282</w:t>
            </w:r>
          </w:p>
        </w:tc>
        <w:tc>
          <w:tcPr>
            <w:tcW w:w="80" w:type="dxa"/>
            <w:vAlign w:val="bottom"/>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4100" w:type="dxa"/>
            <w:vAlign w:val="bottom"/>
          </w:tcPr>
          <w:p>
            <w:pPr>
              <w:ind w:left="80"/>
              <w:spacing w:after="0"/>
              <w:rPr>
                <w:sz w:val="20"/>
                <w:szCs w:val="20"/>
                <w:color w:val="auto"/>
              </w:rPr>
            </w:pPr>
            <w:r>
              <w:rPr>
                <w:rFonts w:ascii="Arial" w:cs="Arial" w:eastAsia="Arial" w:hAnsi="Arial"/>
                <w:sz w:val="18"/>
                <w:szCs w:val="18"/>
                <w:color w:val="auto"/>
              </w:rPr>
              <w:t>OTHER INCOME (EXPENSE)</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spacing w:after="0"/>
              <w:rPr>
                <w:sz w:val="19"/>
                <w:szCs w:val="19"/>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40" w:type="dxa"/>
            <w:vAlign w:val="bottom"/>
            <w:tcBorders>
              <w:bottom w:val="single" w:sz="8" w:color="auto"/>
            </w:tcBorders>
            <w:shd w:val="clear" w:color="auto" w:fill="CCEECC"/>
          </w:tcPr>
          <w:p>
            <w:pPr>
              <w:spacing w:after="0"/>
              <w:rPr>
                <w:sz w:val="19"/>
                <w:szCs w:val="19"/>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spacing w:after="0"/>
              <w:rPr>
                <w:sz w:val="19"/>
                <w:szCs w:val="19"/>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330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140" w:type="dxa"/>
            <w:vAlign w:val="bottom"/>
            <w:tcBorders>
              <w:bottom w:val="single" w:sz="8" w:color="auto"/>
            </w:tcBorders>
            <w:shd w:val="clear" w:color="auto" w:fill="CCEECC"/>
          </w:tcPr>
          <w:p>
            <w:pPr>
              <w:spacing w:after="0"/>
              <w:rPr>
                <w:sz w:val="19"/>
                <w:szCs w:val="19"/>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00" w:type="dxa"/>
            <w:vAlign w:val="bottom"/>
            <w:tcBorders>
              <w:bottom w:val="single" w:sz="8" w:color="CCEECC"/>
            </w:tcBorders>
          </w:tcPr>
          <w:p>
            <w:pPr>
              <w:ind w:left="220"/>
              <w:spacing w:after="0"/>
              <w:rPr>
                <w:sz w:val="20"/>
                <w:szCs w:val="20"/>
                <w:color w:val="auto"/>
              </w:rPr>
            </w:pPr>
            <w:r>
              <w:rPr>
                <w:rFonts w:ascii="Arial" w:cs="Arial" w:eastAsia="Arial" w:hAnsi="Arial"/>
                <w:sz w:val="18"/>
                <w:szCs w:val="18"/>
                <w:color w:val="auto"/>
              </w:rPr>
              <w:t>TOTAL OTHER INCOME (EXPENSE)</w:t>
            </w:r>
          </w:p>
        </w:tc>
        <w:tc>
          <w:tcPr>
            <w:tcW w:w="380" w:type="dxa"/>
            <w:vAlign w:val="bottom"/>
            <w:tcBorders>
              <w:bottom w:val="single" w:sz="8" w:color="CCEEC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CC"/>
            </w:tcBorders>
          </w:tcPr>
          <w:p>
            <w:pPr>
              <w:spacing w:after="0"/>
              <w:rPr>
                <w:sz w:val="18"/>
                <w:szCs w:val="18"/>
                <w:color w:val="auto"/>
              </w:rPr>
            </w:pPr>
          </w:p>
        </w:tc>
        <w:tc>
          <w:tcPr>
            <w:tcW w:w="100" w:type="dxa"/>
            <w:vAlign w:val="bottom"/>
            <w:tcBorders>
              <w:bottom w:val="single" w:sz="8" w:color="CCEE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100" w:type="dxa"/>
            <w:vAlign w:val="bottom"/>
            <w:shd w:val="clear" w:color="auto" w:fill="CCEECC"/>
          </w:tcPr>
          <w:p>
            <w:pPr>
              <w:ind w:left="260"/>
              <w:spacing w:after="0" w:line="182" w:lineRule="exact"/>
              <w:rPr>
                <w:sz w:val="20"/>
                <w:szCs w:val="20"/>
                <w:color w:val="auto"/>
              </w:rPr>
            </w:pPr>
            <w:r>
              <w:rPr>
                <w:rFonts w:ascii="Arial" w:cs="Arial" w:eastAsia="Arial" w:hAnsi="Arial"/>
                <w:sz w:val="18"/>
                <w:szCs w:val="18"/>
                <w:color w:val="auto"/>
              </w:rPr>
              <w:t>INCOME (LOSS) BEFORE PROVISION FOR</w:t>
            </w:r>
          </w:p>
        </w:tc>
        <w:tc>
          <w:tcPr>
            <w:tcW w:w="38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92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8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120" w:type="dxa"/>
            <w:vAlign w:val="bottom"/>
            <w:shd w:val="clear" w:color="auto" w:fill="CCEECC"/>
          </w:tcPr>
          <w:p>
            <w:pPr>
              <w:spacing w:after="0"/>
              <w:rPr>
                <w:sz w:val="15"/>
                <w:szCs w:val="15"/>
                <w:color w:val="auto"/>
              </w:rPr>
            </w:pPr>
          </w:p>
        </w:tc>
        <w:tc>
          <w:tcPr>
            <w:tcW w:w="8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1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INCOME TAXES</w:t>
            </w:r>
          </w:p>
        </w:tc>
        <w:tc>
          <w:tcPr>
            <w:tcW w:w="38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0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(52,681)</w:t>
            </w:r>
          </w:p>
        </w:tc>
        <w:tc>
          <w:tcPr>
            <w:tcW w:w="1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99,865</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9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(705,996)</w:t>
            </w:r>
          </w:p>
        </w:tc>
        <w:tc>
          <w:tcPr>
            <w:tcW w:w="8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(248,188)</w:t>
            </w:r>
          </w:p>
        </w:tc>
        <w:tc>
          <w:tcPr>
            <w:tcW w:w="0" w:type="dxa"/>
            <w:vAlign w:val="bottom"/>
          </w:tcPr>
          <w:p>
            <w:pPr>
              <w:spacing w:after="0"/>
              <w:rPr>
                <w:sz w:val="1"/>
                <w:szCs w:val="1"/>
                <w:color w:val="auto"/>
              </w:rPr>
            </w:pPr>
          </w:p>
        </w:tc>
      </w:tr>
      <w:tr>
        <w:trPr>
          <w:trHeight w:val="230"/>
        </w:trPr>
        <w:tc>
          <w:tcPr>
            <w:tcW w:w="410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center"/>
              <w:ind w:left="33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center"/>
              <w:ind w:left="31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100" w:type="dxa"/>
            <w:vAlign w:val="bottom"/>
            <w:tcBorders>
              <w:top w:val="single" w:sz="8" w:color="CCEECC"/>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NET INCOME (LOSS)</w:t>
            </w:r>
          </w:p>
        </w:tc>
        <w:tc>
          <w:tcPr>
            <w:tcW w:w="380" w:type="dxa"/>
            <w:vAlign w:val="bottom"/>
            <w:tcBorders>
              <w:top w:val="single" w:sz="8" w:color="CCEECC"/>
              <w:bottom w:val="single" w:sz="8" w:color="CCEECC"/>
            </w:tcBorders>
            <w:shd w:val="clear" w:color="auto" w:fill="CCEECC"/>
          </w:tcPr>
          <w:p>
            <w:pPr>
              <w:spacing w:after="0"/>
              <w:rPr>
                <w:sz w:val="19"/>
                <w:szCs w:val="19"/>
                <w:color w:val="auto"/>
              </w:rPr>
            </w:pPr>
          </w:p>
        </w:tc>
        <w:tc>
          <w:tcPr>
            <w:tcW w:w="1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(52,681</w:t>
            </w:r>
          </w:p>
        </w:tc>
        <w:tc>
          <w:tcPr>
            <w:tcW w:w="10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99,865</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(705,996</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(248,188</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ind w:left="80"/>
              <w:spacing w:after="0" w:line="195" w:lineRule="exact"/>
              <w:rPr>
                <w:sz w:val="20"/>
                <w:szCs w:val="20"/>
                <w:color w:val="auto"/>
              </w:rPr>
            </w:pPr>
            <w:r>
              <w:rPr>
                <w:rFonts w:ascii="Arial" w:cs="Arial" w:eastAsia="Arial" w:hAnsi="Arial"/>
                <w:sz w:val="18"/>
                <w:szCs w:val="18"/>
                <w:color w:val="auto"/>
              </w:rPr>
              <w:t>WEIGHTED AVERGE NUMBER OF SHARES</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0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100" w:type="dxa"/>
            <w:vAlign w:val="bottom"/>
          </w:tcPr>
          <w:p>
            <w:pPr>
              <w:ind w:left="80"/>
              <w:spacing w:after="0"/>
              <w:rPr>
                <w:sz w:val="20"/>
                <w:szCs w:val="20"/>
                <w:color w:val="auto"/>
              </w:rPr>
            </w:pPr>
            <w:r>
              <w:rPr>
                <w:rFonts w:ascii="Arial" w:cs="Arial" w:eastAsia="Arial" w:hAnsi="Arial"/>
                <w:sz w:val="18"/>
                <w:szCs w:val="18"/>
                <w:color w:val="auto"/>
              </w:rPr>
              <w:t>OUTSTANDING</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00" w:type="dxa"/>
            <w:vAlign w:val="bottom"/>
            <w:tcBorders>
              <w:bottom w:val="single" w:sz="8" w:color="CCEECC"/>
            </w:tcBorders>
            <w:shd w:val="clear" w:color="auto" w:fill="CCEECC"/>
          </w:tcPr>
          <w:p>
            <w:pPr>
              <w:ind w:left="22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auto"/>
            </w:tcBorders>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9"/>
              </w:rPr>
              <w:t>23,241,707</w:t>
            </w:r>
          </w:p>
        </w:tc>
        <w:tc>
          <w:tcPr>
            <w:tcW w:w="100" w:type="dxa"/>
            <w:vAlign w:val="bottom"/>
            <w:tcBorders>
              <w:bottom w:val="single" w:sz="8" w:color="CCEECC"/>
            </w:tcBorders>
            <w:shd w:val="clear" w:color="auto" w:fill="CCEECC"/>
          </w:tcPr>
          <w:p>
            <w:pPr>
              <w:spacing w:after="0"/>
              <w:rPr>
                <w:sz w:val="21"/>
                <w:szCs w:val="21"/>
                <w:color w:val="auto"/>
              </w:rPr>
            </w:pPr>
          </w:p>
        </w:tc>
        <w:tc>
          <w:tcPr>
            <w:tcW w:w="100" w:type="dxa"/>
            <w:vAlign w:val="bottom"/>
            <w:tcBorders>
              <w:bottom w:val="single" w:sz="8" w:color="CCEECC"/>
            </w:tcBorders>
            <w:shd w:val="clear" w:color="auto" w:fill="CCEECC"/>
          </w:tcPr>
          <w:p>
            <w:pPr>
              <w:spacing w:after="0"/>
              <w:rPr>
                <w:sz w:val="21"/>
                <w:szCs w:val="21"/>
                <w:color w:val="auto"/>
              </w:rPr>
            </w:pPr>
          </w:p>
        </w:tc>
        <w:tc>
          <w:tcPr>
            <w:tcW w:w="1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5"/>
              </w:rPr>
              <w:t>14,238,870</w:t>
            </w:r>
          </w:p>
        </w:tc>
        <w:tc>
          <w:tcPr>
            <w:tcW w:w="80" w:type="dxa"/>
            <w:vAlign w:val="bottom"/>
            <w:tcBorders>
              <w:bottom w:val="single" w:sz="8" w:color="CCEECC"/>
            </w:tcBorders>
            <w:shd w:val="clear" w:color="auto" w:fill="CCEECC"/>
          </w:tcPr>
          <w:p>
            <w:pPr>
              <w:spacing w:after="0"/>
              <w:rPr>
                <w:sz w:val="21"/>
                <w:szCs w:val="21"/>
                <w:color w:val="auto"/>
              </w:rPr>
            </w:pPr>
          </w:p>
        </w:tc>
        <w:tc>
          <w:tcPr>
            <w:tcW w:w="80" w:type="dxa"/>
            <w:vAlign w:val="bottom"/>
            <w:tcBorders>
              <w:bottom w:val="single" w:sz="8" w:color="CCEECC"/>
            </w:tcBorders>
            <w:shd w:val="clear" w:color="auto" w:fill="CCEECC"/>
          </w:tcPr>
          <w:p>
            <w:pPr>
              <w:spacing w:after="0"/>
              <w:rPr>
                <w:sz w:val="21"/>
                <w:szCs w:val="21"/>
                <w:color w:val="auto"/>
              </w:rPr>
            </w:pPr>
          </w:p>
        </w:tc>
        <w:tc>
          <w:tcPr>
            <w:tcW w:w="12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5"/>
              </w:rPr>
              <w:t>20,355,651</w:t>
            </w:r>
          </w:p>
        </w:tc>
        <w:tc>
          <w:tcPr>
            <w:tcW w:w="80" w:type="dxa"/>
            <w:vAlign w:val="bottom"/>
            <w:tcBorders>
              <w:bottom w:val="single" w:sz="8" w:color="CCEECC"/>
            </w:tcBorders>
            <w:shd w:val="clear" w:color="auto" w:fill="CCEECC"/>
          </w:tcPr>
          <w:p>
            <w:pPr>
              <w:spacing w:after="0"/>
              <w:rPr>
                <w:sz w:val="21"/>
                <w:szCs w:val="21"/>
                <w:color w:val="auto"/>
              </w:rPr>
            </w:pPr>
          </w:p>
        </w:tc>
        <w:tc>
          <w:tcPr>
            <w:tcW w:w="80" w:type="dxa"/>
            <w:vAlign w:val="bottom"/>
            <w:tcBorders>
              <w:bottom w:val="single" w:sz="8" w:color="CCEECC"/>
            </w:tcBorders>
            <w:shd w:val="clear" w:color="auto" w:fill="CCEECC"/>
          </w:tcPr>
          <w:p>
            <w:pPr>
              <w:spacing w:after="0"/>
              <w:rPr>
                <w:sz w:val="21"/>
                <w:szCs w:val="21"/>
                <w:color w:val="auto"/>
              </w:rPr>
            </w:pPr>
          </w:p>
        </w:tc>
        <w:tc>
          <w:tcPr>
            <w:tcW w:w="1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3"/>
              </w:rPr>
              <w:t>14,235,700</w:t>
            </w:r>
          </w:p>
        </w:tc>
        <w:tc>
          <w:tcPr>
            <w:tcW w:w="80" w:type="dxa"/>
            <w:vAlign w:val="bottom"/>
            <w:tcBorders>
              <w:bottom w:val="single" w:sz="8" w:color="CCEECC"/>
            </w:tcBorders>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100" w:type="dxa"/>
            <w:vAlign w:val="bottom"/>
            <w:vMerge w:val="restart"/>
          </w:tcPr>
          <w:p>
            <w:pPr>
              <w:ind w:left="22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100" w:type="dxa"/>
            <w:vAlign w:val="bottom"/>
            <w:tcBorders>
              <w:bottom w:val="single" w:sz="8" w:color="CCEECC"/>
            </w:tcBorders>
            <w:vMerge w:val="continue"/>
          </w:tcPr>
          <w:p>
            <w:pPr>
              <w:spacing w:after="0"/>
              <w:rPr>
                <w:sz w:val="20"/>
                <w:szCs w:val="20"/>
                <w:color w:val="auto"/>
              </w:rPr>
            </w:pPr>
          </w:p>
        </w:tc>
        <w:tc>
          <w:tcPr>
            <w:tcW w:w="38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left="510"/>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bottom w:val="single" w:sz="8" w:color="CCEECC"/>
            </w:tcBorders>
            <w:vMerge w:val="continue"/>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33,608,304</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left="470"/>
              <w:spacing w:after="0" w:line="196" w:lineRule="exact"/>
              <w:rPr>
                <w:sz w:val="20"/>
                <w:szCs w:val="20"/>
                <w:color w:val="auto"/>
              </w:rPr>
            </w:pPr>
            <w:r>
              <w:rPr>
                <w:rFonts w:ascii="Arial" w:cs="Arial" w:eastAsia="Arial" w:hAnsi="Arial"/>
                <w:sz w:val="18"/>
                <w:szCs w:val="18"/>
                <w:color w:val="auto"/>
              </w:rPr>
              <w:t>N/A</w:t>
            </w:r>
          </w:p>
        </w:tc>
        <w:tc>
          <w:tcPr>
            <w:tcW w:w="80" w:type="dxa"/>
            <w:vAlign w:val="bottom"/>
            <w:tcBorders>
              <w:bottom w:val="single" w:sz="8" w:color="CCEECC"/>
            </w:tcBorders>
            <w:vMerge w:val="continue"/>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left="450"/>
              <w:spacing w:after="0" w:line="196" w:lineRule="exact"/>
              <w:rPr>
                <w:sz w:val="20"/>
                <w:szCs w:val="20"/>
                <w:color w:val="auto"/>
              </w:rPr>
            </w:pPr>
            <w:r>
              <w:rPr>
                <w:rFonts w:ascii="Arial" w:cs="Arial" w:eastAsia="Arial" w:hAnsi="Arial"/>
                <w:sz w:val="18"/>
                <w:szCs w:val="18"/>
                <w:color w:val="auto"/>
              </w:rPr>
              <w:t>N/A</w:t>
            </w:r>
          </w:p>
        </w:tc>
        <w:tc>
          <w:tcPr>
            <w:tcW w:w="80" w:type="dxa"/>
            <w:vAlign w:val="bottom"/>
            <w:tcBorders>
              <w:bottom w:val="single" w:sz="8" w:color="CCEECC"/>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CC"/>
          </w:tcPr>
          <w:p>
            <w:pPr>
              <w:ind w:left="80"/>
              <w:spacing w:after="0" w:line="196" w:lineRule="exact"/>
              <w:rPr>
                <w:sz w:val="20"/>
                <w:szCs w:val="20"/>
                <w:color w:val="auto"/>
              </w:rPr>
            </w:pPr>
            <w:r>
              <w:rPr>
                <w:rFonts w:ascii="Arial" w:cs="Arial" w:eastAsia="Arial" w:hAnsi="Arial"/>
                <w:sz w:val="18"/>
                <w:szCs w:val="18"/>
                <w:color w:val="auto"/>
              </w:rPr>
              <w:t>NET INCOME (LOSS) PER SHARE</w:t>
            </w:r>
          </w:p>
        </w:tc>
        <w:tc>
          <w:tcPr>
            <w:tcW w:w="38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100" w:type="dxa"/>
            <w:vAlign w:val="bottom"/>
          </w:tcPr>
          <w:p>
            <w:pPr>
              <w:ind w:left="220"/>
              <w:spacing w:after="0"/>
              <w:rPr>
                <w:sz w:val="20"/>
                <w:szCs w:val="20"/>
                <w:color w:val="auto"/>
              </w:rPr>
            </w:pPr>
            <w:r>
              <w:rPr>
                <w:rFonts w:ascii="Arial" w:cs="Arial" w:eastAsia="Arial" w:hAnsi="Arial"/>
                <w:sz w:val="18"/>
                <w:szCs w:val="18"/>
                <w:color w:val="auto"/>
              </w:rPr>
              <w:t>BASIC</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left="350"/>
              <w:spacing w:after="0"/>
              <w:rPr>
                <w:sz w:val="20"/>
                <w:szCs w:val="20"/>
                <w:color w:val="auto"/>
              </w:rPr>
            </w:pPr>
            <w:r>
              <w:rPr>
                <w:rFonts w:ascii="Arial" w:cs="Arial" w:eastAsia="Arial" w:hAnsi="Arial"/>
                <w:sz w:val="18"/>
                <w:szCs w:val="18"/>
                <w:color w:val="auto"/>
                <w:w w:val="99"/>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4"/>
                <w:szCs w:val="24"/>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97"/>
        </w:trPr>
        <w:tc>
          <w:tcPr>
            <w:tcW w:w="4100" w:type="dxa"/>
            <w:vAlign w:val="bottom"/>
            <w:tcBorders>
              <w:top w:val="single" w:sz="8" w:color="CCEECC"/>
              <w:bottom w:val="single" w:sz="8" w:color="CCEECC"/>
            </w:tcBorders>
            <w:shd w:val="clear" w:color="auto" w:fill="CCEECC"/>
          </w:tcPr>
          <w:p>
            <w:pPr>
              <w:ind w:left="220"/>
              <w:spacing w:after="0" w:line="190" w:lineRule="exact"/>
              <w:rPr>
                <w:sz w:val="20"/>
                <w:szCs w:val="20"/>
                <w:color w:val="auto"/>
              </w:rPr>
            </w:pPr>
            <w:r>
              <w:rPr>
                <w:rFonts w:ascii="Arial" w:cs="Arial" w:eastAsia="Arial" w:hAnsi="Arial"/>
                <w:sz w:val="18"/>
                <w:szCs w:val="18"/>
                <w:color w:val="auto"/>
              </w:rPr>
              <w:t>DILUTED</w:t>
            </w:r>
          </w:p>
        </w:tc>
        <w:tc>
          <w:tcPr>
            <w:tcW w:w="38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auto"/>
              <w:bottom w:val="single" w:sz="8" w:color="auto"/>
            </w:tcBorders>
            <w:shd w:val="clear" w:color="auto" w:fill="CCEECC"/>
          </w:tcPr>
          <w:p>
            <w:pPr>
              <w:spacing w:after="0"/>
              <w:rPr>
                <w:sz w:val="17"/>
                <w:szCs w:val="17"/>
                <w:color w:val="auto"/>
              </w:rPr>
            </w:pPr>
          </w:p>
        </w:tc>
        <w:tc>
          <w:tcPr>
            <w:tcW w:w="920" w:type="dxa"/>
            <w:vAlign w:val="bottom"/>
            <w:tcBorders>
              <w:top w:val="single" w:sz="8" w:color="auto"/>
              <w:bottom w:val="single" w:sz="8" w:color="auto"/>
            </w:tcBorders>
            <w:shd w:val="clear" w:color="auto" w:fill="CCEECC"/>
          </w:tcPr>
          <w:p>
            <w:pPr>
              <w:jc w:val="center"/>
              <w:ind w:left="510"/>
              <w:spacing w:after="0" w:line="196" w:lineRule="exact"/>
              <w:rPr>
                <w:sz w:val="20"/>
                <w:szCs w:val="20"/>
                <w:color w:val="auto"/>
              </w:rPr>
            </w:pPr>
            <w:r>
              <w:rPr>
                <w:rFonts w:ascii="Arial" w:cs="Arial" w:eastAsia="Arial" w:hAnsi="Arial"/>
                <w:sz w:val="18"/>
                <w:szCs w:val="18"/>
                <w:color w:val="auto"/>
              </w:rPr>
              <w:t>N/A</w:t>
            </w: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10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ind w:left="600"/>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rPr>
                <w:sz w:val="17"/>
                <w:szCs w:val="17"/>
                <w:color w:val="auto"/>
              </w:rPr>
            </w:pPr>
          </w:p>
        </w:tc>
        <w:tc>
          <w:tcPr>
            <w:tcW w:w="880" w:type="dxa"/>
            <w:vAlign w:val="bottom"/>
            <w:tcBorders>
              <w:top w:val="single" w:sz="8" w:color="auto"/>
              <w:bottom w:val="single" w:sz="8" w:color="auto"/>
            </w:tcBorders>
            <w:shd w:val="clear" w:color="auto" w:fill="CCEECC"/>
          </w:tcPr>
          <w:p>
            <w:pPr>
              <w:jc w:val="center"/>
              <w:ind w:left="470"/>
              <w:spacing w:after="0" w:line="196" w:lineRule="exact"/>
              <w:rPr>
                <w:sz w:val="20"/>
                <w:szCs w:val="20"/>
                <w:color w:val="auto"/>
              </w:rPr>
            </w:pPr>
            <w:r>
              <w:rPr>
                <w:rFonts w:ascii="Arial" w:cs="Arial" w:eastAsia="Arial" w:hAnsi="Arial"/>
                <w:sz w:val="18"/>
                <w:szCs w:val="18"/>
                <w:color w:val="auto"/>
              </w:rPr>
              <w:t>N/A</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140" w:type="dxa"/>
            <w:vAlign w:val="bottom"/>
            <w:tcBorders>
              <w:top w:val="single" w:sz="8" w:color="auto"/>
              <w:bottom w:val="single" w:sz="8" w:color="auto"/>
            </w:tcBorders>
            <w:shd w:val="clear" w:color="auto" w:fill="CCEECC"/>
          </w:tcPr>
          <w:p>
            <w:pPr>
              <w:spacing w:after="0"/>
              <w:rPr>
                <w:sz w:val="17"/>
                <w:szCs w:val="17"/>
                <w:color w:val="auto"/>
              </w:rPr>
            </w:pPr>
          </w:p>
        </w:tc>
        <w:tc>
          <w:tcPr>
            <w:tcW w:w="860" w:type="dxa"/>
            <w:vAlign w:val="bottom"/>
            <w:tcBorders>
              <w:top w:val="single" w:sz="8" w:color="auto"/>
              <w:bottom w:val="single" w:sz="8" w:color="auto"/>
            </w:tcBorders>
            <w:shd w:val="clear" w:color="auto" w:fill="CCEECC"/>
          </w:tcPr>
          <w:p>
            <w:pPr>
              <w:jc w:val="center"/>
              <w:ind w:left="450"/>
              <w:spacing w:after="0" w:line="196" w:lineRule="exact"/>
              <w:rPr>
                <w:sz w:val="20"/>
                <w:szCs w:val="20"/>
                <w:color w:val="auto"/>
              </w:rPr>
            </w:pPr>
            <w:r>
              <w:rPr>
                <w:rFonts w:ascii="Arial" w:cs="Arial" w:eastAsia="Arial" w:hAnsi="Arial"/>
                <w:sz w:val="18"/>
                <w:szCs w:val="18"/>
                <w:color w:val="auto"/>
              </w:rPr>
              <w:t>N/A</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FOR THE SIX MONTHS ENDED JUNE 30, 2014 AND 2013</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40" w:type="dxa"/>
            <w:vAlign w:val="bottom"/>
            <w:gridSpan w:val="7"/>
          </w:tcPr>
          <w:p>
            <w:pPr>
              <w:ind w:left="360"/>
              <w:spacing w:after="0"/>
              <w:rPr>
                <w:sz w:val="20"/>
                <w:szCs w:val="20"/>
                <w:color w:val="auto"/>
              </w:rPr>
            </w:pPr>
            <w:r>
              <w:rPr>
                <w:rFonts w:ascii="Arial" w:cs="Arial" w:eastAsia="Arial" w:hAnsi="Arial"/>
                <w:sz w:val="18"/>
                <w:szCs w:val="18"/>
                <w:color w:val="auto"/>
              </w:rPr>
              <w:t>For the six months Ended June 30</w:t>
            </w:r>
          </w:p>
        </w:tc>
        <w:tc>
          <w:tcPr>
            <w:tcW w:w="0" w:type="dxa"/>
            <w:vAlign w:val="bottom"/>
          </w:tcPr>
          <w:p>
            <w:pPr>
              <w:spacing w:after="0"/>
              <w:rPr>
                <w:sz w:val="1"/>
                <w:szCs w:val="1"/>
                <w:color w:val="auto"/>
              </w:rPr>
            </w:pPr>
          </w:p>
        </w:tc>
      </w:tr>
      <w:tr>
        <w:trPr>
          <w:trHeight w:val="23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rPr>
              <w:t>2013 Restated</w:t>
            </w:r>
          </w:p>
        </w:tc>
        <w:tc>
          <w:tcPr>
            <w:tcW w:w="0" w:type="dxa"/>
            <w:vAlign w:val="bottom"/>
          </w:tcPr>
          <w:p>
            <w:pPr>
              <w:spacing w:after="0"/>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Net income (loss) for the period</w:t>
            </w:r>
          </w:p>
        </w:tc>
        <w:tc>
          <w:tcPr>
            <w:tcW w:w="540" w:type="dxa"/>
            <w:vAlign w:val="bottom"/>
            <w:gridSpan w:val="2"/>
            <w:shd w:val="clear" w:color="auto" w:fill="CCEECC"/>
          </w:tcPr>
          <w:p>
            <w:pPr>
              <w:jc w:val="right"/>
              <w:ind w:right="285"/>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(705,996)</w:t>
            </w:r>
          </w:p>
        </w:tc>
        <w:tc>
          <w:tcPr>
            <w:tcW w:w="80" w:type="dxa"/>
            <w:vAlign w:val="bottom"/>
            <w:shd w:val="clear" w:color="auto" w:fill="CCEECC"/>
          </w:tcPr>
          <w:p>
            <w:pPr>
              <w:spacing w:after="0"/>
              <w:rPr>
                <w:sz w:val="18"/>
                <w:szCs w:val="18"/>
                <w:color w:val="auto"/>
              </w:rPr>
            </w:pPr>
          </w:p>
        </w:tc>
        <w:tc>
          <w:tcPr>
            <w:tcW w:w="280" w:type="dxa"/>
            <w:vAlign w:val="bottom"/>
            <w:gridSpan w:val="2"/>
            <w:shd w:val="clear" w:color="auto" w:fill="CCEECC"/>
          </w:tcPr>
          <w:p>
            <w:pPr>
              <w:jc w:val="right"/>
              <w:ind w:right="10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(248,188)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40" w:type="dxa"/>
            <w:vAlign w:val="bottom"/>
          </w:tcPr>
          <w:p>
            <w:pPr>
              <w:ind w:left="280"/>
              <w:spacing w:after="0" w:line="201" w:lineRule="exact"/>
              <w:rPr>
                <w:sz w:val="20"/>
                <w:szCs w:val="20"/>
                <w:color w:val="auto"/>
              </w:rPr>
            </w:pPr>
            <w:r>
              <w:rPr>
                <w:rFonts w:ascii="Arial" w:cs="Arial" w:eastAsia="Arial" w:hAnsi="Arial"/>
                <w:sz w:val="18"/>
                <w:szCs w:val="18"/>
                <w:color w:val="auto"/>
                <w:w w:val="91"/>
              </w:rPr>
              <w:t>Adjustments to reconcile net income (loss) to net cash provided</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ind w:left="280"/>
              <w:spacing w:after="0"/>
              <w:rPr>
                <w:sz w:val="20"/>
                <w:szCs w:val="20"/>
                <w:color w:val="auto"/>
              </w:rPr>
            </w:pPr>
            <w:r>
              <w:rPr>
                <w:rFonts w:ascii="Arial" w:cs="Arial" w:eastAsia="Arial" w:hAnsi="Arial"/>
                <w:sz w:val="18"/>
                <w:szCs w:val="18"/>
                <w:color w:val="auto"/>
              </w:rPr>
              <w:t>by (used in) operating activities:</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5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115,828</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96,337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580"/>
              <w:spacing w:after="0"/>
              <w:rPr>
                <w:sz w:val="20"/>
                <w:szCs w:val="20"/>
                <w:color w:val="auto"/>
              </w:rPr>
            </w:pPr>
            <w:r>
              <w:rPr>
                <w:rFonts w:ascii="Arial" w:cs="Arial" w:eastAsia="Arial" w:hAnsi="Arial"/>
                <w:sz w:val="18"/>
                <w:szCs w:val="18"/>
                <w:color w:val="auto"/>
              </w:rPr>
              <w:t>Stock and options issued for services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654,634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38,900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4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302,202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(322,887)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(30,198)</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12,439</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173,889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(42,543)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(686,760)</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497,521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81,500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1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38,656</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(6,632)</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6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4960" w:type="dxa"/>
            <w:vAlign w:val="bottom"/>
            <w:gridSpan w:val="2"/>
          </w:tcPr>
          <w:p>
            <w:pPr>
              <w:spacing w:after="0"/>
              <w:rPr>
                <w:sz w:val="20"/>
                <w:szCs w:val="20"/>
                <w:color w:val="auto"/>
              </w:rPr>
            </w:pPr>
            <w:r>
              <w:rPr>
                <w:rFonts w:ascii="Arial" w:cs="Arial" w:eastAsia="Arial" w:hAnsi="Arial"/>
                <w:sz w:val="18"/>
                <w:szCs w:val="18"/>
                <w:color w:val="auto"/>
              </w:rPr>
              <w:t>ACTIVITIES</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(149,745)</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106,447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CCEECC"/>
            </w:tcBorders>
            <w:shd w:val="clear" w:color="auto" w:fill="CCEECC"/>
          </w:tcPr>
          <w:p>
            <w:pPr>
              <w:spacing w:after="0"/>
              <w:rPr>
                <w:sz w:val="18"/>
                <w:szCs w:val="18"/>
                <w:color w:val="auto"/>
              </w:rPr>
            </w:pPr>
          </w:p>
        </w:tc>
        <w:tc>
          <w:tcPr>
            <w:tcW w:w="440" w:type="dxa"/>
            <w:vAlign w:val="bottom"/>
            <w:tcBorders>
              <w:top w:val="single" w:sz="8" w:color="auto"/>
            </w:tcBorders>
            <w:shd w:val="clear" w:color="auto" w:fill="CCEECC"/>
          </w:tcPr>
          <w:p>
            <w:pPr>
              <w:spacing w:after="0"/>
              <w:rPr>
                <w:sz w:val="18"/>
                <w:szCs w:val="18"/>
                <w:color w:val="auto"/>
              </w:rPr>
            </w:pPr>
          </w:p>
        </w:tc>
        <w:tc>
          <w:tcPr>
            <w:tcW w:w="148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tcBorders>
            <w:shd w:val="clear" w:color="auto" w:fill="CCEECC"/>
          </w:tcPr>
          <w:p>
            <w:pPr>
              <w:spacing w:after="0"/>
              <w:rPr>
                <w:sz w:val="18"/>
                <w:szCs w:val="18"/>
                <w:color w:val="auto"/>
              </w:rPr>
            </w:pPr>
          </w:p>
        </w:tc>
        <w:tc>
          <w:tcPr>
            <w:tcW w:w="1640" w:type="dxa"/>
            <w:vAlign w:val="bottom"/>
            <w:tcBorders>
              <w:top w:val="single" w:sz="8" w:color="auto"/>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(1,592)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w:t>
            </w:r>
          </w:p>
        </w:tc>
        <w:tc>
          <w:tcPr>
            <w:tcW w:w="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(92,624)</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(38,278)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Pr>
          <w:p>
            <w:pPr>
              <w:ind w:left="320"/>
              <w:spacing w:after="0"/>
              <w:rPr>
                <w:sz w:val="20"/>
                <w:szCs w:val="20"/>
                <w:color w:val="auto"/>
              </w:rPr>
            </w:pPr>
            <w:r>
              <w:rPr>
                <w:rFonts w:ascii="Arial" w:cs="Arial" w:eastAsia="Arial" w:hAnsi="Arial"/>
                <w:sz w:val="18"/>
                <w:szCs w:val="18"/>
                <w:color w:val="auto"/>
              </w:rPr>
              <w:t>Website site development costs</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(119,616)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CC"/>
            </w:tcBorders>
            <w:shd w:val="clear" w:color="auto" w:fill="CCEECC"/>
          </w:tcPr>
          <w:p>
            <w:pPr>
              <w:spacing w:after="0"/>
              <w:rPr>
                <w:sz w:val="18"/>
                <w:szCs w:val="18"/>
                <w:color w:val="auto"/>
              </w:rPr>
            </w:pPr>
          </w:p>
        </w:tc>
        <w:tc>
          <w:tcPr>
            <w:tcW w:w="440" w:type="dxa"/>
            <w:vAlign w:val="bottom"/>
            <w:tcBorders>
              <w:top w:val="single" w:sz="8" w:color="auto"/>
              <w:bottom w:val="single" w:sz="8" w:color="auto"/>
            </w:tcBorders>
            <w:shd w:val="clear" w:color="auto" w:fill="CCEECC"/>
          </w:tcPr>
          <w:p>
            <w:pPr>
              <w:spacing w:after="0"/>
              <w:rPr>
                <w:sz w:val="18"/>
                <w:szCs w:val="18"/>
                <w:color w:val="auto"/>
              </w:rPr>
            </w:pPr>
          </w:p>
        </w:tc>
        <w:tc>
          <w:tcPr>
            <w:tcW w:w="14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(213,832</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6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(38,278</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CC"/>
          </w:tcPr>
          <w:p>
            <w:pPr>
              <w:ind w:left="340"/>
              <w:spacing w:after="0"/>
              <w:rPr>
                <w:sz w:val="20"/>
                <w:szCs w:val="20"/>
                <w:color w:val="auto"/>
              </w:rPr>
            </w:pPr>
            <w:r>
              <w:rPr>
                <w:rFonts w:ascii="Arial" w:cs="Arial" w:eastAsia="Arial" w:hAnsi="Arial"/>
                <w:sz w:val="18"/>
                <w:szCs w:val="18"/>
                <w:color w:val="auto"/>
              </w:rPr>
              <w:t>Issuance of common stock</w:t>
            </w:r>
          </w:p>
        </w:tc>
        <w:tc>
          <w:tcPr>
            <w:tcW w:w="100" w:type="dxa"/>
            <w:vAlign w:val="bottom"/>
            <w:shd w:val="clear" w:color="auto" w:fill="CCEECC"/>
          </w:tcPr>
          <w:p>
            <w:pPr>
              <w:spacing w:after="0"/>
              <w:rPr>
                <w:sz w:val="18"/>
                <w:szCs w:val="18"/>
                <w:color w:val="auto"/>
              </w:rPr>
            </w:pPr>
          </w:p>
        </w:tc>
        <w:tc>
          <w:tcPr>
            <w:tcW w:w="440" w:type="dxa"/>
            <w:vAlign w:val="bottom"/>
            <w:shd w:val="clear" w:color="auto" w:fill="CCEECC"/>
          </w:tcPr>
          <w:p>
            <w:pPr>
              <w:spacing w:after="0"/>
              <w:rPr>
                <w:sz w:val="18"/>
                <w:szCs w:val="18"/>
                <w:color w:val="auto"/>
              </w:rPr>
            </w:pPr>
          </w:p>
        </w:tc>
        <w:tc>
          <w:tcPr>
            <w:tcW w:w="1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Equity issuance costs</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(1,204,968)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shd w:val="clear" w:color="auto" w:fill="CCEECC"/>
          </w:tcPr>
          <w:p>
            <w:pPr>
              <w:ind w:left="340"/>
              <w:spacing w:after="0"/>
              <w:rPr>
                <w:sz w:val="20"/>
                <w:szCs w:val="20"/>
                <w:color w:val="auto"/>
              </w:rPr>
            </w:pPr>
            <w:r>
              <w:rPr>
                <w:rFonts w:ascii="Arial" w:cs="Arial" w:eastAsia="Arial" w:hAnsi="Arial"/>
                <w:sz w:val="18"/>
                <w:szCs w:val="18"/>
                <w:color w:val="auto"/>
              </w:rPr>
              <w:t>Purchase of common and preferred stock and warrants</w:t>
            </w:r>
          </w:p>
        </w:tc>
        <w:tc>
          <w:tcPr>
            <w:tcW w:w="100" w:type="dxa"/>
            <w:vAlign w:val="bottom"/>
            <w:shd w:val="clear" w:color="auto" w:fill="CCEECC"/>
          </w:tcPr>
          <w:p>
            <w:pPr>
              <w:spacing w:after="0"/>
              <w:rPr>
                <w:sz w:val="19"/>
                <w:szCs w:val="19"/>
                <w:color w:val="auto"/>
              </w:rPr>
            </w:pPr>
          </w:p>
        </w:tc>
        <w:tc>
          <w:tcPr>
            <w:tcW w:w="440" w:type="dxa"/>
            <w:vAlign w:val="bottom"/>
            <w:shd w:val="clear" w:color="auto" w:fill="CCEECC"/>
          </w:tcPr>
          <w:p>
            <w:pPr>
              <w:spacing w:after="0"/>
              <w:rPr>
                <w:sz w:val="19"/>
                <w:szCs w:val="19"/>
                <w:color w:val="auto"/>
              </w:rPr>
            </w:pPr>
          </w:p>
        </w:tc>
        <w:tc>
          <w:tcPr>
            <w:tcW w:w="15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60" w:type="dxa"/>
            <w:vAlign w:val="bottom"/>
            <w:shd w:val="clear" w:color="auto" w:fill="CCEECC"/>
          </w:tcPr>
          <w:p>
            <w:pPr>
              <w:spacing w:after="0"/>
              <w:rPr>
                <w:sz w:val="19"/>
                <w:szCs w:val="19"/>
                <w:color w:val="auto"/>
              </w:rPr>
            </w:pPr>
          </w:p>
        </w:tc>
        <w:tc>
          <w:tcPr>
            <w:tcW w:w="17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Borders>
              <w:bottom w:val="single" w:sz="8" w:color="CCEECC"/>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2,795,032</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94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rPr>
              <w:t>NET INCREASE (DECREASE) IN CASH AND CASH</w:t>
            </w:r>
          </w:p>
        </w:tc>
        <w:tc>
          <w:tcPr>
            <w:tcW w:w="100" w:type="dxa"/>
            <w:vAlign w:val="bottom"/>
            <w:shd w:val="clear" w:color="auto" w:fill="CCEECC"/>
          </w:tcPr>
          <w:p>
            <w:pPr>
              <w:spacing w:after="0"/>
              <w:rPr>
                <w:sz w:val="15"/>
                <w:szCs w:val="15"/>
                <w:color w:val="auto"/>
              </w:rPr>
            </w:pPr>
          </w:p>
        </w:tc>
        <w:tc>
          <w:tcPr>
            <w:tcW w:w="440" w:type="dxa"/>
            <w:vAlign w:val="bottom"/>
            <w:shd w:val="clear" w:color="auto" w:fill="CCEECC"/>
          </w:tcPr>
          <w:p>
            <w:pPr>
              <w:spacing w:after="0"/>
              <w:rPr>
                <w:sz w:val="15"/>
                <w:szCs w:val="15"/>
                <w:color w:val="auto"/>
              </w:rPr>
            </w:pPr>
          </w:p>
        </w:tc>
        <w:tc>
          <w:tcPr>
            <w:tcW w:w="14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260" w:type="dxa"/>
            <w:vAlign w:val="bottom"/>
            <w:shd w:val="clear" w:color="auto" w:fill="CCEECC"/>
          </w:tcPr>
          <w:p>
            <w:pPr>
              <w:spacing w:after="0"/>
              <w:rPr>
                <w:sz w:val="15"/>
                <w:szCs w:val="15"/>
                <w:color w:val="auto"/>
              </w:rPr>
            </w:pPr>
          </w:p>
        </w:tc>
        <w:tc>
          <w:tcPr>
            <w:tcW w:w="16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EQUIVALENTS</w:t>
            </w:r>
          </w:p>
        </w:tc>
        <w:tc>
          <w:tcPr>
            <w:tcW w:w="100" w:type="dxa"/>
            <w:vAlign w:val="bottom"/>
            <w:shd w:val="clear" w:color="auto" w:fill="CCEECC"/>
          </w:tcPr>
          <w:p>
            <w:pPr>
              <w:spacing w:after="0"/>
              <w:rPr>
                <w:sz w:val="20"/>
                <w:szCs w:val="20"/>
                <w:color w:val="auto"/>
              </w:rPr>
            </w:pPr>
          </w:p>
        </w:tc>
        <w:tc>
          <w:tcPr>
            <w:tcW w:w="440" w:type="dxa"/>
            <w:vAlign w:val="bottom"/>
            <w:shd w:val="clear" w:color="auto" w:fill="CCEECC"/>
          </w:tcPr>
          <w:p>
            <w:pPr>
              <w:spacing w:after="0"/>
              <w:rPr>
                <w:sz w:val="20"/>
                <w:szCs w:val="20"/>
                <w:color w:val="auto"/>
              </w:rPr>
            </w:pPr>
          </w:p>
        </w:tc>
        <w:tc>
          <w:tcPr>
            <w:tcW w:w="14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2,431,455</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6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68,169</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w w:val="98"/>
              </w:rPr>
              <w:t>CASH AND CASH EQUIVALENTS - BEGINNING OF PERIOD</w:t>
            </w:r>
          </w:p>
        </w:tc>
        <w:tc>
          <w:tcPr>
            <w:tcW w:w="100" w:type="dxa"/>
            <w:vAlign w:val="bottom"/>
            <w:tcBorders>
              <w:bottom w:val="single" w:sz="8" w:color="CCEEC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CC"/>
          </w:tcPr>
          <w:p>
            <w:pPr>
              <w:spacing w:after="0"/>
              <w:rPr>
                <w:sz w:val="20"/>
                <w:szCs w:val="20"/>
                <w:color w:val="auto"/>
              </w:rPr>
            </w:pPr>
            <w:r>
              <w:rPr>
                <w:rFonts w:ascii="Arial" w:cs="Arial" w:eastAsia="Arial" w:hAnsi="Arial"/>
                <w:sz w:val="18"/>
                <w:szCs w:val="18"/>
                <w:color w:val="auto"/>
              </w:rPr>
              <w:t>CASH AND CASH EQUIVALENTS - END OF PERIOD</w:t>
            </w:r>
          </w:p>
        </w:tc>
        <w:tc>
          <w:tcPr>
            <w:tcW w:w="100" w:type="dxa"/>
            <w:vAlign w:val="bottom"/>
            <w:shd w:val="clear" w:color="auto" w:fill="CCEECC"/>
          </w:tcPr>
          <w:p>
            <w:pPr>
              <w:spacing w:after="0"/>
              <w:rPr>
                <w:sz w:val="18"/>
                <w:szCs w:val="18"/>
                <w:color w:val="auto"/>
              </w:rPr>
            </w:pPr>
          </w:p>
        </w:tc>
        <w:tc>
          <w:tcPr>
            <w:tcW w:w="440" w:type="dxa"/>
            <w:vAlign w:val="bottom"/>
            <w:tcBorders>
              <w:bottom w:val="single" w:sz="8" w:color="auto"/>
            </w:tcBorders>
            <w:shd w:val="clear" w:color="auto" w:fill="CCEECC"/>
          </w:tcPr>
          <w:p>
            <w:pPr>
              <w:jc w:val="right"/>
              <w:ind w:right="285"/>
              <w:spacing w:after="0"/>
              <w:rPr>
                <w:sz w:val="20"/>
                <w:szCs w:val="20"/>
                <w:color w:val="auto"/>
              </w:rPr>
            </w:pPr>
            <w:r>
              <w:rPr>
                <w:rFonts w:ascii="Arial" w:cs="Arial" w:eastAsia="Arial" w:hAnsi="Arial"/>
                <w:sz w:val="15"/>
                <w:szCs w:val="15"/>
                <w:color w:val="auto"/>
                <w:w w:val="71"/>
              </w:rPr>
              <w:t>$</w:t>
            </w:r>
          </w:p>
        </w:tc>
        <w:tc>
          <w:tcPr>
            <w:tcW w:w="14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3,549,698</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60" w:type="dxa"/>
            <w:vAlign w:val="bottom"/>
            <w:tcBorders>
              <w:bottom w:val="single" w:sz="8" w:color="auto"/>
            </w:tcBorders>
            <w:shd w:val="clear" w:color="auto" w:fill="CCEECC"/>
          </w:tcPr>
          <w:p>
            <w:pPr>
              <w:jc w:val="right"/>
              <w:ind w:right="10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352,432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4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paid for interest</w:t>
            </w:r>
          </w:p>
        </w:tc>
        <w:tc>
          <w:tcPr>
            <w:tcW w:w="540" w:type="dxa"/>
            <w:vAlign w:val="bottom"/>
            <w:gridSpan w:val="2"/>
            <w:shd w:val="clear" w:color="auto" w:fill="CCEECC"/>
          </w:tcPr>
          <w:p>
            <w:pPr>
              <w:jc w:val="right"/>
              <w:ind w:right="285"/>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80" w:type="dxa"/>
            <w:vAlign w:val="bottom"/>
            <w:gridSpan w:val="2"/>
            <w:shd w:val="clear" w:color="auto" w:fill="CCEECC"/>
          </w:tcPr>
          <w:p>
            <w:pPr>
              <w:jc w:val="right"/>
              <w:ind w:right="105"/>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Cash paid for income taxes</w:t>
            </w:r>
          </w:p>
        </w:tc>
        <w:tc>
          <w:tcPr>
            <w:tcW w:w="100" w:type="dxa"/>
            <w:vAlign w:val="bottom"/>
            <w:tcBorders>
              <w:top w:val="single" w:sz="8" w:color="CCEECC"/>
              <w:bottom w:val="single" w:sz="8" w:color="CCEECC"/>
            </w:tcBorders>
            <w:vMerge w:val="restart"/>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4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440" w:type="dxa"/>
            <w:vAlign w:val="bottom"/>
            <w:tcBorders>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4</w:t>
            </w:r>
          </w:p>
        </w:tc>
        <w:tc>
          <w:tcPr>
            <w:tcW w:w="14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5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OptimizeRx Corporation, is a technology solution company focused on the health care industry. Its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consolidated financial statements for the three and six month periods ended June 30, 2014 and 2013 have been prepared by us without audit pursuant to the rules and regulations of the Securities and Exchange Commission. In the opinion of management, all adjustments necessary to present fairly our financial position, results of operations, and cash flows as of June 30, 2014 and 2013, and for the periods then ended, have been made. Those adjustments consist of normal and recurring adjustments. The consolidated balance sheet as of December 31, 2013,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consolidated financial statements should be read in conjunction with a reading of the financial statements and notes thereto included in our Annual Report on Form 10-K for the fiscal year ended December 31, 2013, as filed with the U.S.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six month periods ended June 30, 2014, are not necessarily indicative of the results to be expected for the full year.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 reclassifications have been made in the prior period’s consolidated financial statements to conform to the current period’s presentation.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March 2014, the Company entered into a securities purchase agreement, pursuant to which the Company sold an aggregate of 8,333,333 shares of the Company’s common stock for $1.20 per share, or gross proceeds of $10,000,000.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warrants were valued at $1,110,211, have been recorded as equity issuance costs, and were registered on a registration statement dated May 28, 2014.</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warrants, the Company also paid cash bonuses of $240,000 to three officers, issued 200,000 shares to three officers, and 150,000 shares to a consultant, in connection with the equity raise. The stock was valued based on the fair market value on the grant date, which was $630,000 in total. These amounts have been recorded as equity issuance costs.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provided the Company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an officer exercised 500,000 stock warrants using the cashless exercise feature. In exchange for the 500,000 warrants, 410,348 shares of common stock were issued.</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six months ended June 30, 2014, the Company granted 337,500 shares of common stock to two employees as bonuses valued at $570,375 based on the unique accomplishment of recapitalizing the company to secure an additional $3MM in working capital while reducing 7 MM in fully diluted shares As of June 30, 2014, only 50% of the shares had vested. The company recorded the remaining 50% as deferred stock-based compensation. Stock-based compensation related to these bonuses was $285,188 for the six months ended June 30, 2014. The remainder will be expensed once the other 50% of the shares have vested in August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2014, the Company issued 54,000 shares of common stock to consultants in connection with investor relations services.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shares were valued based on the fair market value on the date of grant, which resulted in expense totaling $82,300.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shares of common stock were issued in the six months ended June 30,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use the fair value method to account for stock based compensation. We recorded $170,611 and $38,900 in compensation expense in the periods ended June 30, 2014 and 2013, respectively, related to options issued under our stock-based incentive compensation plan. This includes expense related to both options issued and committed in the current year, and options issued in prior years for which the requisite service period for those options includes the current year. The fair value of these instruments were calculated using the Black-Scholes option pricing model. Information related to the assumptions used in this model is set forth in the Company’s Annual Report on Form 10-K for the fiscal year ended December 31, 2013. Assumptions for options issued in the current year approximated the same assumptions, with estimated lives ranging from 3.5 to 5 years.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NOTE 4 –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November 2013, Plaintiffs in the action </w:t>
      </w:r>
      <w:r>
        <w:rPr>
          <w:rFonts w:ascii="Arial" w:cs="Arial" w:eastAsia="Arial" w:hAnsi="Arial"/>
          <w:sz w:val="17"/>
          <w:szCs w:val="17"/>
          <w:u w:val="single" w:color="auto"/>
          <w:color w:val="auto"/>
        </w:rPr>
        <w:t>Milton Wilpon et al. v. Continental Capital Corporation</w:t>
      </w:r>
      <w:r>
        <w:rPr>
          <w:rFonts w:ascii="Arial" w:cs="Arial" w:eastAsia="Arial" w:hAnsi="Arial"/>
          <w:sz w:val="17"/>
          <w:szCs w:val="17"/>
          <w:color w:val="auto"/>
        </w:rPr>
        <w:t>, C-289-06, Superior Court of New Jersey (the “Action”) served the Company with notice that they were seeking to amend the caption of the Action to add the Company as a judgment debtor on a default judgment obtained by Plaintiffs. In 2007 Plaintiffs obtained a default judgment in the amount of $929,559 against Continental Capital Corporation (“Continental”) in the Action (the “Default Judgment”). The Court denied Plaintiffs’ request to amend the caption to add the Company as a defendant liable on the Default Judgment and directed Plaintiffs to file a motion for leave to amend the Complaint to add the Company as a party to the Action, which motion Plaintiffs filed and the Court granted. On March 15, 2014, Plaintiffs served a Second Amended Complaint alleging that the Company is Continental’s successor in interest and is therefore liable on the Default Judgment. On April 14, 2014, the Company filed an Answer with Counterclaims and Third-Party Claims (the “Answer”). The Answer (1) denied the allegations in the Second Amended Complaint on the ground that the Default Judgment is infirm in numerous respects, including because it is tainted by fraud and is an abuse of the legal process, and should therefore be vacated and (2) asserted counterclaims and third-party claims against other parties responsible for the obligations related to the Default Judgment.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4 – CONTINGENCIES (CONTINUED)</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or about May 16, 2014, Plaintiffs filed a motion to dismiss of the Company’s Answer and to enter final judgment against the Company in an amount equal to the Default Judgment. On June 5, 2014, the Company filed opposition to Plaintiffs’ motion and filed a cross-motion to vacate the Default Judgment. The Company moved to vacate the Default Judgment on several grounds including that the initial complaint was not properly served, that Plaintiffs obtained the Default Judgment by making material misrepresentations to the Court about the sufficiency of service among other issues and that Plaintiffs entirely failed initially to file their claims in an arbitration with the American Arbitration Association, as required by the agreement upon which Plaintiffs based their claims. The Court has scheduled oral argument on Plaintiffs’ motion and on the Company’s cross-motion for August 21, 2014.</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6, 2013, we filed a Complaint for Patent Infringement against Physicians Interactive Inc., Physicians Interactive Holdings, Inc. and Skyscape.com, in which we allege that one or more of those entities has infringed on United States Patent No. 8,341,015. The defendants responded denying the assertions made in our Complaint. On August 7, 2014, the parties signed a settlement agreement whereby both parties dismissed their actions and released each other form claims that were, or might have been, asserted in the action. This settlement will reduce legal expense moving forward.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5 – RESTATEMENT</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restated its financial statements to change the way it accounts for revenue share expense. The full impact of the restatement was reflected in the December 31, 2013 financial statements at the end of the year. The tables below reflect the impact on the three and six month periods reflected in this report.</w:t>
      </w:r>
    </w:p>
    <w:p>
      <w:pPr>
        <w:spacing w:after="0" w:line="1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restated Consolidated Balance Sheet, Consolidated Statement of Operations and Consolidated Statement of Cash Flows for the periods ended June 30, 2013 is as follows:</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000" w:type="dxa"/>
            <w:vAlign w:val="bottom"/>
            <w:tcBorders>
              <w:bottom w:val="single" w:sz="8" w:color="auto"/>
            </w:tcBorders>
            <w:gridSpan w:val="4"/>
          </w:tcPr>
          <w:p>
            <w:pPr>
              <w:ind w:left="320"/>
              <w:spacing w:after="0"/>
              <w:rPr>
                <w:sz w:val="20"/>
                <w:szCs w:val="20"/>
                <w:color w:val="auto"/>
              </w:rPr>
            </w:pPr>
            <w:r>
              <w:rPr>
                <w:rFonts w:ascii="Arial" w:cs="Arial" w:eastAsia="Arial" w:hAnsi="Arial"/>
                <w:sz w:val="18"/>
                <w:szCs w:val="18"/>
                <w:color w:val="auto"/>
              </w:rPr>
              <w:t>Six months ended June 30, 2013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95"/>
        </w:trPr>
        <w:tc>
          <w:tcPr>
            <w:tcW w:w="150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Previously</w:t>
            </w:r>
          </w:p>
        </w:tc>
      </w:tr>
      <w:tr>
        <w:trPr>
          <w:trHeight w:val="24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Statement</w:t>
            </w:r>
          </w:p>
        </w:tc>
        <w:tc>
          <w:tcPr>
            <w:tcW w:w="20" w:type="dxa"/>
            <w:vAlign w:val="bottom"/>
          </w:tcPr>
          <w:p>
            <w:pPr>
              <w:spacing w:after="0"/>
              <w:rPr>
                <w:sz w:val="21"/>
                <w:szCs w:val="21"/>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Line Item</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Corrected</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Stated</w:t>
            </w:r>
          </w:p>
        </w:tc>
      </w:tr>
      <w:tr>
        <w:trPr>
          <w:trHeight w:val="195"/>
        </w:trPr>
        <w:tc>
          <w:tcPr>
            <w:tcW w:w="14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1480" w:type="dxa"/>
            <w:vAlign w:val="bottom"/>
            <w:tcBorders>
              <w:top w:val="single" w:sz="8" w:color="auto"/>
            </w:tcBorders>
            <w:shd w:val="clear" w:color="auto" w:fill="CCEECC"/>
          </w:tcPr>
          <w:p>
            <w:pPr>
              <w:ind w:left="60"/>
              <w:spacing w:after="0" w:line="195" w:lineRule="exact"/>
              <w:rPr>
                <w:sz w:val="20"/>
                <w:szCs w:val="20"/>
                <w:color w:val="auto"/>
              </w:rPr>
            </w:pPr>
            <w:r>
              <w:rPr>
                <w:rFonts w:ascii="Arial" w:cs="Arial" w:eastAsia="Arial" w:hAnsi="Arial"/>
                <w:sz w:val="18"/>
                <w:szCs w:val="18"/>
                <w:color w:val="auto"/>
              </w:rPr>
              <w:t>Revenue share</w:t>
            </w:r>
          </w:p>
        </w:tc>
        <w:tc>
          <w:tcPr>
            <w:tcW w:w="2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28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280" w:type="dxa"/>
            <w:vAlign w:val="bottom"/>
            <w:tcBorders>
              <w:top w:val="single" w:sz="8" w:color="auto"/>
            </w:tcBorders>
            <w:shd w:val="clear" w:color="auto" w:fill="CCEECC"/>
          </w:tcPr>
          <w:p>
            <w:pPr>
              <w:spacing w:after="0"/>
              <w:rPr>
                <w:sz w:val="16"/>
                <w:szCs w:val="16"/>
                <w:color w:val="auto"/>
              </w:rPr>
            </w:pPr>
          </w:p>
        </w:tc>
        <w:tc>
          <w:tcPr>
            <w:tcW w:w="9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r>
      <w:tr>
        <w:trPr>
          <w:trHeight w:val="230"/>
        </w:trPr>
        <w:tc>
          <w:tcPr>
            <w:tcW w:w="15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shd w:val="clear" w:color="auto" w:fill="CCEECC"/>
          </w:tcPr>
          <w:p>
            <w:pPr>
              <w:spacing w:after="0"/>
              <w:rPr>
                <w:sz w:val="20"/>
                <w:szCs w:val="20"/>
                <w:color w:val="auto"/>
              </w:rPr>
            </w:pPr>
          </w:p>
        </w:tc>
        <w:tc>
          <w:tcPr>
            <w:tcW w:w="1480" w:type="dxa"/>
            <w:vAlign w:val="bottom"/>
            <w:shd w:val="clear" w:color="auto" w:fill="CCEECC"/>
          </w:tcPr>
          <w:p>
            <w:pPr>
              <w:ind w:left="60"/>
              <w:spacing w:after="0"/>
              <w:rPr>
                <w:sz w:val="20"/>
                <w:szCs w:val="20"/>
                <w:color w:val="auto"/>
              </w:rPr>
            </w:pPr>
            <w:r>
              <w:rPr>
                <w:rFonts w:ascii="Arial" w:cs="Arial" w:eastAsia="Arial" w:hAnsi="Arial"/>
                <w:sz w:val="18"/>
                <w:szCs w:val="18"/>
                <w:color w:val="auto"/>
              </w:rPr>
              <w:t>expense</w:t>
            </w:r>
          </w:p>
        </w:tc>
        <w:tc>
          <w:tcPr>
            <w:tcW w:w="360" w:type="dxa"/>
            <w:vAlign w:val="bottom"/>
            <w:gridSpan w:val="4"/>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734,924</w:t>
            </w:r>
          </w:p>
        </w:tc>
        <w:tc>
          <w:tcPr>
            <w:tcW w:w="2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3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237,403</w:t>
            </w:r>
          </w:p>
        </w:tc>
        <w:tc>
          <w:tcPr>
            <w:tcW w:w="60" w:type="dxa"/>
            <w:vAlign w:val="bottom"/>
            <w:shd w:val="clear" w:color="auto" w:fill="CCEECC"/>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ind w:left="60"/>
              <w:spacing w:after="0" w:line="201" w:lineRule="exact"/>
              <w:rPr>
                <w:sz w:val="20"/>
                <w:szCs w:val="20"/>
                <w:color w:val="auto"/>
              </w:rPr>
            </w:pPr>
            <w:r>
              <w:rPr>
                <w:rFonts w:ascii="Arial" w:cs="Arial" w:eastAsia="Arial" w:hAnsi="Arial"/>
                <w:sz w:val="18"/>
                <w:szCs w:val="18"/>
                <w:color w:val="auto"/>
              </w:rPr>
              <w:t>Income (Loss)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500" w:type="dxa"/>
            <w:vAlign w:val="bottom"/>
            <w:gridSpan w:val="2"/>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from operations</w:t>
            </w:r>
          </w:p>
        </w:tc>
        <w:tc>
          <w:tcPr>
            <w:tcW w:w="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(248,282)</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249,239</w:t>
            </w:r>
          </w:p>
        </w:tc>
        <w:tc>
          <w:tcPr>
            <w:tcW w:w="60" w:type="dxa"/>
            <w:vAlign w:val="bottom"/>
          </w:tcPr>
          <w:p>
            <w:pPr>
              <w:spacing w:after="0"/>
              <w:rPr>
                <w:sz w:val="20"/>
                <w:szCs w:val="20"/>
                <w:color w:val="auto"/>
              </w:rPr>
            </w:pPr>
          </w:p>
        </w:tc>
      </w:tr>
      <w:tr>
        <w:trPr>
          <w:trHeight w:val="202"/>
        </w:trPr>
        <w:tc>
          <w:tcPr>
            <w:tcW w:w="14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80" w:type="dxa"/>
            <w:vAlign w:val="bottom"/>
            <w:shd w:val="clear" w:color="auto" w:fill="CCEECC"/>
          </w:tcPr>
          <w:p>
            <w:pPr>
              <w:ind w:left="60"/>
              <w:spacing w:after="0" w:line="201" w:lineRule="exact"/>
              <w:rPr>
                <w:sz w:val="20"/>
                <w:szCs w:val="20"/>
                <w:color w:val="auto"/>
              </w:rPr>
            </w:pPr>
            <w:r>
              <w:rPr>
                <w:rFonts w:ascii="Arial" w:cs="Arial" w:eastAsia="Arial" w:hAnsi="Arial"/>
                <w:sz w:val="18"/>
                <w:szCs w:val="18"/>
                <w:color w:val="auto"/>
              </w:rPr>
              <w:t>Income (loss)</w:t>
            </w: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14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80" w:type="dxa"/>
            <w:vAlign w:val="bottom"/>
            <w:shd w:val="clear" w:color="auto" w:fill="CCEECC"/>
          </w:tcPr>
          <w:p>
            <w:pPr>
              <w:ind w:left="60"/>
              <w:spacing w:after="0"/>
              <w:rPr>
                <w:sz w:val="20"/>
                <w:szCs w:val="20"/>
                <w:color w:val="auto"/>
              </w:rPr>
            </w:pPr>
            <w:r>
              <w:rPr>
                <w:rFonts w:ascii="Arial" w:cs="Arial" w:eastAsia="Arial" w:hAnsi="Arial"/>
                <w:sz w:val="18"/>
                <w:szCs w:val="18"/>
                <w:color w:val="auto"/>
              </w:rPr>
              <w:t>before income</w:t>
            </w: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0"/>
        </w:trPr>
        <w:tc>
          <w:tcPr>
            <w:tcW w:w="15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shd w:val="clear" w:color="auto" w:fill="CCEECC"/>
          </w:tcPr>
          <w:p>
            <w:pPr>
              <w:spacing w:after="0"/>
              <w:rPr>
                <w:sz w:val="20"/>
                <w:szCs w:val="20"/>
                <w:color w:val="auto"/>
              </w:rPr>
            </w:pPr>
          </w:p>
        </w:tc>
        <w:tc>
          <w:tcPr>
            <w:tcW w:w="1480" w:type="dxa"/>
            <w:vAlign w:val="bottom"/>
            <w:shd w:val="clear" w:color="auto" w:fill="CCEECC"/>
          </w:tcPr>
          <w:p>
            <w:pPr>
              <w:ind w:left="60"/>
              <w:spacing w:after="0"/>
              <w:rPr>
                <w:sz w:val="20"/>
                <w:szCs w:val="20"/>
                <w:color w:val="auto"/>
              </w:rPr>
            </w:pPr>
            <w:r>
              <w:rPr>
                <w:rFonts w:ascii="Arial" w:cs="Arial" w:eastAsia="Arial" w:hAnsi="Arial"/>
                <w:sz w:val="18"/>
                <w:szCs w:val="18"/>
                <w:color w:val="auto"/>
              </w:rPr>
              <w:t>taxes</w:t>
            </w:r>
          </w:p>
        </w:tc>
        <w:tc>
          <w:tcPr>
            <w:tcW w:w="360" w:type="dxa"/>
            <w:vAlign w:val="bottom"/>
            <w:gridSpan w:val="4"/>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(224,188)</w:t>
            </w:r>
          </w:p>
        </w:tc>
        <w:tc>
          <w:tcPr>
            <w:tcW w:w="3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249,333</w:t>
            </w:r>
          </w:p>
        </w:tc>
        <w:tc>
          <w:tcPr>
            <w:tcW w:w="60" w:type="dxa"/>
            <w:vAlign w:val="bottom"/>
            <w:shd w:val="clear" w:color="auto" w:fill="CCEECC"/>
          </w:tcPr>
          <w:p>
            <w:pPr>
              <w:spacing w:after="0"/>
              <w:rPr>
                <w:sz w:val="20"/>
                <w:szCs w:val="20"/>
                <w:color w:val="auto"/>
              </w:rPr>
            </w:pPr>
          </w:p>
        </w:tc>
      </w:tr>
      <w:tr>
        <w:trPr>
          <w:trHeight w:val="216"/>
        </w:trPr>
        <w:tc>
          <w:tcPr>
            <w:tcW w:w="1500" w:type="dxa"/>
            <w:vAlign w:val="bottom"/>
            <w:gridSpan w:val="2"/>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tcPr>
          <w:p>
            <w:pPr>
              <w:spacing w:after="0"/>
              <w:rPr>
                <w:sz w:val="18"/>
                <w:szCs w:val="18"/>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w w:val="99"/>
              </w:rPr>
              <w:t>Net income (loss)</w:t>
            </w:r>
          </w:p>
        </w:tc>
        <w:tc>
          <w:tcPr>
            <w:tcW w:w="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(224,188)</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249,333</w:t>
            </w:r>
          </w:p>
        </w:tc>
        <w:tc>
          <w:tcPr>
            <w:tcW w:w="60" w:type="dxa"/>
            <w:vAlign w:val="bottom"/>
          </w:tcPr>
          <w:p>
            <w:pPr>
              <w:spacing w:after="0"/>
              <w:rPr>
                <w:sz w:val="18"/>
                <w:szCs w:val="18"/>
                <w:color w:val="auto"/>
              </w:rPr>
            </w:pPr>
          </w:p>
        </w:tc>
      </w:tr>
      <w:tr>
        <w:trPr>
          <w:trHeight w:val="202"/>
        </w:trPr>
        <w:tc>
          <w:tcPr>
            <w:tcW w:w="15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w w:val="96"/>
              </w:rPr>
              <w:t>Statement of cash</w:t>
            </w:r>
          </w:p>
        </w:tc>
        <w:tc>
          <w:tcPr>
            <w:tcW w:w="20" w:type="dxa"/>
            <w:vAlign w:val="bottom"/>
            <w:shd w:val="clear" w:color="auto" w:fill="CCEECC"/>
          </w:tcPr>
          <w:p>
            <w:pPr>
              <w:spacing w:after="0"/>
              <w:rPr>
                <w:sz w:val="17"/>
                <w:szCs w:val="17"/>
                <w:color w:val="auto"/>
              </w:rPr>
            </w:pPr>
          </w:p>
        </w:tc>
        <w:tc>
          <w:tcPr>
            <w:tcW w:w="14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5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flows</w:t>
            </w:r>
          </w:p>
        </w:tc>
        <w:tc>
          <w:tcPr>
            <w:tcW w:w="20" w:type="dxa"/>
            <w:vAlign w:val="bottom"/>
            <w:shd w:val="clear" w:color="auto" w:fill="CCEECC"/>
          </w:tcPr>
          <w:p>
            <w:pPr>
              <w:spacing w:after="0"/>
              <w:rPr>
                <w:sz w:val="20"/>
                <w:szCs w:val="20"/>
                <w:color w:val="auto"/>
              </w:rPr>
            </w:pPr>
          </w:p>
        </w:tc>
        <w:tc>
          <w:tcPr>
            <w:tcW w:w="1480" w:type="dxa"/>
            <w:vAlign w:val="bottom"/>
            <w:shd w:val="clear" w:color="auto" w:fill="CCEECC"/>
          </w:tcPr>
          <w:p>
            <w:pPr>
              <w:ind w:left="60"/>
              <w:spacing w:after="0"/>
              <w:rPr>
                <w:sz w:val="20"/>
                <w:szCs w:val="20"/>
                <w:color w:val="auto"/>
              </w:rPr>
            </w:pPr>
            <w:r>
              <w:rPr>
                <w:rFonts w:ascii="Arial" w:cs="Arial" w:eastAsia="Arial" w:hAnsi="Arial"/>
                <w:sz w:val="18"/>
                <w:szCs w:val="18"/>
                <w:color w:val="auto"/>
                <w:w w:val="99"/>
              </w:rPr>
              <w:t>Net income (loss)</w:t>
            </w:r>
          </w:p>
        </w:tc>
        <w:tc>
          <w:tcPr>
            <w:tcW w:w="360" w:type="dxa"/>
            <w:vAlign w:val="bottom"/>
            <w:gridSpan w:val="4"/>
            <w:shd w:val="clear" w:color="auto" w:fill="CCEECC"/>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CC"/>
          </w:tcPr>
          <w:p>
            <w:pPr>
              <w:jc w:val="right"/>
              <w:ind w:right="20"/>
              <w:spacing w:after="0"/>
              <w:rPr>
                <w:sz w:val="20"/>
                <w:szCs w:val="20"/>
                <w:color w:val="auto"/>
              </w:rPr>
            </w:pPr>
            <w:r>
              <w:rPr>
                <w:rFonts w:ascii="Arial" w:cs="Arial" w:eastAsia="Arial" w:hAnsi="Arial"/>
                <w:sz w:val="18"/>
                <w:szCs w:val="18"/>
                <w:color w:val="auto"/>
              </w:rPr>
              <w:t>(224,188)</w:t>
            </w:r>
          </w:p>
        </w:tc>
        <w:tc>
          <w:tcPr>
            <w:tcW w:w="3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249,333</w:t>
            </w:r>
          </w:p>
        </w:tc>
        <w:tc>
          <w:tcPr>
            <w:tcW w:w="60" w:type="dxa"/>
            <w:vAlign w:val="bottom"/>
            <w:shd w:val="clear" w:color="auto" w:fill="CCEECC"/>
          </w:tcPr>
          <w:p>
            <w:pPr>
              <w:spacing w:after="0"/>
              <w:rPr>
                <w:sz w:val="20"/>
                <w:szCs w:val="20"/>
                <w:color w:val="auto"/>
              </w:rPr>
            </w:pPr>
          </w:p>
        </w:tc>
      </w:tr>
      <w:tr>
        <w:trPr>
          <w:trHeight w:val="202"/>
        </w:trPr>
        <w:tc>
          <w:tcPr>
            <w:tcW w:w="1500" w:type="dxa"/>
            <w:vAlign w:val="bottom"/>
            <w:gridSpan w:val="2"/>
          </w:tcPr>
          <w:p>
            <w:pPr>
              <w:ind w:left="80"/>
              <w:spacing w:after="0" w:line="201" w:lineRule="exact"/>
              <w:rPr>
                <w:sz w:val="20"/>
                <w:szCs w:val="20"/>
                <w:color w:val="auto"/>
              </w:rPr>
            </w:pPr>
            <w:r>
              <w:rPr>
                <w:rFonts w:ascii="Arial" w:cs="Arial" w:eastAsia="Arial" w:hAnsi="Arial"/>
                <w:sz w:val="18"/>
                <w:szCs w:val="18"/>
                <w:color w:val="auto"/>
                <w:w w:val="96"/>
              </w:rPr>
              <w:t>Statement of cash</w:t>
            </w:r>
          </w:p>
        </w:tc>
        <w:tc>
          <w:tcPr>
            <w:tcW w:w="20" w:type="dxa"/>
            <w:vAlign w:val="bottom"/>
          </w:tcPr>
          <w:p>
            <w:pPr>
              <w:spacing w:after="0"/>
              <w:rPr>
                <w:sz w:val="17"/>
                <w:szCs w:val="17"/>
                <w:color w:val="auto"/>
              </w:rPr>
            </w:pPr>
          </w:p>
        </w:tc>
        <w:tc>
          <w:tcPr>
            <w:tcW w:w="1480" w:type="dxa"/>
            <w:vAlign w:val="bottom"/>
          </w:tcPr>
          <w:p>
            <w:pPr>
              <w:ind w:left="60"/>
              <w:spacing w:after="0" w:line="201" w:lineRule="exact"/>
              <w:rPr>
                <w:sz w:val="20"/>
                <w:szCs w:val="20"/>
                <w:color w:val="auto"/>
              </w:rPr>
            </w:pPr>
            <w:r>
              <w:rPr>
                <w:rFonts w:ascii="Arial" w:cs="Arial" w:eastAsia="Arial" w:hAnsi="Arial"/>
                <w:sz w:val="18"/>
                <w:szCs w:val="18"/>
                <w:color w:val="auto"/>
                <w:w w:val="88"/>
              </w:rPr>
              <w:t>Increase in revenue</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20" w:type="dxa"/>
            <w:vAlign w:val="bottom"/>
          </w:tcPr>
          <w:p>
            <w:pPr>
              <w:spacing w:after="0"/>
              <w:rPr>
                <w:sz w:val="20"/>
                <w:szCs w:val="20"/>
                <w:color w:val="auto"/>
              </w:rPr>
            </w:pPr>
          </w:p>
        </w:tc>
        <w:tc>
          <w:tcPr>
            <w:tcW w:w="1480" w:type="dxa"/>
            <w:vAlign w:val="bottom"/>
          </w:tcPr>
          <w:p>
            <w:pPr>
              <w:ind w:left="60"/>
              <w:spacing w:after="0"/>
              <w:rPr>
                <w:sz w:val="20"/>
                <w:szCs w:val="20"/>
                <w:color w:val="auto"/>
              </w:rPr>
            </w:pPr>
            <w:r>
              <w:rPr>
                <w:rFonts w:ascii="Arial" w:cs="Arial" w:eastAsia="Arial" w:hAnsi="Arial"/>
                <w:sz w:val="18"/>
                <w:szCs w:val="18"/>
                <w:color w:val="auto"/>
              </w:rPr>
              <w:t>share payable</w:t>
            </w:r>
          </w:p>
        </w:tc>
        <w:tc>
          <w:tcPr>
            <w:tcW w:w="360" w:type="dxa"/>
            <w:vAlign w:val="bottom"/>
            <w:gridSpan w:val="4"/>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497,521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r>
      <w:tr>
        <w:trPr>
          <w:trHeight w:val="662"/>
        </w:trPr>
        <w:tc>
          <w:tcPr>
            <w:tcW w:w="300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w w:val="96"/>
              </w:rPr>
              <w:t>Three months ended June 30, 2013</w:t>
            </w:r>
          </w:p>
        </w:tc>
        <w:tc>
          <w:tcPr>
            <w:tcW w:w="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5"/>
        </w:trPr>
        <w:tc>
          <w:tcPr>
            <w:tcW w:w="1500" w:type="dxa"/>
            <w:vAlign w:val="bottom"/>
            <w:gridSpan w:val="2"/>
          </w:tcPr>
          <w:p>
            <w:pPr>
              <w:ind w:left="80"/>
              <w:spacing w:after="0" w:line="195" w:lineRule="exact"/>
              <w:rPr>
                <w:sz w:val="20"/>
                <w:szCs w:val="20"/>
                <w:color w:val="auto"/>
              </w:rPr>
            </w:pPr>
            <w:r>
              <w:rPr>
                <w:rFonts w:ascii="Arial" w:cs="Arial" w:eastAsia="Arial" w:hAnsi="Arial"/>
                <w:sz w:val="18"/>
                <w:szCs w:val="18"/>
                <w:color w:val="auto"/>
              </w:rPr>
              <w:t>Financial</w:t>
            </w: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80"/>
              <w:spacing w:after="0" w:line="195" w:lineRule="exact"/>
              <w:rPr>
                <w:sz w:val="20"/>
                <w:szCs w:val="20"/>
                <w:color w:val="auto"/>
              </w:rPr>
            </w:pPr>
            <w:r>
              <w:rPr>
                <w:rFonts w:ascii="Arial" w:cs="Arial" w:eastAsia="Arial" w:hAnsi="Arial"/>
                <w:sz w:val="18"/>
                <w:szCs w:val="18"/>
                <w:color w:val="auto"/>
              </w:rPr>
              <w:t>Previously</w:t>
            </w:r>
          </w:p>
        </w:tc>
      </w:tr>
      <w:tr>
        <w:trPr>
          <w:trHeight w:val="244"/>
        </w:trPr>
        <w:tc>
          <w:tcPr>
            <w:tcW w:w="1500" w:type="dxa"/>
            <w:vAlign w:val="bottom"/>
            <w:gridSpan w:val="2"/>
          </w:tcPr>
          <w:p>
            <w:pPr>
              <w:ind w:left="80"/>
              <w:spacing w:after="0"/>
              <w:rPr>
                <w:sz w:val="20"/>
                <w:szCs w:val="20"/>
                <w:color w:val="auto"/>
              </w:rPr>
            </w:pPr>
            <w:r>
              <w:rPr>
                <w:rFonts w:ascii="Arial" w:cs="Arial" w:eastAsia="Arial" w:hAnsi="Arial"/>
                <w:sz w:val="18"/>
                <w:szCs w:val="18"/>
                <w:color w:val="auto"/>
              </w:rPr>
              <w:t>Statement</w:t>
            </w:r>
          </w:p>
        </w:tc>
        <w:tc>
          <w:tcPr>
            <w:tcW w:w="20" w:type="dxa"/>
            <w:vAlign w:val="bottom"/>
          </w:tcPr>
          <w:p>
            <w:pPr>
              <w:spacing w:after="0"/>
              <w:rPr>
                <w:sz w:val="21"/>
                <w:szCs w:val="21"/>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Line Item</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Corrected</w:t>
            </w: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Stated</w:t>
            </w:r>
          </w:p>
        </w:tc>
      </w:tr>
      <w:tr>
        <w:trPr>
          <w:trHeight w:val="195"/>
        </w:trPr>
        <w:tc>
          <w:tcPr>
            <w:tcW w:w="14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8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rPr>
              <w:t>Revenue share</w:t>
            </w:r>
          </w:p>
        </w:tc>
        <w:tc>
          <w:tcPr>
            <w:tcW w:w="2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28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280" w:type="dxa"/>
            <w:vAlign w:val="bottom"/>
            <w:tcBorders>
              <w:top w:val="single" w:sz="8" w:color="auto"/>
            </w:tcBorders>
            <w:shd w:val="clear" w:color="auto" w:fill="CCEECC"/>
          </w:tcPr>
          <w:p>
            <w:pPr>
              <w:spacing w:after="0"/>
              <w:rPr>
                <w:sz w:val="16"/>
                <w:szCs w:val="16"/>
                <w:color w:val="auto"/>
              </w:rPr>
            </w:pPr>
          </w:p>
        </w:tc>
        <w:tc>
          <w:tcPr>
            <w:tcW w:w="9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r>
      <w:tr>
        <w:trPr>
          <w:trHeight w:val="230"/>
        </w:trPr>
        <w:tc>
          <w:tcPr>
            <w:tcW w:w="15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shd w:val="clear" w:color="auto" w:fill="CCEECC"/>
          </w:tcPr>
          <w:p>
            <w:pPr>
              <w:spacing w:after="0"/>
              <w:rPr>
                <w:sz w:val="20"/>
                <w:szCs w:val="20"/>
                <w:color w:val="auto"/>
              </w:rPr>
            </w:pPr>
          </w:p>
        </w:tc>
        <w:tc>
          <w:tcPr>
            <w:tcW w:w="1480" w:type="dxa"/>
            <w:vAlign w:val="bottom"/>
            <w:shd w:val="clear" w:color="auto" w:fill="CCEECC"/>
          </w:tcPr>
          <w:p>
            <w:pPr>
              <w:ind w:left="80"/>
              <w:spacing w:after="0"/>
              <w:rPr>
                <w:sz w:val="20"/>
                <w:szCs w:val="20"/>
                <w:color w:val="auto"/>
              </w:rPr>
            </w:pPr>
            <w:r>
              <w:rPr>
                <w:rFonts w:ascii="Arial" w:cs="Arial" w:eastAsia="Arial" w:hAnsi="Arial"/>
                <w:sz w:val="18"/>
                <w:szCs w:val="18"/>
                <w:color w:val="auto"/>
              </w:rPr>
              <w:t>expense</w:t>
            </w:r>
          </w:p>
        </w:tc>
        <w:tc>
          <w:tcPr>
            <w:tcW w:w="360" w:type="dxa"/>
            <w:vAlign w:val="bottom"/>
            <w:gridSpan w:val="4"/>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451,494</w:t>
            </w:r>
          </w:p>
        </w:tc>
        <w:tc>
          <w:tcPr>
            <w:tcW w:w="60" w:type="dxa"/>
            <w:vAlign w:val="bottom"/>
            <w:shd w:val="clear" w:color="auto" w:fill="CCEECC"/>
          </w:tcPr>
          <w:p>
            <w:pPr>
              <w:spacing w:after="0"/>
              <w:rPr>
                <w:sz w:val="20"/>
                <w:szCs w:val="20"/>
                <w:color w:val="auto"/>
              </w:rPr>
            </w:pPr>
          </w:p>
        </w:tc>
        <w:tc>
          <w:tcPr>
            <w:tcW w:w="3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197,200</w:t>
            </w:r>
          </w:p>
        </w:tc>
        <w:tc>
          <w:tcPr>
            <w:tcW w:w="60" w:type="dxa"/>
            <w:vAlign w:val="bottom"/>
            <w:shd w:val="clear" w:color="auto" w:fill="CCEECC"/>
          </w:tcPr>
          <w:p>
            <w:pPr>
              <w:spacing w:after="0"/>
              <w:rPr>
                <w:sz w:val="20"/>
                <w:szCs w:val="20"/>
                <w:color w:val="auto"/>
              </w:rPr>
            </w:pPr>
          </w:p>
        </w:tc>
      </w:tr>
      <w:tr>
        <w:trPr>
          <w:trHeight w:val="202"/>
        </w:trPr>
        <w:tc>
          <w:tcPr>
            <w:tcW w:w="1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tcPr>
          <w:p>
            <w:pPr>
              <w:ind w:left="80"/>
              <w:spacing w:after="0" w:line="201" w:lineRule="exact"/>
              <w:rPr>
                <w:sz w:val="20"/>
                <w:szCs w:val="20"/>
                <w:color w:val="auto"/>
              </w:rPr>
            </w:pPr>
            <w:r>
              <w:rPr>
                <w:rFonts w:ascii="Arial" w:cs="Arial" w:eastAsia="Arial" w:hAnsi="Arial"/>
                <w:sz w:val="18"/>
                <w:szCs w:val="18"/>
                <w:color w:val="auto"/>
              </w:rPr>
              <w:t>Income from</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500" w:type="dxa"/>
            <w:vAlign w:val="bottom"/>
            <w:gridSpan w:val="2"/>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operations</w:t>
            </w:r>
          </w:p>
        </w:tc>
        <w:tc>
          <w:tcPr>
            <w:tcW w:w="3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99,827</w:t>
            </w:r>
          </w:p>
        </w:tc>
        <w:tc>
          <w:tcPr>
            <w:tcW w:w="6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354,121</w:t>
            </w:r>
          </w:p>
        </w:tc>
        <w:tc>
          <w:tcPr>
            <w:tcW w:w="60" w:type="dxa"/>
            <w:vAlign w:val="bottom"/>
          </w:tcPr>
          <w:p>
            <w:pPr>
              <w:spacing w:after="0"/>
              <w:rPr>
                <w:sz w:val="20"/>
                <w:szCs w:val="20"/>
                <w:color w:val="auto"/>
              </w:rPr>
            </w:pPr>
          </w:p>
        </w:tc>
      </w:tr>
      <w:tr>
        <w:trPr>
          <w:trHeight w:val="202"/>
        </w:trPr>
        <w:tc>
          <w:tcPr>
            <w:tcW w:w="14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8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Income before</w:t>
            </w: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9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14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480" w:type="dxa"/>
            <w:vAlign w:val="bottom"/>
            <w:shd w:val="clear" w:color="auto" w:fill="CCEECC"/>
          </w:tcPr>
          <w:p>
            <w:pPr>
              <w:ind w:left="80"/>
              <w:spacing w:after="0"/>
              <w:rPr>
                <w:sz w:val="20"/>
                <w:szCs w:val="20"/>
                <w:color w:val="auto"/>
              </w:rPr>
            </w:pPr>
            <w:r>
              <w:rPr>
                <w:rFonts w:ascii="Arial" w:cs="Arial" w:eastAsia="Arial" w:hAnsi="Arial"/>
                <w:sz w:val="18"/>
                <w:szCs w:val="18"/>
                <w:color w:val="auto"/>
              </w:rPr>
              <w:t>provision for</w:t>
            </w: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9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0"/>
        </w:trPr>
        <w:tc>
          <w:tcPr>
            <w:tcW w:w="15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shd w:val="clear" w:color="auto" w:fill="CCEECC"/>
          </w:tcPr>
          <w:p>
            <w:pPr>
              <w:spacing w:after="0"/>
              <w:rPr>
                <w:sz w:val="20"/>
                <w:szCs w:val="20"/>
                <w:color w:val="auto"/>
              </w:rPr>
            </w:pPr>
          </w:p>
        </w:tc>
        <w:tc>
          <w:tcPr>
            <w:tcW w:w="148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income taxes</w:t>
            </w:r>
          </w:p>
        </w:tc>
        <w:tc>
          <w:tcPr>
            <w:tcW w:w="360" w:type="dxa"/>
            <w:vAlign w:val="bottom"/>
            <w:gridSpan w:val="4"/>
            <w:shd w:val="clear" w:color="auto" w:fill="CCEE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99,865</w:t>
            </w:r>
          </w:p>
        </w:tc>
        <w:tc>
          <w:tcPr>
            <w:tcW w:w="60" w:type="dxa"/>
            <w:vAlign w:val="bottom"/>
            <w:shd w:val="clear" w:color="auto" w:fill="CCEECC"/>
          </w:tcPr>
          <w:p>
            <w:pPr>
              <w:spacing w:after="0"/>
              <w:rPr>
                <w:sz w:val="20"/>
                <w:szCs w:val="20"/>
                <w:color w:val="auto"/>
              </w:rPr>
            </w:pPr>
          </w:p>
        </w:tc>
        <w:tc>
          <w:tcPr>
            <w:tcW w:w="32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354,159</w:t>
            </w:r>
          </w:p>
        </w:tc>
        <w:tc>
          <w:tcPr>
            <w:tcW w:w="60" w:type="dxa"/>
            <w:vAlign w:val="bottom"/>
            <w:shd w:val="clear" w:color="auto" w:fill="CCEECC"/>
          </w:tcPr>
          <w:p>
            <w:pPr>
              <w:spacing w:after="0"/>
              <w:rPr>
                <w:sz w:val="20"/>
                <w:szCs w:val="20"/>
                <w:color w:val="auto"/>
              </w:rPr>
            </w:pPr>
          </w:p>
        </w:tc>
      </w:tr>
      <w:tr>
        <w:trPr>
          <w:trHeight w:val="230"/>
        </w:trPr>
        <w:tc>
          <w:tcPr>
            <w:tcW w:w="1500" w:type="dxa"/>
            <w:vAlign w:val="bottom"/>
            <w:gridSpan w:val="2"/>
          </w:tcPr>
          <w:p>
            <w:pPr>
              <w:ind w:left="80"/>
              <w:spacing w:after="0"/>
              <w:rPr>
                <w:sz w:val="20"/>
                <w:szCs w:val="20"/>
                <w:color w:val="auto"/>
              </w:rPr>
            </w:pPr>
            <w:r>
              <w:rPr>
                <w:rFonts w:ascii="Arial" w:cs="Arial" w:eastAsia="Arial" w:hAnsi="Arial"/>
                <w:sz w:val="18"/>
                <w:szCs w:val="18"/>
                <w:color w:val="auto"/>
                <w:w w:val="97"/>
              </w:rPr>
              <w:t>Income statement</w:t>
            </w:r>
          </w:p>
        </w:tc>
        <w:tc>
          <w:tcPr>
            <w:tcW w:w="20" w:type="dxa"/>
            <w:vAlign w:val="bottom"/>
          </w:tcPr>
          <w:p>
            <w:pPr>
              <w:spacing w:after="0"/>
              <w:rPr>
                <w:sz w:val="20"/>
                <w:szCs w:val="20"/>
                <w:color w:val="auto"/>
              </w:rPr>
            </w:pPr>
          </w:p>
        </w:tc>
        <w:tc>
          <w:tcPr>
            <w:tcW w:w="1480" w:type="dxa"/>
            <w:vAlign w:val="bottom"/>
          </w:tcPr>
          <w:p>
            <w:pPr>
              <w:ind w:left="80"/>
              <w:spacing w:after="0"/>
              <w:rPr>
                <w:sz w:val="20"/>
                <w:szCs w:val="20"/>
                <w:color w:val="auto"/>
              </w:rPr>
            </w:pPr>
            <w:r>
              <w:rPr>
                <w:rFonts w:ascii="Arial" w:cs="Arial" w:eastAsia="Arial" w:hAnsi="Arial"/>
                <w:sz w:val="18"/>
                <w:szCs w:val="18"/>
                <w:color w:val="auto"/>
              </w:rPr>
              <w:t>Net income</w:t>
            </w:r>
          </w:p>
        </w:tc>
        <w:tc>
          <w:tcPr>
            <w:tcW w:w="360" w:type="dxa"/>
            <w:vAlign w:val="bottom"/>
            <w:gridSpan w:val="4"/>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99,865</w:t>
            </w:r>
          </w:p>
        </w:tc>
        <w:tc>
          <w:tcPr>
            <w:tcW w:w="60" w:type="dxa"/>
            <w:vAlign w:val="bottom"/>
          </w:tcPr>
          <w:p>
            <w:pPr>
              <w:spacing w:after="0"/>
              <w:rPr>
                <w:sz w:val="20"/>
                <w:szCs w:val="20"/>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354,159</w:t>
            </w:r>
          </w:p>
        </w:tc>
        <w:tc>
          <w:tcPr>
            <w:tcW w:w="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233"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NOTE 6 – SUBSEQUENT EVENTS</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August 7, 2014, we signed a settlement agreement with Physicians Interactive, Inc. described in greater detail in Note 4 above, whereby both parties dismissed their actions and released each other from all claims that were or might have been asserted in the action.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March 31, 2014 through the date these financial statements were issued and has determined that it does not have any material subsequent events to disclose in these financial statements other than the events described above.</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June, 2014</w:t>
      </w:r>
    </w:p>
    <w:p>
      <w:pPr>
        <w:spacing w:after="0" w:line="225" w:lineRule="exact"/>
        <w:rPr>
          <w:sz w:val="20"/>
          <w:szCs w:val="20"/>
          <w:color w:val="auto"/>
        </w:rPr>
      </w:pPr>
    </w:p>
    <w:p>
      <w:pPr>
        <w:ind w:left="440" w:hanging="33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sales for the first six months of 2014 approached $2.8 million, a 55% increase over the same period in 2013.</w:t>
      </w:r>
    </w:p>
    <w:p>
      <w:pPr>
        <w:spacing w:after="0" w:line="23" w:lineRule="exact"/>
        <w:rPr>
          <w:rFonts w:ascii="Arial" w:cs="Arial" w:eastAsia="Arial" w:hAnsi="Arial"/>
          <w:sz w:val="18"/>
          <w:szCs w:val="18"/>
          <w:color w:val="auto"/>
        </w:rPr>
      </w:pPr>
    </w:p>
    <w:p>
      <w:pPr>
        <w:ind w:left="440" w:hanging="33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distributions in the second quarter of 2014 increased approximately 30% over those in the first quarter.</w:t>
      </w:r>
    </w:p>
    <w:p>
      <w:pPr>
        <w:spacing w:after="0" w:line="9" w:lineRule="exact"/>
        <w:rPr>
          <w:rFonts w:ascii="Arial" w:cs="Arial" w:eastAsia="Arial" w:hAnsi="Arial"/>
          <w:sz w:val="18"/>
          <w:szCs w:val="18"/>
          <w:color w:val="auto"/>
        </w:rPr>
      </w:pPr>
    </w:p>
    <w:p>
      <w:pPr>
        <w:ind w:left="440" w:hanging="337"/>
        <w:spacing w:after="0" w:line="185" w:lineRule="auto"/>
        <w:tabs>
          <w:tab w:leader="none" w:pos="440" w:val="left"/>
        </w:tabs>
        <w:numPr>
          <w:ilvl w:val="0"/>
          <w:numId w:val="1"/>
        </w:numPr>
        <w:rPr>
          <w:rFonts w:ascii="Arial" w:cs="Arial" w:eastAsia="Arial" w:hAnsi="Arial"/>
          <w:sz w:val="29"/>
          <w:szCs w:val="29"/>
          <w:color w:val="auto"/>
          <w:vertAlign w:val="superscript"/>
        </w:rPr>
      </w:pPr>
      <w:r>
        <w:rPr>
          <w:rFonts w:ascii="Arial" w:cs="Arial" w:eastAsia="Arial" w:hAnsi="Arial"/>
          <w:sz w:val="16"/>
          <w:szCs w:val="16"/>
          <w:color w:val="auto"/>
        </w:rPr>
        <w:t>Excluding non-cash expenses, 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quarter 2014 generated operating income of $237,093.</w:t>
      </w:r>
    </w:p>
    <w:p>
      <w:pPr>
        <w:spacing w:after="0" w:line="1" w:lineRule="exact"/>
        <w:rPr>
          <w:rFonts w:ascii="Arial" w:cs="Arial" w:eastAsia="Arial" w:hAnsi="Arial"/>
          <w:sz w:val="29"/>
          <w:szCs w:val="29"/>
          <w:color w:val="auto"/>
          <w:vertAlign w:val="superscript"/>
        </w:rPr>
      </w:pPr>
    </w:p>
    <w:p>
      <w:pPr>
        <w:ind w:left="440" w:hanging="33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Launch of SampleMD’s e-coupon solution on August 9, 2014 within Quest Diagnostics’ EMR.</w:t>
      </w:r>
    </w:p>
    <w:p>
      <w:pPr>
        <w:spacing w:after="0" w:line="7" w:lineRule="exact"/>
        <w:rPr>
          <w:rFonts w:ascii="Arial" w:cs="Arial" w:eastAsia="Arial" w:hAnsi="Arial"/>
          <w:sz w:val="18"/>
          <w:szCs w:val="18"/>
          <w:color w:val="auto"/>
        </w:rPr>
      </w:pPr>
    </w:p>
    <w:p>
      <w:pPr>
        <w:ind w:left="440" w:hanging="33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Issuance of independent research and coverage of OPRX by Merriman Capital, who issued a buy rating with a $3.00 price target.</w:t>
      </w:r>
    </w:p>
    <w:p>
      <w:pPr>
        <w:spacing w:after="0" w:line="9" w:lineRule="exact"/>
        <w:rPr>
          <w:rFonts w:ascii="Arial" w:cs="Arial" w:eastAsia="Arial" w:hAnsi="Arial"/>
          <w:sz w:val="18"/>
          <w:szCs w:val="18"/>
          <w:color w:val="auto"/>
        </w:rPr>
      </w:pPr>
    </w:p>
    <w:p>
      <w:pPr>
        <w:ind w:left="440" w:hanging="33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Continued to acquire new pharmaceutical manufacturers and brands promoting through our platforms.</w:t>
      </w:r>
    </w:p>
    <w:p>
      <w:pPr>
        <w:spacing w:after="0" w:line="9" w:lineRule="exact"/>
        <w:rPr>
          <w:rFonts w:ascii="Arial" w:cs="Arial" w:eastAsia="Arial" w:hAnsi="Arial"/>
          <w:sz w:val="18"/>
          <w:szCs w:val="18"/>
          <w:color w:val="auto"/>
        </w:rPr>
      </w:pPr>
    </w:p>
    <w:p>
      <w:pPr>
        <w:ind w:left="440" w:hanging="337"/>
        <w:spacing w:after="0"/>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Successfully tested automated e-coupon solution at Walgreens to automate received coupons, versus manual upload.</w:t>
      </w:r>
    </w:p>
    <w:p>
      <w:pPr>
        <w:spacing w:after="0" w:line="9" w:lineRule="exact"/>
        <w:rPr>
          <w:rFonts w:ascii="Arial" w:cs="Arial" w:eastAsia="Arial" w:hAnsi="Arial"/>
          <w:sz w:val="18"/>
          <w:szCs w:val="18"/>
          <w:color w:val="auto"/>
        </w:rPr>
      </w:pPr>
    </w:p>
    <w:p>
      <w:pPr>
        <w:ind w:left="440" w:hanging="337"/>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 addition to hiring a highly experienced financial executive as CFO and a former global marketing director from AstraZeneca to lead sales on the east coast, we are continuing to expand our board of directors with seasoned executives.</w:t>
      </w:r>
    </w:p>
    <w:p>
      <w:pPr>
        <w:ind w:left="440" w:hanging="337"/>
        <w:spacing w:after="0" w:line="250" w:lineRule="auto"/>
        <w:tabs>
          <w:tab w:leader="none" w:pos="4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acquired $10 million dollars in new capital to exercise the negotiated buyout of Vicis, which netted out an additional $3 million dollars to us, and a reduction of approximately 7 million in fully diluted shares.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10)We settled a lawsuit with LDM to enable promotional access to over 100,000 new healthcare providers.</w:t>
      </w:r>
    </w:p>
    <w:p>
      <w:pPr>
        <w:spacing w:after="0" w:line="9" w:lineRule="exact"/>
        <w:rPr>
          <w:sz w:val="20"/>
          <w:szCs w:val="20"/>
          <w:color w:val="auto"/>
        </w:rPr>
      </w:pPr>
    </w:p>
    <w:p>
      <w:pPr>
        <w:ind w:left="360" w:right="20" w:hanging="242"/>
        <w:spacing w:after="0" w:line="250" w:lineRule="auto"/>
        <w:rPr>
          <w:sz w:val="20"/>
          <w:szCs w:val="20"/>
          <w:color w:val="auto"/>
        </w:rPr>
      </w:pPr>
      <w:r>
        <w:rPr>
          <w:rFonts w:ascii="Arial" w:cs="Arial" w:eastAsia="Arial" w:hAnsi="Arial"/>
          <w:sz w:val="18"/>
          <w:szCs w:val="18"/>
          <w:color w:val="auto"/>
        </w:rPr>
        <w:t>11)We completed and launched the SampleMD 2.0 technology platform to support growth. We are currently working on further enhancements and will be upgrading to Oracle software to further improve system and reporting capacity.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12)We proved an outstanding Return on Investment associated with our pharmaceutical promotions through an independent analytics firm.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13)We launched VoucherDVM and engaged leading platforms to offer automated vet product savings. Expecting beta launch in 4Q.</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As reflected in the following table, ignoring working capital fluctuations, we generated positive cash flow from operations during the quarter:</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For the Three</w:t>
            </w:r>
          </w:p>
        </w:tc>
      </w:tr>
      <w:tr>
        <w:trPr>
          <w:trHeight w:val="230"/>
        </w:trPr>
        <w:tc>
          <w:tcPr>
            <w:tcW w:w="4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Months Ended</w:t>
            </w:r>
          </w:p>
        </w:tc>
      </w:tr>
      <w:tr>
        <w:trPr>
          <w:trHeight w:val="230"/>
        </w:trPr>
        <w:tc>
          <w:tcPr>
            <w:tcW w:w="4220" w:type="dxa"/>
            <w:vAlign w:val="bottom"/>
            <w:tcBorders>
              <w:bottom w:val="single" w:sz="8" w:color="CCEECC"/>
            </w:tcBorders>
          </w:tcPr>
          <w:p>
            <w:pPr>
              <w:spacing w:after="0"/>
              <w:rPr>
                <w:sz w:val="20"/>
                <w:szCs w:val="20"/>
                <w:color w:val="auto"/>
              </w:rPr>
            </w:pPr>
          </w:p>
        </w:tc>
        <w:tc>
          <w:tcPr>
            <w:tcW w:w="18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7"/>
              </w:rPr>
              <w:t>June 30, 2014</w:t>
            </w:r>
          </w:p>
        </w:tc>
      </w:tr>
      <w:tr>
        <w:trPr>
          <w:trHeight w:val="210"/>
        </w:trPr>
        <w:tc>
          <w:tcPr>
            <w:tcW w:w="422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1,454,214</w:t>
            </w:r>
          </w:p>
        </w:tc>
        <w:tc>
          <w:tcPr>
            <w:tcW w:w="80" w:type="dxa"/>
            <w:vAlign w:val="bottom"/>
            <w:shd w:val="clear" w:color="auto" w:fill="CCEECC"/>
          </w:tcPr>
          <w:p>
            <w:pPr>
              <w:spacing w:after="0"/>
              <w:rPr>
                <w:sz w:val="18"/>
                <w:szCs w:val="18"/>
                <w:color w:val="auto"/>
              </w:rPr>
            </w:pPr>
          </w:p>
        </w:tc>
      </w:tr>
      <w:tr>
        <w:trPr>
          <w:trHeight w:val="230"/>
        </w:trPr>
        <w:tc>
          <w:tcPr>
            <w:tcW w:w="42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Revenue Share Expense</w:t>
            </w:r>
          </w:p>
        </w:tc>
        <w:tc>
          <w:tcPr>
            <w:tcW w:w="18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540,048</w:t>
            </w:r>
          </w:p>
        </w:tc>
        <w:tc>
          <w:tcPr>
            <w:tcW w:w="80" w:type="dxa"/>
            <w:vAlign w:val="bottom"/>
            <w:tcBorders>
              <w:bottom w:val="single" w:sz="8" w:color="CCEECC"/>
            </w:tcBorders>
          </w:tcPr>
          <w:p>
            <w:pPr>
              <w:spacing w:after="0"/>
              <w:rPr>
                <w:sz w:val="19"/>
                <w:szCs w:val="19"/>
                <w:color w:val="auto"/>
              </w:rPr>
            </w:pPr>
          </w:p>
        </w:tc>
      </w:tr>
      <w:tr>
        <w:trPr>
          <w:trHeight w:val="210"/>
        </w:trPr>
        <w:tc>
          <w:tcPr>
            <w:tcW w:w="4220" w:type="dxa"/>
            <w:vAlign w:val="bottom"/>
            <w:shd w:val="clear" w:color="auto" w:fill="CCEECC"/>
          </w:tcPr>
          <w:p>
            <w:pPr>
              <w:ind w:left="200"/>
              <w:spacing w:after="0"/>
              <w:rPr>
                <w:sz w:val="20"/>
                <w:szCs w:val="20"/>
                <w:color w:val="auto"/>
              </w:rPr>
            </w:pPr>
            <w:r>
              <w:rPr>
                <w:rFonts w:ascii="Arial" w:cs="Arial" w:eastAsia="Arial" w:hAnsi="Arial"/>
                <w:sz w:val="18"/>
                <w:szCs w:val="18"/>
                <w:color w:val="auto"/>
              </w:rPr>
              <w:t>Gross Margin</w:t>
            </w:r>
          </w:p>
        </w:tc>
        <w:tc>
          <w:tcPr>
            <w:tcW w:w="18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914,166</w:t>
            </w:r>
          </w:p>
        </w:tc>
        <w:tc>
          <w:tcPr>
            <w:tcW w:w="80" w:type="dxa"/>
            <w:vAlign w:val="bottom"/>
            <w:shd w:val="clear" w:color="auto" w:fill="CCEEC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967,070</w:t>
            </w:r>
          </w:p>
        </w:tc>
        <w:tc>
          <w:tcPr>
            <w:tcW w:w="80" w:type="dxa"/>
            <w:vAlign w:val="bottom"/>
          </w:tcPr>
          <w:p>
            <w:pPr>
              <w:spacing w:after="0"/>
              <w:rPr>
                <w:sz w:val="18"/>
                <w:szCs w:val="18"/>
                <w:color w:val="auto"/>
              </w:rPr>
            </w:pPr>
          </w:p>
        </w:tc>
      </w:tr>
      <w:tr>
        <w:trPr>
          <w:trHeight w:val="230"/>
        </w:trPr>
        <w:tc>
          <w:tcPr>
            <w:tcW w:w="4220" w:type="dxa"/>
            <w:vAlign w:val="bottom"/>
            <w:shd w:val="clear" w:color="auto" w:fill="CCEECC"/>
          </w:tcPr>
          <w:p>
            <w:pPr>
              <w:ind w:left="80"/>
              <w:spacing w:after="0"/>
              <w:rPr>
                <w:sz w:val="20"/>
                <w:szCs w:val="20"/>
                <w:color w:val="auto"/>
              </w:rPr>
            </w:pPr>
            <w:r>
              <w:rPr>
                <w:rFonts w:ascii="Arial" w:cs="Arial" w:eastAsia="Arial" w:hAnsi="Arial"/>
                <w:sz w:val="18"/>
                <w:szCs w:val="18"/>
                <w:color w:val="auto"/>
              </w:rPr>
              <w:t>Less Noncash Operating Expenses</w:t>
            </w:r>
          </w:p>
        </w:tc>
        <w:tc>
          <w:tcPr>
            <w:tcW w:w="18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(289,997)</w:t>
            </w:r>
          </w:p>
        </w:tc>
      </w:tr>
      <w:tr>
        <w:trPr>
          <w:trHeight w:val="210"/>
        </w:trPr>
        <w:tc>
          <w:tcPr>
            <w:tcW w:w="4220" w:type="dxa"/>
            <w:vAlign w:val="bottom"/>
            <w:tcBorders>
              <w:bottom w:val="single" w:sz="8" w:color="CCEECC"/>
            </w:tcBorders>
          </w:tcPr>
          <w:p>
            <w:pPr>
              <w:ind w:left="200"/>
              <w:spacing w:after="0"/>
              <w:rPr>
                <w:sz w:val="20"/>
                <w:szCs w:val="20"/>
                <w:color w:val="auto"/>
              </w:rPr>
            </w:pPr>
            <w:r>
              <w:rPr>
                <w:rFonts w:ascii="Arial" w:cs="Arial" w:eastAsia="Arial" w:hAnsi="Arial"/>
                <w:sz w:val="18"/>
                <w:szCs w:val="18"/>
                <w:color w:val="auto"/>
              </w:rPr>
              <w:t>Cash Operating Expenses</w:t>
            </w:r>
          </w:p>
        </w:tc>
        <w:tc>
          <w:tcPr>
            <w:tcW w:w="180" w:type="dxa"/>
            <w:vAlign w:val="bottom"/>
            <w:tcBorders>
              <w:bottom w:val="single" w:sz="8" w:color="CCEEC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677,073</w:t>
            </w:r>
          </w:p>
        </w:tc>
        <w:tc>
          <w:tcPr>
            <w:tcW w:w="80" w:type="dxa"/>
            <w:vAlign w:val="bottom"/>
            <w:tcBorders>
              <w:bottom w:val="single" w:sz="8" w:color="CCEECC"/>
            </w:tcBorders>
          </w:tcPr>
          <w:p>
            <w:pPr>
              <w:spacing w:after="0"/>
              <w:rPr>
                <w:sz w:val="18"/>
                <w:szCs w:val="18"/>
                <w:color w:val="auto"/>
              </w:rPr>
            </w:pPr>
          </w:p>
        </w:tc>
      </w:tr>
      <w:tr>
        <w:trPr>
          <w:trHeight w:val="223"/>
        </w:trPr>
        <w:tc>
          <w:tcPr>
            <w:tcW w:w="4220" w:type="dxa"/>
            <w:vAlign w:val="bottom"/>
            <w:tcBorders>
              <w:bottom w:val="single" w:sz="8" w:color="CCEECC"/>
            </w:tcBorders>
            <w:shd w:val="clear" w:color="auto" w:fill="CCEECC"/>
          </w:tcPr>
          <w:p>
            <w:pPr>
              <w:ind w:left="200"/>
              <w:spacing w:after="0"/>
              <w:rPr>
                <w:sz w:val="20"/>
                <w:szCs w:val="20"/>
                <w:color w:val="auto"/>
              </w:rPr>
            </w:pPr>
            <w:r>
              <w:rPr>
                <w:rFonts w:ascii="Arial" w:cs="Arial" w:eastAsia="Arial" w:hAnsi="Arial"/>
                <w:sz w:val="18"/>
                <w:szCs w:val="18"/>
                <w:color w:val="auto"/>
                <w:w w:val="93"/>
              </w:rPr>
              <w:t>Income from Operations excluding noncash expenses</w:t>
            </w:r>
          </w:p>
        </w:tc>
        <w:tc>
          <w:tcPr>
            <w:tcW w:w="18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237,093</w:t>
            </w:r>
          </w:p>
        </w:tc>
        <w:tc>
          <w:tcPr>
            <w:tcW w:w="80" w:type="dxa"/>
            <w:vAlign w:val="bottom"/>
            <w:tcBorders>
              <w:bottom w:val="single" w:sz="8" w:color="CCEECC"/>
            </w:tcBorders>
            <w:shd w:val="clear" w:color="auto" w:fill="CCEECC"/>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to continue to generate positive cash flow from operations in future quarters and to be profitable by the fourth quarter based primarily on the escalation of revenues.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sales and profitability during the six month period was significantly impacted because Allscripts had privacy and technical issues that affected their distribution of eCoupons and other programs during a significant period of time it took to fully resolve them. Allscripts has resolved their privacy issues. However, they have not fully resolved their technical issues resulting in only about half the volume potential being distributed in their eRx platform. Additionally, the roll out activation of SampleMD eCoupon automation within Allscripts PRO, versus requiring them to manually turn the e-Coupon on, has yet to be accelerated as they outlined. However, we have met with senior management and they have agreed to assign this a top priority for the remainder of 3Q and expects the rollout to achieve significant impact to both companies.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of acquiring, integrating and expanding into new promotional EHR/eRx platforms continues to grow as well. We have launched our initial brands into eHealthline on a limited basis and are anticipating system wide rollout in the third quarter. We are in the process of planning the initial rollout of brands into the LDM network and expect to have that substantially completed by the beginning of the fourth quarter.</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just launched our patient savings and support within Quest Care360 this week. Quest Diagnostics is the world’s leading provider of diagnostic information servicing approximately half of the physicians and hospitals in the U.S. and touches the lives of approximately 30% of American adults a year. We are in very productive discussions with other leading EHRs and are now directly training pharmaceutical account managers that partner with us to introduce the SampleMD solution to leading health systems.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Pharmaceutical Sales and Marketing Updates in first half of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sales team continues to expand opportunities within existing and new clients, including these highlights:</w:t>
      </w:r>
    </w:p>
    <w:p>
      <w:pPr>
        <w:spacing w:after="0" w:line="225" w:lineRule="exact"/>
        <w:rPr>
          <w:sz w:val="20"/>
          <w:szCs w:val="20"/>
          <w:color w:val="auto"/>
        </w:rPr>
      </w:pPr>
    </w:p>
    <w:p>
      <w:pPr>
        <w:ind w:left="700" w:hanging="36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Auxilium – 2 brands launched</w:t>
      </w:r>
    </w:p>
    <w:p>
      <w:pPr>
        <w:spacing w:after="0" w:line="23" w:lineRule="exact"/>
        <w:rPr>
          <w:rFonts w:ascii="Arial" w:cs="Arial" w:eastAsia="Arial" w:hAnsi="Arial"/>
          <w:sz w:val="18"/>
          <w:szCs w:val="18"/>
          <w:color w:val="auto"/>
        </w:rPr>
      </w:pPr>
    </w:p>
    <w:p>
      <w:pPr>
        <w:ind w:left="700" w:hanging="36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Actavis – added 3 new brands in to our ePrescribe network</w:t>
      </w:r>
    </w:p>
    <w:p>
      <w:pPr>
        <w:spacing w:after="0" w:line="9" w:lineRule="exact"/>
        <w:rPr>
          <w:rFonts w:ascii="Arial" w:cs="Arial" w:eastAsia="Arial" w:hAnsi="Arial"/>
          <w:sz w:val="18"/>
          <w:szCs w:val="18"/>
          <w:color w:val="auto"/>
        </w:rPr>
      </w:pPr>
    </w:p>
    <w:p>
      <w:pPr>
        <w:ind w:left="700" w:hanging="368"/>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AstraZeneca – expanded their brands into all of our channels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Pfizer – adding multiple new brands</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Bausch &amp; Lomb – launched first brand</w:t>
      </w:r>
    </w:p>
    <w:p>
      <w:pPr>
        <w:spacing w:after="0" w:line="9" w:lineRule="exact"/>
        <w:rPr>
          <w:rFonts w:ascii="Arial" w:cs="Arial" w:eastAsia="Arial" w:hAnsi="Arial"/>
          <w:sz w:val="18"/>
          <w:szCs w:val="18"/>
          <w:color w:val="auto"/>
        </w:rPr>
      </w:pPr>
    </w:p>
    <w:p>
      <w:pPr>
        <w:ind w:left="720" w:hanging="388"/>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Shire – launching first brand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are expanding our non e-Coupon services: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New Drug File Integration – signed on 4 new brands</w:t>
      </w:r>
    </w:p>
    <w:p>
      <w:pPr>
        <w:spacing w:after="0" w:line="23" w:lineRule="exact"/>
        <w:rPr>
          <w:rFonts w:ascii="Arial" w:cs="Arial" w:eastAsia="Arial" w:hAnsi="Arial"/>
          <w:sz w:val="18"/>
          <w:szCs w:val="18"/>
          <w:color w:val="auto"/>
        </w:rPr>
      </w:pPr>
    </w:p>
    <w:p>
      <w:pPr>
        <w:ind w:left="660" w:right="500" w:hanging="328"/>
        <w:spacing w:after="0" w:line="261"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ePrescribe Training – multiple opportunities pending to leverage our partnership with WPP/Grey to train representatives on understanding and leveraging EHR sales opportunities.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We are also continuing to ramp up our marketing efforts: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Multiple meetings generated through Pharma to bring on new Health Systems/ePrescribe Platforms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Speaking at Coupon and Co-Pay Off-set Strategies Conference</w:t>
      </w:r>
    </w:p>
    <w:p>
      <w:pPr>
        <w:spacing w:after="0" w:line="9" w:lineRule="exact"/>
        <w:rPr>
          <w:rFonts w:ascii="Arial" w:cs="Arial" w:eastAsia="Arial" w:hAnsi="Arial"/>
          <w:sz w:val="18"/>
          <w:szCs w:val="18"/>
          <w:color w:val="auto"/>
        </w:rPr>
      </w:pPr>
    </w:p>
    <w:p>
      <w:pPr>
        <w:ind w:left="660" w:hanging="328"/>
        <w:spacing w:after="0" w:line="185" w:lineRule="auto"/>
        <w:tabs>
          <w:tab w:leader="none" w:pos="660" w:val="left"/>
        </w:tabs>
        <w:numPr>
          <w:ilvl w:val="0"/>
          <w:numId w:val="4"/>
        </w:numPr>
        <w:rPr>
          <w:rFonts w:ascii="Arial" w:cs="Arial" w:eastAsia="Arial" w:hAnsi="Arial"/>
          <w:sz w:val="29"/>
          <w:szCs w:val="29"/>
          <w:color w:val="auto"/>
          <w:vertAlign w:val="superscript"/>
        </w:rPr>
      </w:pPr>
      <w:r>
        <w:rPr>
          <w:rFonts w:ascii="Arial" w:cs="Arial" w:eastAsia="Arial" w:hAnsi="Arial"/>
          <w:sz w:val="16"/>
          <w:szCs w:val="16"/>
          <w:color w:val="auto"/>
        </w:rPr>
        <w:t>Sponsoring 2</w:t>
      </w:r>
      <w:r>
        <w:rPr>
          <w:rFonts w:ascii="Arial" w:cs="Arial" w:eastAsia="Arial" w:hAnsi="Arial"/>
          <w:sz w:val="25"/>
          <w:szCs w:val="25"/>
          <w:color w:val="auto"/>
          <w:vertAlign w:val="superscript"/>
        </w:rPr>
        <w:t>nd</w:t>
      </w:r>
      <w:r>
        <w:rPr>
          <w:rFonts w:ascii="Arial" w:cs="Arial" w:eastAsia="Arial" w:hAnsi="Arial"/>
          <w:sz w:val="16"/>
          <w:szCs w:val="16"/>
          <w:color w:val="auto"/>
        </w:rPr>
        <w:t xml:space="preserve"> Annual ePrescribe/EHR Conference</w:t>
      </w:r>
    </w:p>
    <w:p>
      <w:pPr>
        <w:spacing w:after="0" w:line="1" w:lineRule="exact"/>
        <w:rPr>
          <w:rFonts w:ascii="Arial" w:cs="Arial" w:eastAsia="Arial" w:hAnsi="Arial"/>
          <w:sz w:val="29"/>
          <w:szCs w:val="29"/>
          <w:color w:val="auto"/>
          <w:vertAlign w:val="superscript"/>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 White Paper to demonstrate the eCoupon ROI to Pharmaceutical Manufacturers</w:t>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remain confident that our distributions will continue to increase substantially over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Updates in first half of 2014</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this growth, we have completed the development and migration of SampleMD 2.0’s on-demand, rule based content delivery platform. The system can now manage up to 1 million rules and return the appropriate content within under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also be launching downloadable code which will streamline the integration requirements for our solution from a few weeks to a few days if they choose to utilize this method. This addresses one of the biggest hurdles in getting health systems and EHRs to implement our system based on minimal available resources.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 We will also be migrating our platform to Oracle based software to support our anticipated growth requirements.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finished the first six months of the year with a loss of approximately $700,000. This was primarily related to two factors.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one-time settlement to LDM in the amount of $400,000, which resolved all patent issues and enables us to promote our eCoupons to their network of up to 100,000 healthcare providers, as well as receive additional revenue share through promotion of their sponsored patient education within OptimizeRx’s network.</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Non cash stock-based compensation paid to vendors, former executive and employees totaling approximately $655,000 during the period.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Key Events in first half of 2014</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2014 we also successfully completed a $10 million capital raise and exercised the option to redeem Vicis Capital Master Fund’s holdings in our company. By successfully executing these initiatives we reduced fully diluted shares by approximately 7 million and provided an additional $3 Million in working capital to support the company's growth and eliminated dividend payments and other provisions of Vicis preferred stock that were unfavorable to us.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extensive negotiations, OPTIMIZERx and LDM executed a settlement agreement and filed a stipulation to dismiss the litigation with prejudice on March 17, 2014, which the District Court entered on March 19, 2014. This resolves all patent issues and enables us to promote our eCoupons to their network of up to 100,000 healthcare providers, as well as receive additional revenue share through promotion of their sponsored patient education within our network.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reached a settlement in our lawsuit with Physicians Interactive whereby both parties released their claims. This will allow us to stop spending money on the lawsuit and focus on increasing our already dominant market position.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remains very excited about our core e-coupon business, and expects acceleration to continue with the launch of Quest Diagnostics, Allscripts PRO being auto turned on, the anticipated Next/Gen launch in November and our joint pursuit of leading health systems with our pharmaceutical partners. We expect our active network to nearly double by end of year.</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also pleased with our current discussions and recognized value from leading veterinary platform providers that are interested in partnering to deliver similar automated savings to animal owners—while allowing veterinarian’s to remain competitive in their pharmacy business. These discussions are leading to expanding ways we can offer savings directly to veterinarians—as well as to their pet owners outside of the vet clinics.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expect significant ramp up of revenue in the second half of the year as we fully roll out our new channels to expand our promotional reach.</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Six Months Ended June 30,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total revenue reported for the three months ended June 30, 2014 was approximately $1.45 million, an increase of 31% from the same period in 2013. Our total revenue reported for the six months ended June 30, 2014 was approximately $2.75 million, an increase of approximately 56% from the same period in 2013. These increased revenues result from increases in all major revenue categories including setup fees, reporting fees, and distributions and result from both increased pharmaceutical brands being promoted and expanded distribution channels. We expect continued quarter over quarter revenue increases in 2014.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Share Expense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revenue share expense increased in both the three and six month periods ended June 30, 2014, over the same periods in 2013 as a result of the revenue increases. The percentage increases from 2013 to 2014 were less than the percentage increases in revenue because the revenue share expense is primarily tied to distributions, and while distributions increased significantly, a greater percentage of our revenue in both 2014 periods came from set up, reporting and other fees not subject to revenue share. In both 2014 periods, the revenue share expense declined to approximately 37% from approximately 41% in both 2013 periods. We expect revenue share expense to move back towards the 40% level as distributions increase as the result of the launch of new distribution channels.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to approximately $2.4 million for the six month period ended June 30, 2014 from approximately $1.3 million for the same period in 2013 as set forth in the table below:</w:t>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80" w:type="dxa"/>
            <w:vAlign w:val="bottom"/>
            <w:gridSpan w:val="6"/>
          </w:tcPr>
          <w:p>
            <w:pPr>
              <w:ind w:left="280"/>
              <w:spacing w:after="0"/>
              <w:rPr>
                <w:sz w:val="20"/>
                <w:szCs w:val="20"/>
                <w:color w:val="auto"/>
              </w:rPr>
            </w:pPr>
            <w:r>
              <w:rPr>
                <w:rFonts w:ascii="Arial" w:cs="Arial" w:eastAsia="Arial" w:hAnsi="Arial"/>
                <w:sz w:val="18"/>
                <w:szCs w:val="18"/>
                <w:color w:val="auto"/>
              </w:rPr>
              <w:t>Six months ended June 30</w:t>
            </w:r>
          </w:p>
        </w:tc>
      </w:tr>
      <w:tr>
        <w:trPr>
          <w:trHeight w:val="230"/>
        </w:trPr>
        <w:tc>
          <w:tcPr>
            <w:tcW w:w="3020" w:type="dxa"/>
            <w:vAlign w:val="bottom"/>
            <w:tcBorders>
              <w:bottom w:val="single" w:sz="8" w:color="CCEECC"/>
            </w:tcBorders>
          </w:tcPr>
          <w:p>
            <w:pPr>
              <w:spacing w:after="0"/>
              <w:rPr>
                <w:sz w:val="20"/>
                <w:szCs w:val="20"/>
                <w:color w:val="auto"/>
              </w:rPr>
            </w:pPr>
          </w:p>
        </w:tc>
        <w:tc>
          <w:tcPr>
            <w:tcW w:w="700" w:type="dxa"/>
            <w:vAlign w:val="bottom"/>
            <w:tcBorders>
              <w:bottom w:val="single" w:sz="8" w:color="CCEECC"/>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Salaries, wages, &amp; Benefits</w:t>
            </w:r>
          </w:p>
        </w:tc>
        <w:tc>
          <w:tcPr>
            <w:tcW w:w="700" w:type="dxa"/>
            <w:vAlign w:val="bottom"/>
            <w:shd w:val="clear" w:color="auto" w:fill="CCEECC"/>
          </w:tcPr>
          <w:p>
            <w:pPr>
              <w:spacing w:after="0"/>
              <w:rPr>
                <w:sz w:val="18"/>
                <w:szCs w:val="18"/>
                <w:color w:val="auto"/>
              </w:rPr>
            </w:pPr>
          </w:p>
        </w:tc>
        <w:tc>
          <w:tcPr>
            <w:tcW w:w="340" w:type="dxa"/>
            <w:vAlign w:val="bottom"/>
            <w:shd w:val="clear" w:color="auto" w:fill="CCEEC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723,349</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676,362</w:t>
            </w:r>
          </w:p>
        </w:tc>
      </w:tr>
      <w:tr>
        <w:trPr>
          <w:trHeight w:val="216"/>
        </w:trPr>
        <w:tc>
          <w:tcPr>
            <w:tcW w:w="30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180,020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102,878</w:t>
            </w:r>
          </w:p>
        </w:tc>
      </w:tr>
      <w:tr>
        <w:trPr>
          <w:trHeight w:val="216"/>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Investor Relations</w:t>
            </w:r>
          </w:p>
        </w:tc>
        <w:tc>
          <w:tcPr>
            <w:tcW w:w="7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52,745</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1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29,411</w:t>
            </w:r>
          </w:p>
        </w:tc>
        <w:tc>
          <w:tcPr>
            <w:tcW w:w="60" w:type="dxa"/>
            <w:vAlign w:val="bottom"/>
            <w:shd w:val="clear" w:color="auto" w:fill="CCEECC"/>
          </w:tcPr>
          <w:p>
            <w:pPr>
              <w:spacing w:after="0"/>
              <w:rPr>
                <w:sz w:val="18"/>
                <w:szCs w:val="18"/>
                <w:color w:val="auto"/>
              </w:rPr>
            </w:pPr>
          </w:p>
        </w:tc>
      </w:tr>
      <w:tr>
        <w:trPr>
          <w:trHeight w:val="216"/>
        </w:trPr>
        <w:tc>
          <w:tcPr>
            <w:tcW w:w="3020" w:type="dxa"/>
            <w:vAlign w:val="bottom"/>
          </w:tcPr>
          <w:p>
            <w:pPr>
              <w:ind w:left="80"/>
              <w:spacing w:after="0"/>
              <w:rPr>
                <w:sz w:val="20"/>
                <w:szCs w:val="20"/>
                <w:color w:val="auto"/>
              </w:rPr>
            </w:pPr>
            <w:r>
              <w:rPr>
                <w:rFonts w:ascii="Arial" w:cs="Arial" w:eastAsia="Arial" w:hAnsi="Arial"/>
                <w:sz w:val="18"/>
                <w:szCs w:val="18"/>
                <w:color w:val="auto"/>
              </w:rPr>
              <w:t>Consultants</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32,719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40,129</w:t>
            </w:r>
          </w:p>
        </w:tc>
      </w:tr>
      <w:tr>
        <w:trPr>
          <w:trHeight w:val="216"/>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 and Promotion</w:t>
            </w:r>
          </w:p>
        </w:tc>
        <w:tc>
          <w:tcPr>
            <w:tcW w:w="7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75,551</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7,165</w:t>
            </w:r>
          </w:p>
        </w:tc>
      </w:tr>
      <w:tr>
        <w:trPr>
          <w:trHeight w:val="216"/>
        </w:trPr>
        <w:tc>
          <w:tcPr>
            <w:tcW w:w="30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115,828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96,337</w:t>
            </w:r>
          </w:p>
        </w:tc>
      </w:tr>
      <w:tr>
        <w:trPr>
          <w:trHeight w:val="216"/>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Development and Maintenance</w:t>
            </w:r>
          </w:p>
        </w:tc>
        <w:tc>
          <w:tcPr>
            <w:tcW w:w="7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61,534</w:t>
            </w: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176,600</w:t>
            </w:r>
          </w:p>
        </w:tc>
      </w:tr>
      <w:tr>
        <w:trPr>
          <w:trHeight w:val="216"/>
        </w:trPr>
        <w:tc>
          <w:tcPr>
            <w:tcW w:w="3020" w:type="dxa"/>
            <w:vAlign w:val="bottom"/>
          </w:tcPr>
          <w:p>
            <w:pPr>
              <w:ind w:left="80"/>
              <w:spacing w:after="0"/>
              <w:rPr>
                <w:sz w:val="20"/>
                <w:szCs w:val="20"/>
                <w:color w:val="auto"/>
              </w:rPr>
            </w:pPr>
            <w:r>
              <w:rPr>
                <w:rFonts w:ascii="Arial" w:cs="Arial" w:eastAsia="Arial" w:hAnsi="Arial"/>
                <w:sz w:val="18"/>
                <w:szCs w:val="18"/>
                <w:color w:val="auto"/>
              </w:rPr>
              <w:t>Office, Facility, and other</w:t>
            </w: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72,912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65,878</w:t>
            </w:r>
          </w:p>
        </w:tc>
      </w:tr>
      <w:tr>
        <w:trPr>
          <w:trHeight w:val="230"/>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Travel</w:t>
            </w:r>
          </w:p>
        </w:tc>
        <w:tc>
          <w:tcPr>
            <w:tcW w:w="700" w:type="dxa"/>
            <w:vAlign w:val="bottom"/>
            <w:shd w:val="clear" w:color="auto" w:fill="CCEECC"/>
          </w:tcPr>
          <w:p>
            <w:pPr>
              <w:spacing w:after="0"/>
              <w:rPr>
                <w:sz w:val="19"/>
                <w:szCs w:val="19"/>
                <w:color w:val="auto"/>
              </w:rPr>
            </w:pPr>
          </w:p>
        </w:tc>
        <w:tc>
          <w:tcPr>
            <w:tcW w:w="340" w:type="dxa"/>
            <w:vAlign w:val="bottom"/>
            <w:shd w:val="clear" w:color="auto" w:fill="CCEECC"/>
          </w:tcPr>
          <w:p>
            <w:pPr>
              <w:spacing w:after="0"/>
              <w:rPr>
                <w:sz w:val="19"/>
                <w:szCs w:val="19"/>
                <w:color w:val="auto"/>
              </w:rPr>
            </w:pPr>
          </w:p>
        </w:tc>
        <w:tc>
          <w:tcPr>
            <w:tcW w:w="11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69,737</w:t>
            </w:r>
          </w:p>
        </w:tc>
        <w:tc>
          <w:tcPr>
            <w:tcW w:w="80" w:type="dxa"/>
            <w:vAlign w:val="bottom"/>
            <w:shd w:val="clear" w:color="auto" w:fill="CCEECC"/>
          </w:tcPr>
          <w:p>
            <w:pPr>
              <w:spacing w:after="0"/>
              <w:rPr>
                <w:sz w:val="19"/>
                <w:szCs w:val="19"/>
                <w:color w:val="auto"/>
              </w:rPr>
            </w:pPr>
          </w:p>
        </w:tc>
        <w:tc>
          <w:tcPr>
            <w:tcW w:w="320" w:type="dxa"/>
            <w:vAlign w:val="bottom"/>
            <w:shd w:val="clear" w:color="auto" w:fill="CCEECC"/>
          </w:tcPr>
          <w:p>
            <w:pPr>
              <w:spacing w:after="0"/>
              <w:rPr>
                <w:sz w:val="19"/>
                <w:szCs w:val="19"/>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53,075</w:t>
            </w:r>
          </w:p>
        </w:tc>
      </w:tr>
      <w:tr>
        <w:trPr>
          <w:trHeight w:val="210"/>
        </w:trPr>
        <w:tc>
          <w:tcPr>
            <w:tcW w:w="30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7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1,384,395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1,247,835</w:t>
            </w:r>
          </w:p>
        </w:tc>
        <w:tc>
          <w:tcPr>
            <w:tcW w:w="60" w:type="dxa"/>
            <w:vAlign w:val="bottom"/>
          </w:tcPr>
          <w:p>
            <w:pPr>
              <w:spacing w:after="0"/>
              <w:rPr>
                <w:sz w:val="18"/>
                <w:szCs w:val="18"/>
                <w:color w:val="auto"/>
              </w:rPr>
            </w:pPr>
          </w:p>
        </w:tc>
      </w:tr>
      <w:tr>
        <w:trPr>
          <w:trHeight w:val="216"/>
        </w:trPr>
        <w:tc>
          <w:tcPr>
            <w:tcW w:w="30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700" w:type="dxa"/>
            <w:vAlign w:val="bottom"/>
            <w:shd w:val="clear" w:color="auto" w:fill="CCEECC"/>
          </w:tcPr>
          <w:p>
            <w:pPr>
              <w:spacing w:after="0"/>
              <w:rPr>
                <w:sz w:val="18"/>
                <w:szCs w:val="18"/>
                <w:color w:val="auto"/>
              </w:rPr>
            </w:pPr>
          </w:p>
        </w:tc>
        <w:tc>
          <w:tcPr>
            <w:tcW w:w="340" w:type="dxa"/>
            <w:vAlign w:val="bottom"/>
            <w:shd w:val="clear" w:color="auto" w:fill="CCEECC"/>
          </w:tcPr>
          <w:p>
            <w:pPr>
              <w:spacing w:after="0"/>
              <w:rPr>
                <w:sz w:val="18"/>
                <w:szCs w:val="18"/>
                <w:color w:val="auto"/>
              </w:rPr>
            </w:pPr>
          </w:p>
        </w:tc>
        <w:tc>
          <w:tcPr>
            <w:tcW w:w="11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654,633</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20" w:type="dxa"/>
            <w:vAlign w:val="bottom"/>
            <w:shd w:val="clear" w:color="auto" w:fill="CCEECC"/>
          </w:tcPr>
          <w:p>
            <w:pPr>
              <w:spacing w:after="0"/>
              <w:rPr>
                <w:sz w:val="18"/>
                <w:szCs w:val="18"/>
                <w:color w:val="auto"/>
              </w:rPr>
            </w:pPr>
          </w:p>
        </w:tc>
        <w:tc>
          <w:tcPr>
            <w:tcW w:w="1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38,900</w:t>
            </w:r>
          </w:p>
        </w:tc>
      </w:tr>
      <w:tr>
        <w:trPr>
          <w:trHeight w:val="230"/>
        </w:trPr>
        <w:tc>
          <w:tcPr>
            <w:tcW w:w="3020" w:type="dxa"/>
            <w:vAlign w:val="bottom"/>
          </w:tcPr>
          <w:p>
            <w:pPr>
              <w:ind w:left="80"/>
              <w:spacing w:after="0"/>
              <w:rPr>
                <w:sz w:val="20"/>
                <w:szCs w:val="20"/>
                <w:color w:val="auto"/>
              </w:rPr>
            </w:pPr>
            <w:r>
              <w:rPr>
                <w:rFonts w:ascii="Arial" w:cs="Arial" w:eastAsia="Arial" w:hAnsi="Arial"/>
                <w:sz w:val="18"/>
                <w:szCs w:val="18"/>
                <w:color w:val="auto"/>
              </w:rPr>
              <w:t>Lawsuit settlement</w:t>
            </w: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23"/>
        </w:trPr>
        <w:tc>
          <w:tcPr>
            <w:tcW w:w="3020" w:type="dxa"/>
            <w:vAlign w:val="bottom"/>
            <w:tcBorders>
              <w:top w:val="single" w:sz="8" w:color="CCEECC"/>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Operating Expense</w:t>
            </w:r>
          </w:p>
        </w:tc>
        <w:tc>
          <w:tcPr>
            <w:tcW w:w="700" w:type="dxa"/>
            <w:vAlign w:val="bottom"/>
            <w:tcBorders>
              <w:top w:val="single" w:sz="8" w:color="CCEECC"/>
              <w:bottom w:val="single" w:sz="8" w:color="CCEECC"/>
            </w:tcBorders>
            <w:shd w:val="clear" w:color="auto" w:fill="CCEECC"/>
          </w:tcPr>
          <w:p>
            <w:pPr>
              <w:spacing w:after="0"/>
              <w:rPr>
                <w:sz w:val="19"/>
                <w:szCs w:val="19"/>
                <w:color w:val="auto"/>
              </w:rPr>
            </w:pPr>
          </w:p>
        </w:tc>
        <w:tc>
          <w:tcPr>
            <w:tcW w:w="340" w:type="dxa"/>
            <w:vAlign w:val="bottom"/>
            <w:tcBorders>
              <w:top w:val="single" w:sz="8" w:color="auto"/>
              <w:bottom w:val="single" w:sz="8" w:color="auto"/>
            </w:tcBorders>
            <w:shd w:val="clear" w:color="auto" w:fill="CCEECC"/>
          </w:tcPr>
          <w:p>
            <w:pPr>
              <w:jc w:val="right"/>
              <w:ind w:right="18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2,439,028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320" w:type="dxa"/>
            <w:vAlign w:val="bottom"/>
            <w:tcBorders>
              <w:top w:val="single" w:sz="8" w:color="auto"/>
              <w:bottom w:val="single" w:sz="8" w:color="auto"/>
            </w:tcBorders>
            <w:shd w:val="clear" w:color="auto" w:fill="CCEECC"/>
          </w:tcPr>
          <w:p>
            <w:pPr>
              <w:jc w:val="right"/>
              <w:ind w:right="1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1,286,735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3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main reasons for the increase in operating expenses in 2014 are the lawsuit settlement discussed in greater detail in Note 4 to the financial statements and stock-based compensation. Ignoring those two items, operating expenses only increased approximately 11% compared with a revenue increase of approximately 55%. The lawsuit settlement is a one-time expense that is not expected to recur. Stock based compensation expense increased significantly as a result of stock issued under a separation agreement with the previous CEO, stock grants to two executive officers, and option grants to new and existing employees. Stock compensation expense will remain significant in the third quarter of 2014 as approximately $285,000 of stock grants vest in that quarter, but should be significantly reduced in the fourth quarter.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expect our operating expenses to continue to increase as we further implement our business plan and expand our operations, however, we do not expect those increases to be significant in the near future. Professional fees are significantly affected by litigation. We have settled one lawsuit and if we are able to favorably resolve our remaining two pieces of litigation, professional fee should decrease.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net loss for the six months ended June 30, 2014 was approximately $700,000 as compared to a loss of approximately $250,000 during the same period in 2013. The reasons for specific components are discussed above. Overall, the increase in revenue and resulting gross margin was offset by increased operating expenses, however the majority of those increases were in non-recurring or non-cash items. The lawsuit settlement accounted for $400,000 of the increased loss. Without that, the loss would have been reduced to $300,000. In addition, the 2014 loss included noncash items of approximately $650,000 related to stock based compensation and $115,000 of depreciation and amortization. Ignoring working capital changes, we had positive cash flow from operations of approximately $450,000 during the six months ended June 30, 2014. In the six month period ended June 30, 2013, the loss of approximately $250,000 included non-cash expenses of only approximately $40,000 in stock-based compensation and $100,000 in depreciation and amortization, resulting in negative cash flow from operations (ignoring working capital items) of slightly over $100,000 in 2013.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2014, we had total current assets of approximately $4.9 million, compared with current liabilities of approximately $1.5 million, resulting in working capital of approximately $3.4 million and a current ratio of approximately $3.25 to 1. This is a significant improvement over the working capital balance of approximately $700,000 and current ratio of 1.35 to 1 at December 31, 2013. We are currently generating positive cash flow from operations and expect our working capital balance to continue to improve in future quarters.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operating activities used approximately $150,000 in the six months ended June 30, 2014, however this was significantly impacted by working capital items, primarily a reduction in the revenue share payable of almost $700,000 to bring it down to more normal operating levels. Without this, we would have had positive cash flow from operations and we expect positive cash flow from operations in future quarters in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We used approximately $200,000 in investing activities in the six months ended June 30, 2014 compared with only about $40,000 in the same period in 2013.</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investment activities relate to improvements being implemented in our SampleMD website, as well as protection and expansion of our patent portfolio.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items both represent important components of our business strategy moving forward.</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Financing activities provided approximately $2.8 million during the six months ended June 30, 2014. This results from a $10 million equity raise in March,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There were no cash flows from financing activities in the same period in 2013.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carried out an evaluation of the effectiveness of the design and operation of our disclosure controls and procedures (as defined in Exchange Act Rules 13a-15(e) and 15d-15(e)) as of March 31, 2014. This evaluation was carried out under the supervision and with the participation of our Chief Executive Officer and our Chief Financial Officer. Based upon that evaluation, our Chief Executive Officer and Chief Financial Officer concluded that, as of June 30, 2014, our disclosure controls and procedures are not effective due to the presence of material weaknesses in internal control over financial reporting.</w:t>
      </w:r>
    </w:p>
    <w:p>
      <w:pPr>
        <w:spacing w:after="0" w:line="1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June 30, 2014, our disclosure controls and procedures were not effective: (i) inadequate segregation of duties and effective risk assessment; and (ii) insufficient written policies and procedures for accounting and financial reporting with respect to the requirements and application of both US GAAP and SEC guidelines.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company is in the process of taking steps to enhance and improve the design of our internal controls over financial reporting. During the period covered by this quarterly report on Form 10-Q, we have started to, but not yet completely remediated the material weaknesses identified above. To remediate such weaknesses, we plan to implement the following changes during our fiscal year ending December 31, 2014: (i) appoint additional qualified personnel to address inadequate segregation of duties and ineffective risk management; and (ii) adopt sufficient written policies and procedures for accounting and financial reporting.</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12, 2014, we appointed a Chief Financial Officer with 23 years of public company experience. We are in the process of developing policies and procedures and reducing existing policies to writing. We expect to have this condition remediated by December 31, 2014.</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6" w:name="page17"/>
    <w:bookmarkEnd w:id="16"/>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November 2013, Plaintiffs in the action </w:t>
      </w:r>
      <w:r>
        <w:rPr>
          <w:rFonts w:ascii="Arial" w:cs="Arial" w:eastAsia="Arial" w:hAnsi="Arial"/>
          <w:sz w:val="17"/>
          <w:szCs w:val="17"/>
          <w:u w:val="single" w:color="auto"/>
          <w:color w:val="auto"/>
        </w:rPr>
        <w:t>Milton Wilpon et al. v. Continental Capital Corporation</w:t>
      </w:r>
      <w:r>
        <w:rPr>
          <w:rFonts w:ascii="Arial" w:cs="Arial" w:eastAsia="Arial" w:hAnsi="Arial"/>
          <w:sz w:val="17"/>
          <w:szCs w:val="17"/>
          <w:color w:val="auto"/>
        </w:rPr>
        <w:t>, C-289-06, Superior Court of New Jersey (the “Action”) served the Company with notice that they were seeking to amend the caption of the Action to add the Company as a judgment debtor on a default judgment obtained by Plaintiffs. In 2007 Plaintiffs obtained a default judgment in the amount of $929,559 against Continental Capital Corporation (“Continental”) in the Action (the “Default Judgment”). The Court denied Plaintiffs’ request to amend the caption to add the Company as a defendant liable on the Default Judgment and directed Plaintiffs to file a motion for leave to amend the Complaint to add the Company as a party to the Action, which motion Plaintiffs filed and the Court granted. On March 15, 2014, Plaintiffs served a Second Amended Complaint alleging that the Company is Continental’s successor in interest and is therefore liable on the Default Judgment. On April 14, 2014, the Company filed an Answer with Counterclaims and Third-Party Claims (the “Answer”). The Answer (1) denied the allegations in the Second Amended Complaint on the ground that the Default Judgment is infirm in numerous respects, including because it is tainted by fraud and is an abuse of the legal process, and should therefore be vacated and (2) asserted counterclaims and third-party claims against other parties responsible for the obligations related to the Default Judgment.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or about May 16, 2014, Plaintiffs filed a motion to dismiss of the Company’s Answer and to enter final judgment against the Company in an amount equal to the Default Judgment. On June 5, 2014, the Company filed opposition to Plaintiffs’ motion and filed a cross-motion to vacate the Default Judgment. The Company moved to vacate the Default Judgment on several grounds including that the initial complaint was not properly served, that Plaintiffs obtained the Default Judgment by making material misrepresentations to the Court about the sufficiency of service among other issues and that Plaintiffs entirely failed initially to file their claims in an arbitration with the American Arbitration Association, as required by the agreement upon which Plaintiffs based their claims. The Court has scheduled oral argument on Plaintiffs’ motion and on the Company’s cross-motion for August 21, 2014.</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February 6, 2013, we filed a Complaint for Patent Infringement against Physicians Interactive Inc., Physicians Interactive Holdings, Inc. and Skyscape.com, in which we allege that one or more of those entities has infringed on United States Patent No. 8,341,015. The defendants responded denying the assertions made in our Complaint. On August 7, 2014, the parties signed a settlement agreement whereby both parties dismissed their actions and released each other form claims that were, or might have been, asserted in the action. This settlement will reduce legal expense moving forward.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On May 1, 2014, we formally issued 337,500 previously approved shares as bonuses to two officers of the Company. Also on May 1, we formally issued 200,000 previously approved shares to three officers, and150,000 shares to a consultant in connection with the equity raise completed in the first quarter of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June, 13, 2014, we issued 44,000 shares to the Company’s former investor relations firm in connection with their investor relations services.</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340" w:type="dxa"/>
            <w:vAlign w:val="bottom"/>
            <w:gridSpan w:val="2"/>
          </w:tcPr>
          <w:p>
            <w:pPr>
              <w:spacing w:after="0"/>
              <w:rPr>
                <w:sz w:val="17"/>
                <w:szCs w:val="17"/>
                <w:color w:val="auto"/>
              </w:rPr>
            </w:pPr>
          </w:p>
        </w:tc>
        <w:tc>
          <w:tcPr>
            <w:tcW w:w="10300" w:type="dxa"/>
            <w:vAlign w:val="bottom"/>
            <w:gridSpan w:val="4"/>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196"/>
        </w:trPr>
        <w:tc>
          <w:tcPr>
            <w:tcW w:w="92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980" w:type="dxa"/>
            <w:vAlign w:val="bottom"/>
          </w:tcPr>
          <w:p>
            <w:pPr>
              <w:spacing w:after="0"/>
              <w:rPr>
                <w:sz w:val="17"/>
                <w:szCs w:val="17"/>
                <w:color w:val="auto"/>
              </w:rPr>
            </w:pPr>
          </w:p>
        </w:tc>
      </w:tr>
      <w:tr>
        <w:trPr>
          <w:trHeight w:val="196"/>
        </w:trPr>
        <w:tc>
          <w:tcPr>
            <w:tcW w:w="5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31.1</w:t>
            </w:r>
          </w:p>
        </w:tc>
        <w:tc>
          <w:tcPr>
            <w:tcW w:w="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3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Executive Officer pursuant to 18 U.S.C. Section 1350, as adopted pursuant to Section 302 of the Sarbanes-Oxley Act of</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98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2"/>
              </w:rPr>
              <w:t>Certification of Chief Financial Officer pursuant to 18 U.S.C. Section 1350, as adopted pursuant to Section 302 of the Sarbanes-Oxley Act of</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4"/>
              </w:rPr>
              <w:t>2002</w:t>
            </w:r>
          </w:p>
        </w:tc>
        <w:tc>
          <w:tcPr>
            <w:tcW w:w="13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980" w:type="dxa"/>
            <w:vAlign w:val="bottom"/>
          </w:tcPr>
          <w:p>
            <w:pPr>
              <w:spacing w:after="0"/>
              <w:rPr>
                <w:sz w:val="17"/>
                <w:szCs w:val="17"/>
                <w:color w:val="auto"/>
              </w:rPr>
            </w:pPr>
          </w:p>
        </w:tc>
      </w:tr>
      <w:tr>
        <w:trPr>
          <w:trHeight w:val="196"/>
        </w:trPr>
        <w:tc>
          <w:tcPr>
            <w:tcW w:w="58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0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Certification of Chief Executive Officer and Chief Financial Officer pursuant to 18 U.S.C. Section 1350, as adopted pursuant to Section 906 of</w:t>
            </w:r>
          </w:p>
        </w:tc>
      </w:tr>
      <w:tr>
        <w:trPr>
          <w:trHeight w:val="196"/>
        </w:trPr>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300" w:type="dxa"/>
            <w:vAlign w:val="bottom"/>
            <w:gridSpan w:val="4"/>
          </w:tcPr>
          <w:p>
            <w:pPr>
              <w:spacing w:after="0" w:line="196" w:lineRule="exact"/>
              <w:rPr>
                <w:sz w:val="20"/>
                <w:szCs w:val="20"/>
                <w:color w:val="auto"/>
              </w:rPr>
            </w:pPr>
            <w:r>
              <w:rPr>
                <w:rFonts w:ascii="Arial" w:cs="Arial" w:eastAsia="Arial" w:hAnsi="Arial"/>
                <w:sz w:val="18"/>
                <w:szCs w:val="18"/>
                <w:color w:val="0000EE"/>
              </w:rPr>
              <w:t>the Sarbanes-Oxley Act of 2002</w:t>
            </w: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gridSpan w:val="3"/>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101**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300" w:type="dxa"/>
            <w:vAlign w:val="bottom"/>
            <w:gridSpan w:val="4"/>
          </w:tcPr>
          <w:p>
            <w:pPr>
              <w:spacing w:after="0"/>
              <w:rPr>
                <w:sz w:val="20"/>
                <w:szCs w:val="20"/>
                <w:color w:val="auto"/>
              </w:rPr>
            </w:pPr>
            <w:r>
              <w:rPr>
                <w:rFonts w:ascii="Arial" w:cs="Arial" w:eastAsia="Arial" w:hAnsi="Arial"/>
                <w:sz w:val="18"/>
                <w:szCs w:val="18"/>
                <w:color w:val="auto"/>
                <w:w w:val="94"/>
              </w:rPr>
              <w:t>The following materials from the Company’s Quarterly Report on Form 10-Q for the quarter ended June 30, 2014 formatted in Extensible</w:t>
            </w:r>
          </w:p>
        </w:tc>
      </w:tr>
    </w:tbl>
    <w:p>
      <w:pPr>
        <w:sectPr>
          <w:pgSz w:w="11900" w:h="16870" w:orient="portrait"/>
          <w:cols w:equalWidth="0" w:num="1">
            <w:col w:w="11420"/>
          </w:cols>
          <w:pgMar w:left="240" w:top="233" w:right="239" w:bottom="0" w:gutter="0" w:footer="0" w:header="0"/>
        </w:sectPr>
      </w:pPr>
    </w:p>
    <w:bookmarkStart w:id="17" w:name="page18"/>
    <w:bookmarkEnd w:id="17"/>
    <w:p>
      <w:pPr>
        <w:ind w:left="1020"/>
        <w:spacing w:after="0"/>
        <w:rPr>
          <w:sz w:val="20"/>
          <w:szCs w:val="20"/>
          <w:color w:val="auto"/>
        </w:rPr>
      </w:pPr>
      <w:r>
        <w:rPr>
          <w:rFonts w:ascii="Arial" w:cs="Arial" w:eastAsia="Arial" w:hAnsi="Arial"/>
          <w:sz w:val="18"/>
          <w:szCs w:val="18"/>
          <w:color w:val="auto"/>
        </w:rPr>
        <w:t>Business Reporting Language (XBRL).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**Provided herewith</w:t>
      </w:r>
    </w:p>
    <w:p>
      <w:pPr>
        <w:spacing w:after="0" w:line="23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14, 2014</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David Harrell</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David Harrell</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 Principal Executive Officer, and Director</w:t>
      </w:r>
    </w:p>
    <w:p>
      <w:pPr>
        <w:spacing w:after="0" w:line="207" w:lineRule="exact"/>
        <w:rPr>
          <w:sz w:val="20"/>
          <w:szCs w:val="20"/>
          <w:color w:val="auto"/>
        </w:rPr>
      </w:pPr>
    </w:p>
    <w:p>
      <w:pPr>
        <w:ind w:left="820"/>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14, 2014</w:t>
      </w:r>
    </w:p>
    <w:p>
      <w:pPr>
        <w:spacing w:after="0" w:line="225"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Douglas P. Baker</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Douglas P. Baker</w:t>
      </w:r>
    </w:p>
    <w:p>
      <w:pPr>
        <w:spacing w:after="0" w:line="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233" w:right="259" w:bottom="1440" w:gutter="0" w:footer="0" w:header="0"/>
        </w:sectPr>
      </w:pPr>
    </w:p>
    <w:bookmarkStart w:id="19" w:name="page20"/>
    <w:bookmarkEnd w:id="1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380" w:hanging="372"/>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00"/>
          </w:cols>
          <w:pgMar w:left="240" w:top="121"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2014 of OptimizeRx Corp (the “registrant”);</w:t>
      </w:r>
    </w:p>
    <w:p>
      <w:pPr>
        <w:spacing w:after="0" w:line="225" w:lineRule="exact"/>
        <w:rPr>
          <w:rFonts w:ascii="Arial" w:cs="Arial" w:eastAsia="Arial" w:hAnsi="Arial"/>
          <w:sz w:val="18"/>
          <w:szCs w:val="18"/>
          <w:color w:val="auto"/>
        </w:rPr>
      </w:pPr>
    </w:p>
    <w:p>
      <w:pPr>
        <w:ind w:left="380" w:right="60" w:hanging="372"/>
        <w:spacing w:after="0" w:line="342"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80" w:right="520" w:hanging="372"/>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80" w:hanging="372"/>
        <w:spacing w:after="0" w:line="264"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000" w:right="180" w:hanging="482"/>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000" w:right="500" w:hanging="492"/>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000" w:right="660" w:hanging="482"/>
        <w:spacing w:after="0" w:line="342" w:lineRule="auto"/>
        <w:tabs>
          <w:tab w:leader="none" w:pos="100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000" w:right="180" w:hanging="492"/>
        <w:spacing w:after="0" w:line="264"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80" w:right="440" w:hanging="372"/>
        <w:spacing w:after="0" w:line="308" w:lineRule="auto"/>
        <w:tabs>
          <w:tab w:leader="none" w:pos="3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000" w:right="80" w:hanging="482"/>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00" w:right="40" w:hanging="492"/>
        <w:spacing w:after="0" w:line="277" w:lineRule="auto"/>
        <w:tabs>
          <w:tab w:leader="none" w:pos="10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14,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June 30, 2014 filed with the Securities and Exchange Commission (the “Report”), I, David Harrell,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David Harrell</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Name:David Harrell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Executive Officer, and Director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14, 2014</w:t>
      </w:r>
    </w:p>
    <w:p>
      <w:pPr>
        <w:spacing w:after="0" w:line="211" w:lineRule="exact"/>
        <w:rPr>
          <w:sz w:val="20"/>
          <w:szCs w:val="20"/>
          <w:color w:val="auto"/>
        </w:rPr>
      </w:pPr>
    </w:p>
    <w:p>
      <w:pPr>
        <w:ind w:left="6860"/>
        <w:spacing w:after="0"/>
        <w:tabs>
          <w:tab w:leader="none" w:pos="73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Douglas Baker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Name:Douglas Baker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Principal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14,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2019-12-07T19:25:25Z</dcterms:created>
  <dcterms:modified xsi:type="dcterms:W3CDTF">2019-12-07T19:25:25Z</dcterms:modified>
</cp:coreProperties>
</file>