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9"/>
              </w:rPr>
              <w:t>CURRENT REPORT</w:t>
            </w:r>
          </w:p>
        </w:tc>
        <w:tc>
          <w:tcPr>
            <w:tcW w:w="3600" w:type="dxa"/>
            <w:vAlign w:val="bottom"/>
          </w:tcPr>
          <w:p>
            <w:pPr>
              <w:spacing w:after="0"/>
              <w:rPr>
                <w:sz w:val="20"/>
                <w:szCs w:val="20"/>
                <w:color w:val="auto"/>
              </w:rPr>
            </w:pPr>
          </w:p>
        </w:tc>
      </w:tr>
      <w:tr>
        <w:trPr>
          <w:trHeight w:val="414"/>
        </w:trPr>
        <w:tc>
          <w:tcPr>
            <w:tcW w:w="2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Pursuant to Section 13 or 15(d) of</w:t>
            </w:r>
          </w:p>
        </w:tc>
        <w:tc>
          <w:tcPr>
            <w:tcW w:w="3600" w:type="dxa"/>
            <w:vAlign w:val="bottom"/>
          </w:tcPr>
          <w:p>
            <w:pPr>
              <w:spacing w:after="0"/>
              <w:rPr>
                <w:sz w:val="24"/>
                <w:szCs w:val="24"/>
                <w:color w:val="auto"/>
              </w:rPr>
            </w:pPr>
          </w:p>
        </w:tc>
      </w:tr>
      <w:tr>
        <w:trPr>
          <w:trHeight w:val="234"/>
        </w:trPr>
        <w:tc>
          <w:tcPr>
            <w:tcW w:w="2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the Securities Exchange Act of 1934</w:t>
            </w:r>
          </w:p>
        </w:tc>
        <w:tc>
          <w:tcPr>
            <w:tcW w:w="3600" w:type="dxa"/>
            <w:vAlign w:val="bottom"/>
          </w:tcPr>
          <w:p>
            <w:pPr>
              <w:spacing w:after="0"/>
              <w:rPr>
                <w:sz w:val="20"/>
                <w:szCs w:val="20"/>
                <w:color w:val="auto"/>
              </w:rPr>
            </w:pPr>
          </w:p>
        </w:tc>
      </w:tr>
      <w:tr>
        <w:trPr>
          <w:trHeight w:val="432"/>
        </w:trPr>
        <w:tc>
          <w:tcPr>
            <w:tcW w:w="2880" w:type="dxa"/>
            <w:vAlign w:val="bottom"/>
          </w:tcPr>
          <w:p>
            <w:pPr>
              <w:spacing w:after="0"/>
              <w:rPr>
                <w:sz w:val="24"/>
                <w:szCs w:val="24"/>
                <w:color w:val="auto"/>
              </w:rPr>
            </w:pPr>
          </w:p>
        </w:tc>
        <w:tc>
          <w:tcPr>
            <w:tcW w:w="8360" w:type="dxa"/>
            <w:vAlign w:val="bottom"/>
            <w:gridSpan w:val="7"/>
          </w:tcPr>
          <w:p>
            <w:pPr>
              <w:jc w:val="center"/>
              <w:ind w:right="2790"/>
              <w:spacing w:after="0"/>
              <w:rPr>
                <w:sz w:val="20"/>
                <w:szCs w:val="20"/>
                <w:color w:val="auto"/>
              </w:rPr>
            </w:pPr>
            <w:r>
              <w:rPr>
                <w:rFonts w:ascii="Arial" w:cs="Arial" w:eastAsia="Arial" w:hAnsi="Arial"/>
                <w:sz w:val="18"/>
                <w:szCs w:val="18"/>
                <w:b w:val="1"/>
                <w:bCs w:val="1"/>
                <w:color w:val="auto"/>
                <w:w w:val="92"/>
              </w:rPr>
              <w:t>Date of Report (Date of Earliest Event Reported): February 28, 2022</w:t>
            </w:r>
          </w:p>
        </w:tc>
      </w:tr>
      <w:tr>
        <w:trPr>
          <w:trHeight w:val="418"/>
        </w:trPr>
        <w:tc>
          <w:tcPr>
            <w:tcW w:w="2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OptimizeRx Corporation</w:t>
            </w:r>
          </w:p>
        </w:tc>
        <w:tc>
          <w:tcPr>
            <w:tcW w:w="3600" w:type="dxa"/>
            <w:vAlign w:val="bottom"/>
          </w:tcPr>
          <w:p>
            <w:pPr>
              <w:spacing w:after="0"/>
              <w:rPr>
                <w:sz w:val="24"/>
                <w:szCs w:val="24"/>
                <w:color w:val="auto"/>
              </w:rPr>
            </w:pPr>
          </w:p>
        </w:tc>
      </w:tr>
      <w:tr>
        <w:trPr>
          <w:trHeight w:val="230"/>
        </w:trPr>
        <w:tc>
          <w:tcPr>
            <w:tcW w:w="2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(Exact name of registrant as specified in charter)</w:t>
            </w:r>
          </w:p>
        </w:tc>
        <w:tc>
          <w:tcPr>
            <w:tcW w:w="3600" w:type="dxa"/>
            <w:vAlign w:val="bottom"/>
          </w:tcPr>
          <w:p>
            <w:pPr>
              <w:spacing w:after="0"/>
              <w:rPr>
                <w:sz w:val="20"/>
                <w:szCs w:val="20"/>
                <w:color w:val="auto"/>
              </w:rPr>
            </w:pPr>
          </w:p>
        </w:tc>
      </w:tr>
      <w:tr>
        <w:trPr>
          <w:trHeight w:val="453"/>
        </w:trPr>
        <w:tc>
          <w:tcPr>
            <w:tcW w:w="2880" w:type="dxa"/>
            <w:vAlign w:val="bottom"/>
          </w:tcPr>
          <w:p>
            <w:pPr>
              <w:jc w:val="center"/>
              <w:ind w:left="650"/>
              <w:spacing w:after="0"/>
              <w:rPr>
                <w:sz w:val="20"/>
                <w:szCs w:val="20"/>
                <w:color w:val="auto"/>
              </w:rPr>
            </w:pPr>
            <w:r>
              <w:rPr>
                <w:rFonts w:ascii="Arial" w:cs="Arial" w:eastAsia="Arial" w:hAnsi="Arial"/>
                <w:sz w:val="18"/>
                <w:szCs w:val="18"/>
                <w:b w:val="1"/>
                <w:bCs w:val="1"/>
                <w:color w:val="auto"/>
                <w:w w:val="90"/>
              </w:rPr>
              <w:t>Nevada</w:t>
            </w:r>
          </w:p>
        </w:tc>
        <w:tc>
          <w:tcPr>
            <w:tcW w:w="4560" w:type="dxa"/>
            <w:vAlign w:val="bottom"/>
            <w:gridSpan w:val="5"/>
          </w:tcPr>
          <w:p>
            <w:pPr>
              <w:jc w:val="center"/>
              <w:ind w:left="850"/>
              <w:spacing w:after="0"/>
              <w:rPr>
                <w:sz w:val="20"/>
                <w:szCs w:val="20"/>
                <w:color w:val="auto"/>
              </w:rPr>
            </w:pPr>
            <w:r>
              <w:rPr>
                <w:rFonts w:ascii="Arial" w:cs="Arial" w:eastAsia="Arial" w:hAnsi="Arial"/>
                <w:sz w:val="18"/>
                <w:szCs w:val="18"/>
                <w:b w:val="1"/>
                <w:bCs w:val="1"/>
                <w:color w:val="auto"/>
                <w:w w:val="90"/>
              </w:rPr>
              <w:t>001-38543</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2880" w:type="dxa"/>
            <w:vAlign w:val="bottom"/>
            <w:tcBorders>
              <w:top w:val="single" w:sz="8" w:color="auto"/>
            </w:tcBorders>
          </w:tcPr>
          <w:p>
            <w:pPr>
              <w:jc w:val="center"/>
              <w:ind w:left="650"/>
              <w:spacing w:after="0" w:line="201" w:lineRule="exact"/>
              <w:rPr>
                <w:sz w:val="20"/>
                <w:szCs w:val="20"/>
                <w:color w:val="auto"/>
              </w:rPr>
            </w:pPr>
            <w:r>
              <w:rPr>
                <w:rFonts w:ascii="Arial" w:cs="Arial" w:eastAsia="Arial" w:hAnsi="Arial"/>
                <w:sz w:val="18"/>
                <w:szCs w:val="18"/>
                <w:color w:val="auto"/>
                <w:w w:val="92"/>
              </w:rPr>
              <w:t>(State or other jurisdiction</w:t>
            </w: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880" w:type="dxa"/>
            <w:vAlign w:val="bottom"/>
          </w:tcPr>
          <w:p>
            <w:pPr>
              <w:jc w:val="center"/>
              <w:ind w:left="650"/>
              <w:spacing w:after="0"/>
              <w:rPr>
                <w:sz w:val="20"/>
                <w:szCs w:val="20"/>
                <w:color w:val="auto"/>
              </w:rPr>
            </w:pPr>
            <w:r>
              <w:rPr>
                <w:rFonts w:ascii="Arial" w:cs="Arial" w:eastAsia="Arial" w:hAnsi="Arial"/>
                <w:sz w:val="18"/>
                <w:szCs w:val="18"/>
                <w:color w:val="auto"/>
                <w:w w:val="93"/>
              </w:rPr>
              <w:t>of incorporation)</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7640" w:type="dxa"/>
            <w:vAlign w:val="bottom"/>
            <w:gridSpan w:val="7"/>
          </w:tcPr>
          <w:p>
            <w:pPr>
              <w:jc w:val="center"/>
              <w:ind w:right="212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3600" w:type="dxa"/>
            <w:vAlign w:val="bottom"/>
          </w:tcPr>
          <w:p>
            <w:pPr>
              <w:jc w:val="right"/>
              <w:ind w:right="2430"/>
              <w:spacing w:after="0"/>
              <w:rPr>
                <w:sz w:val="20"/>
                <w:szCs w:val="20"/>
                <w:color w:val="auto"/>
              </w:rPr>
            </w:pPr>
            <w:r>
              <w:rPr>
                <w:rFonts w:ascii="Arial" w:cs="Arial" w:eastAsia="Arial" w:hAnsi="Arial"/>
                <w:sz w:val="18"/>
                <w:szCs w:val="18"/>
                <w:b w:val="1"/>
                <w:bCs w:val="1"/>
                <w:color w:val="auto"/>
              </w:rPr>
              <w:t>48307</w:t>
            </w:r>
          </w:p>
        </w:tc>
      </w:tr>
      <w:tr>
        <w:trPr>
          <w:trHeight w:val="230"/>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17145</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Cash Bonus Plan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28, 2022, the Compensation Committee of OptimizeRx Corporation (the “Company”) adopted the OptimizeRx Corporation 2022 Cash Bonus Plan (the “2022 Cash Plan”). The purpose of the 2022 Cash Plan is to align officers’ and other employees’ efforts with the strategic goals of the Company through competitive annual incentive opportunities. The 2022 Cash Plan will be administered by the Compensation Committee of the Company’s Board of Directors. The Compensation Committee will have the power to grant awards under the 2022 Cash Plan, determine the amount of cash to be paid pursuant to each award and the terms and conditions of each award. Awards may provide for payment in installments, or upon the satisfaction of qualitative performance standards or quantitative performance standards, on an individual, divisional or Company-wide basis, as determined by the Compensation Committee.</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participant in the 2022 Cash Plan will be entitled to receive payment of the award only after certification by the Compensation Committee that the targets associated with the award have been satisfied. Final payments with respect to awards will vary based on the level of achievement measured against the pre-determined performance measures. Except as may be approved by the Compensation Committee, each participant must be employed full-time on the date of payment, and not under a notice of termination, to receive the amount earned under the award. Except as otherwise provided by the</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Compensation Committee, awards will be paid on or before March 15</w:t>
      </w:r>
      <w:r>
        <w:rPr>
          <w:rFonts w:ascii="Arial" w:cs="Arial" w:eastAsia="Arial" w:hAnsi="Arial"/>
          <w:sz w:val="29"/>
          <w:szCs w:val="29"/>
          <w:color w:val="auto"/>
          <w:vertAlign w:val="superscript"/>
        </w:rPr>
        <w:t>th</w:t>
      </w:r>
      <w:r>
        <w:rPr>
          <w:rFonts w:ascii="Arial" w:cs="Arial" w:eastAsia="Arial" w:hAnsi="Arial"/>
          <w:sz w:val="18"/>
          <w:szCs w:val="18"/>
          <w:color w:val="auto"/>
        </w:rPr>
        <w:t>, following the end of the Plan year in which payment under the award is earned. The Compensation Committee will have the discretion to reduce or eliminate the amount otherwise payable to a participant if it determines that such a reduction or elimination is in the best interests of the Company.</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description of the 2022 Cash Plan does not purport to be complete and is qualified in its entirety by reference to the 2022 Cash Plan which is attached hereto as an exhibit to this Form 8-K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28, 2022, the Compensation Committee approved increases to base salaries and bonus targets for each of the following executive officers for calendar year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Bonus Target</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(Percentage of</w:t>
            </w:r>
          </w:p>
        </w:tc>
      </w:tr>
      <w:tr>
        <w:trPr>
          <w:trHeight w:val="237"/>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20" w:type="dxa"/>
            <w:vAlign w:val="bottom"/>
            <w:tcBorders>
              <w:bottom w:val="single" w:sz="8" w:color="CCEEFF"/>
            </w:tcBorders>
          </w:tcPr>
          <w:p>
            <w:pPr>
              <w:spacing w:after="0"/>
              <w:rPr>
                <w:sz w:val="20"/>
                <w:szCs w:val="20"/>
                <w:color w:val="auto"/>
              </w:rPr>
            </w:pPr>
          </w:p>
        </w:tc>
        <w:tc>
          <w:tcPr>
            <w:tcW w:w="392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Title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6"/>
              </w:rPr>
              <w:t>Base Salary</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Base Salary)</w:t>
            </w:r>
          </w:p>
        </w:tc>
        <w:tc>
          <w:tcPr>
            <w:tcW w:w="160" w:type="dxa"/>
            <w:vAlign w:val="bottom"/>
            <w:tcBorders>
              <w:bottom w:val="single" w:sz="8" w:color="CCEEFF"/>
            </w:tcBorders>
          </w:tcPr>
          <w:p>
            <w:pPr>
              <w:spacing w:after="0"/>
              <w:rPr>
                <w:sz w:val="20"/>
                <w:szCs w:val="20"/>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Stephen Silvestro</w:t>
            </w:r>
          </w:p>
        </w:tc>
        <w:tc>
          <w:tcPr>
            <w:tcW w:w="1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Chief Commercial Officer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Marion Odence-Ford</w:t>
            </w: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General Counsel/Chief Compliance Officer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296,000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bl>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Also, on February 28, 2022, the Company entered into an employment agreement amendment with Stephen Silvestro. Mr. Silvestro’s employment agreement amendment provides that his base salary will be $350,000 per annum, with such increases (but no decreases) as may be determined by the Compensation Committee from time to time. In addition, such employment agreement amendment provides that Mr. Silvestro (i) shall be eligible to receive annual cash bonuses under the Company’s 2022 Cash Plan/or any other cash incentive plan maintained by the Company, as determined by the Compensation Committee in its sole discretion, and (ii) may receive grants of awards under the Company’s 2021 Equity Incentive Plan and/or any other equity-related incentive plan maintained by the Company, as determined by the Compensation Committee in its sole discretion.</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on February 28, 2022, the Company entered into an employment agreement amendment with Marion Odence-Ford. Ms. Odence-Ford’s employment agreement amendment provides that her base salary will be $296,000 per annum, with such increases (but no decreases) as may be determined by the Compensation Committee from time to time. In addition, such employment agreement amendment provides that Ms. Odence-Ford (i) shall be eligible to receive annual cash bonuses under the Company’s 2022 Cash Plan/or any other cash incentive plan maintained by the Company, as determined by the Compensation Committee in its sole discretion, and (ii) may receive grants of awards under the Company’s 2021 Equity Incentive Plan and/or any other equity-related incentive plan maintained by the Company, as determined by the Compensation Committee in its sole discretion.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63" w:lineRule="auto"/>
        <w:rPr>
          <w:sz w:val="20"/>
          <w:szCs w:val="20"/>
          <w:color w:val="auto"/>
        </w:rPr>
      </w:pPr>
      <w:r>
        <w:rPr>
          <w:rFonts w:ascii="Arial" w:cs="Arial" w:eastAsia="Arial" w:hAnsi="Arial"/>
          <w:sz w:val="18"/>
          <w:szCs w:val="18"/>
          <w:color w:val="auto"/>
        </w:rPr>
        <w:t>The foregoing description of each of Mr. Silvestro’s employment agreement amendment and Ms. Odence-Ford’s employment agreement amendment does not purport to be complete and is qualified in its entirety by reference to these agreements, which are attached hereto as exhibits to this Form 8-K and are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of the Company has determined to hold the Company’s annual meeting of stockholders (the “Annual Meeting”) on Thursday, June 9, 2022 at a time and place, if any, to be specified in the Company’s proxy materials for the Annual Meeting.</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the scheduled date of the Annual Meeting is more than 30 days prior to the anniversary date of the Company’s 2021 annual meeting of stockholders, prior deadlines regarding the submission of stockholder proposals in connection with the Annual Meeting are no longer applicable. Pursuant to Rule 14a-5(f) under the Securities Exchange Act of 1934, as amended (the “Exchange Act”), the Company is providing notice of certain revised deadlines for the submission of stockholder proposals in connection with the Annual Meeting. In order for a stockholder proposal, submitted pursuant to Rule 14a-8 under the Exchange Act (“Rule 14a-8”), to be considered timely for inclusion in the Company’s proxy statement and form of proxy for the Annual Meeting, such proposal must be received by the Company by March 14, 2022. The Company has determined this to be a reasonable time prior to the printing and mailing of our definitive proxy statement for the Annual Meeting. In addition, in order for a stockholder proposal, made other than pursuant to Rule 14a-8, to be considered timely, such proposal must also be received by the Company by March 14, 2022. Stockholders should submit proposals to the Company’s principal executive offices, 400 Water Street, Suite 200, Rochester, MI 48307, Attention: Corporate Secretary. The Company reserves the right to reject, rule out of order or take other appropriate action with respect to any proposal that does not comply with these and other applicable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4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10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OptimizeRx Corporation 2022 Cash Bonus Plan</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80" w:type="dxa"/>
            <w:vAlign w:val="bottom"/>
            <w:tcBorders>
              <w:top w:val="single" w:sz="8" w:color="0000EE"/>
            </w:tcBorders>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Amendment to Employment Agreement by and between the Company and Stephen Silvestro dated February 28,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80" w:type="dxa"/>
            <w:vAlign w:val="bottom"/>
            <w:tcBorders>
              <w:top w:val="single" w:sz="8" w:color="0000EE"/>
            </w:tcBorders>
          </w:tcPr>
          <w:p>
            <w:pPr>
              <w:spacing w:after="0"/>
              <w:rPr>
                <w:sz w:val="18"/>
                <w:szCs w:val="18"/>
                <w:color w:val="auto"/>
              </w:rPr>
            </w:pPr>
          </w:p>
        </w:tc>
        <w:tc>
          <w:tcPr>
            <w:tcW w:w="50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Amendment to Employment Agreement by and between the Company and Marion Odence-Ford dated February 28,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80" w:type="dxa"/>
            <w:vAlign w:val="bottom"/>
            <w:tcBorders>
              <w:top w:val="single" w:sz="8" w:color="0000EE"/>
            </w:tcBorders>
          </w:tcPr>
          <w:p>
            <w:pPr>
              <w:spacing w:after="0"/>
              <w:rPr>
                <w:sz w:val="18"/>
                <w:szCs w:val="18"/>
                <w:color w:val="auto"/>
              </w:rPr>
            </w:pPr>
          </w:p>
        </w:tc>
        <w:tc>
          <w:tcPr>
            <w:tcW w:w="50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82"/>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gridSpan w:val="2"/>
          </w:tcPr>
          <w:p>
            <w:pPr>
              <w:ind w:left="4440"/>
              <w:spacing w:after="0"/>
              <w:rPr>
                <w:sz w:val="20"/>
                <w:szCs w:val="20"/>
                <w:color w:val="auto"/>
              </w:rPr>
            </w:pPr>
            <w:r>
              <w:rPr>
                <w:rFonts w:ascii="Arial" w:cs="Arial" w:eastAsia="Arial" w:hAnsi="Arial"/>
                <w:sz w:val="22"/>
                <w:szCs w:val="22"/>
                <w:color w:val="auto"/>
              </w:rPr>
              <w:t>2</w:t>
            </w: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Arial" w:cs="Arial" w:eastAsia="Arial" w:hAnsi="Arial"/>
          <w:sz w:val="18"/>
          <w:szCs w:val="18"/>
          <w:color w:val="auto"/>
        </w:rPr>
        <w:t>Date: March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Marion Odence-Ford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Marion Odence-Ford</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1032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CASH BONUS PLAN</w:t>
      </w:r>
    </w:p>
    <w:p>
      <w:pPr>
        <w:spacing w:after="0" w:line="20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OptimizeRx Corporation, a Nevada corporation, hereby adopts the 2022 Cash Bonus Plan (the “Plan”), effective as provided in Paragraph 10. The purpose of the Plan is to align officers’ and other employees’ efforts with the strategic goals of the Company through competitive annual incentive opportunities.</w:t>
      </w:r>
    </w:p>
    <w:p>
      <w:pPr>
        <w:spacing w:after="0" w:line="12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Under the Plan, except where the context otherwise indicates, the following definitions apply:</w:t>
      </w:r>
    </w:p>
    <w:p>
      <w:pPr>
        <w:spacing w:after="0" w:line="225" w:lineRule="exact"/>
        <w:rPr>
          <w:sz w:val="20"/>
          <w:szCs w:val="20"/>
          <w:color w:val="auto"/>
        </w:rPr>
      </w:pPr>
    </w:p>
    <w:p>
      <w:pPr>
        <w:jc w:val="both"/>
        <w:ind w:firstLine="656"/>
        <w:spacing w:after="0" w:line="259" w:lineRule="auto"/>
        <w:tabs>
          <w:tab w:leader="none" w:pos="89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 cash bonus award granted under the Plan. Except as otherwise provided by the Committee, an Award shall be expressed as the percentage of a Participant’s base salary payable for a Plan Year that shall become payable if the Targets established by the Committee are satisfied. The portion of an Award that shall be payable to a Participant shall be determined by the Committee in accordance with the rules established for the Award for each Plan Year.</w:t>
      </w:r>
    </w:p>
    <w:p>
      <w:pPr>
        <w:spacing w:after="0" w:line="186"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right="20" w:firstLine="1304"/>
        <w:spacing w:after="0" w:line="308" w:lineRule="auto"/>
        <w:tabs>
          <w:tab w:leader="none" w:pos="1528" w:val="left"/>
        </w:tabs>
        <w:numPr>
          <w:ilvl w:val="1"/>
          <w:numId w:val="4"/>
        </w:numPr>
        <w:rPr>
          <w:rFonts w:ascii="Arial" w:cs="Arial" w:eastAsia="Arial" w:hAnsi="Arial"/>
          <w:sz w:val="17"/>
          <w:szCs w:val="17"/>
          <w:color w:val="auto"/>
        </w:rPr>
      </w:pPr>
      <w:r>
        <w:rPr>
          <w:rFonts w:ascii="Arial" w:cs="Arial" w:eastAsia="Arial" w:hAnsi="Arial"/>
          <w:sz w:val="17"/>
          <w:szCs w:val="17"/>
          <w:color w:val="auto"/>
        </w:rPr>
        <w:t>Except as provided in Paragraph 2(d)(ii), “Change in Control” means (A) a change within a twelve-month period in the holders of more than 50% of the outstanding voting stock of the Company; or (B) any other events deemed to constitute a “change in control” by the Committee.</w:t>
      </w:r>
    </w:p>
    <w:p>
      <w:pPr>
        <w:spacing w:after="0" w:line="146" w:lineRule="exact"/>
        <w:rPr>
          <w:rFonts w:ascii="Arial" w:cs="Arial" w:eastAsia="Arial" w:hAnsi="Arial"/>
          <w:sz w:val="17"/>
          <w:szCs w:val="17"/>
          <w:color w:val="auto"/>
        </w:rPr>
      </w:pPr>
    </w:p>
    <w:p>
      <w:pPr>
        <w:jc w:val="both"/>
        <w:ind w:firstLine="1304"/>
        <w:spacing w:after="0" w:line="286" w:lineRule="auto"/>
        <w:tabs>
          <w:tab w:leader="none" w:pos="1585" w:val="left"/>
        </w:tabs>
        <w:numPr>
          <w:ilvl w:val="1"/>
          <w:numId w:val="4"/>
        </w:numPr>
        <w:rPr>
          <w:rFonts w:ascii="Arial" w:cs="Arial" w:eastAsia="Arial" w:hAnsi="Arial"/>
          <w:sz w:val="17"/>
          <w:szCs w:val="17"/>
          <w:color w:val="auto"/>
        </w:rPr>
      </w:pPr>
      <w:r>
        <w:rPr>
          <w:rFonts w:ascii="Arial" w:cs="Arial" w:eastAsia="Arial" w:hAnsi="Arial"/>
          <w:sz w:val="17"/>
          <w:szCs w:val="17"/>
          <w:color w:val="auto"/>
        </w:rPr>
        <w:t>With respect to the distribution of amounts subject to an Award that constitute “deferred compensation” (within the meaning of Section 409A), the term “Change in Control” shall mean any transaction or series of transactions that constitutes a change in the ownership or effective control or a change in the ownership of a substantial portion of the assets of the Company, within the meaning of Section 409A.</w:t>
      </w:r>
    </w:p>
    <w:p>
      <w:pPr>
        <w:spacing w:after="0" w:line="165" w:lineRule="exact"/>
        <w:rPr>
          <w:rFonts w:ascii="Arial" w:cs="Arial" w:eastAsia="Arial" w:hAnsi="Arial"/>
          <w:sz w:val="17"/>
          <w:szCs w:val="17"/>
          <w:color w:val="auto"/>
        </w:rPr>
      </w:pPr>
    </w:p>
    <w:p>
      <w:pPr>
        <w:ind w:right="20" w:firstLine="656"/>
        <w:spacing w:after="0" w:line="308" w:lineRule="auto"/>
        <w:tabs>
          <w:tab w:leader="none" w:pos="893"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the Compensation Committee of the Board, provided that all references to the Committee shall be treated as references to the Committee’s delegate with respect to any Award granted within the scope of the delegate’s authority pursuant to Paragraph 3(e).</w:t>
      </w:r>
    </w:p>
    <w:p>
      <w:pPr>
        <w:spacing w:after="0" w:line="146" w:lineRule="exact"/>
        <w:rPr>
          <w:rFonts w:ascii="Arial" w:cs="Arial" w:eastAsia="Arial" w:hAnsi="Arial"/>
          <w:sz w:val="17"/>
          <w:szCs w:val="17"/>
          <w:color w:val="auto"/>
        </w:rPr>
      </w:pPr>
    </w:p>
    <w:p>
      <w:pPr>
        <w:ind w:firstLine="656"/>
        <w:spacing w:after="0" w:line="277" w:lineRule="auto"/>
        <w:tabs>
          <w:tab w:leader="none" w:pos="87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OptimizeRx Corporation, a Nevada corporation, including any successor thereto by merger, consolidation, acquisition of all or substantially all the assets thereof, or otherwise.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29" w:val="left"/>
        </w:tabs>
        <w:numPr>
          <w:ilvl w:val="1"/>
          <w:numId w:val="4"/>
        </w:numPr>
        <w:rPr>
          <w:rFonts w:ascii="Arial" w:cs="Arial" w:eastAsia="Arial" w:hAnsi="Arial"/>
          <w:sz w:val="18"/>
          <w:szCs w:val="18"/>
          <w:color w:val="auto"/>
        </w:rPr>
      </w:pPr>
      <w:r>
        <w:rPr>
          <w:rFonts w:ascii="Arial" w:cs="Arial" w:eastAsia="Arial" w:hAnsi="Arial"/>
          <w:sz w:val="18"/>
          <w:szCs w:val="18"/>
          <w:color w:val="auto"/>
        </w:rPr>
        <w:t>A Participant’s substantial inability to perform the Participant’s employment duties due to partial or total disability or incapacity resulting from a mental or physical illness, injury or other health-related cause for a period of twelve (12) consecutive months or for a cumulative period of fifty-two (52) weeks in any twenty-four (24) consecutive-month period; or</w:t>
      </w:r>
    </w:p>
    <w:p>
      <w:pPr>
        <w:spacing w:after="0" w:line="183" w:lineRule="exact"/>
        <w:rPr>
          <w:rFonts w:ascii="Arial" w:cs="Arial" w:eastAsia="Arial" w:hAnsi="Arial"/>
          <w:sz w:val="18"/>
          <w:szCs w:val="18"/>
          <w:color w:val="auto"/>
        </w:rPr>
      </w:pPr>
    </w:p>
    <w:p>
      <w:pPr>
        <w:ind w:firstLine="1304"/>
        <w:spacing w:after="0" w:line="277" w:lineRule="auto"/>
        <w:tabs>
          <w:tab w:leader="none" w:pos="1589" w:val="left"/>
        </w:tabs>
        <w:numPr>
          <w:ilvl w:val="1"/>
          <w:numId w:val="4"/>
        </w:numPr>
        <w:rPr>
          <w:rFonts w:ascii="Arial" w:cs="Arial" w:eastAsia="Arial" w:hAnsi="Arial"/>
          <w:sz w:val="18"/>
          <w:szCs w:val="18"/>
          <w:color w:val="auto"/>
        </w:rPr>
      </w:pPr>
      <w:r>
        <w:rPr>
          <w:rFonts w:ascii="Arial" w:cs="Arial" w:eastAsia="Arial" w:hAnsi="Arial"/>
          <w:sz w:val="18"/>
          <w:szCs w:val="18"/>
          <w:color w:val="auto"/>
        </w:rPr>
        <w:t>If more favorable to the Participant, “Disability” as it may be defined in such Participant’s employment agreement between the Participant and the Company or an Affiliate,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880" w:hanging="224"/>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the Company or an Affiliate, as determined by the Committee.</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is granted an Award.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2022 Cash Bonus Plan as set forth herein, and as amended from time to time.</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Company’s fiscal year.</w:t>
      </w:r>
    </w:p>
    <w:p>
      <w:pPr>
        <w:spacing w:after="0" w:line="225" w:lineRule="exact"/>
        <w:rPr>
          <w:rFonts w:ascii="Arial" w:cs="Arial" w:eastAsia="Arial" w:hAnsi="Arial"/>
          <w:sz w:val="18"/>
          <w:szCs w:val="18"/>
          <w:color w:val="auto"/>
        </w:rPr>
      </w:pPr>
    </w:p>
    <w:p>
      <w:pPr>
        <w:jc w:val="both"/>
        <w:ind w:firstLine="656"/>
        <w:spacing w:after="0" w:line="286" w:lineRule="auto"/>
        <w:tabs>
          <w:tab w:leader="none" w:pos="903" w:val="left"/>
        </w:tabs>
        <w:numPr>
          <w:ilvl w:val="1"/>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Qualitative Performance Standards</w:t>
      </w:r>
      <w:r>
        <w:rPr>
          <w:rFonts w:ascii="Arial" w:cs="Arial" w:eastAsia="Arial" w:hAnsi="Arial"/>
          <w:sz w:val="17"/>
          <w:szCs w:val="17"/>
          <w:color w:val="auto"/>
        </w:rPr>
        <w:t>” means performance standards other than Quantitative Performance Standards, including but not limited to customer service, management effectiveness, workforce diversity and other Qualitative Performance Standards relevant to the Company’s business, as may be established by the Committee, and the achievement of which shall be determined in the discretion of the Committee.</w:t>
      </w:r>
    </w:p>
    <w:p>
      <w:pPr>
        <w:spacing w:after="0" w:line="165" w:lineRule="exact"/>
        <w:rPr>
          <w:rFonts w:ascii="Arial" w:cs="Arial" w:eastAsia="Arial" w:hAnsi="Arial"/>
          <w:sz w:val="17"/>
          <w:szCs w:val="17"/>
          <w:color w:val="auto"/>
        </w:rPr>
      </w:pPr>
    </w:p>
    <w:p>
      <w:pPr>
        <w:jc w:val="both"/>
        <w:ind w:firstLine="656"/>
        <w:spacing w:after="0" w:line="289" w:lineRule="auto"/>
        <w:tabs>
          <w:tab w:leader="none" w:pos="916" w:val="left"/>
        </w:tabs>
        <w:numPr>
          <w:ilvl w:val="1"/>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Quantitative Performance Standards</w:t>
      </w:r>
      <w:r>
        <w:rPr>
          <w:rFonts w:ascii="Arial" w:cs="Arial" w:eastAsia="Arial" w:hAnsi="Arial"/>
          <w:sz w:val="16"/>
          <w:szCs w:val="16"/>
          <w:color w:val="auto"/>
        </w:rPr>
        <w:t>” means performance standards such as (a) income; (b) expense; (c) operating cash flow; (d) capital spending; (e) total shareholder return, (f) gross margin; (g) growth in revenues, sales, market share, gross income, net income, pre-tax income, stock price, and/or earnings per share, return on assets, net assets, and/or capital, working capital, free cash flow and/or after tax cash flow, earnings before interest and taxes (EBIT), earnings before interest, taxes, depreciation, and amortization (EBITDA); (h) EBITDA plus stock compensation; (i) return on shareholders’ equity, return on invested capital (j) economic or shareholder value added, acquisition of assets, (k) acquisition of companies; (l) creation of new joint ventures; (m) growth in new products; (n) lower product acquisition costs and/or improvements in costs and/or expenses, (o) stock price hurdles; and (p) other objective financial or service-based standards relevant to the Company’s business as may be established by the Committee. The performance standards may be measured relative to a peer group, an index or a business plan and may be considered as absolute measures or changes in measures, relative to a pre-established target or to a previous year’s results, in each case as specified by the Committee.</w:t>
      </w:r>
    </w:p>
    <w:p>
      <w:pPr>
        <w:spacing w:after="0" w:line="166" w:lineRule="exact"/>
        <w:rPr>
          <w:rFonts w:ascii="Arial" w:cs="Arial" w:eastAsia="Arial" w:hAnsi="Arial"/>
          <w:sz w:val="16"/>
          <w:szCs w:val="16"/>
          <w:color w:val="auto"/>
        </w:rPr>
      </w:pPr>
    </w:p>
    <w:p>
      <w:pPr>
        <w:ind w:left="920" w:hanging="264"/>
        <w:spacing w:after="0"/>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jc w:val="both"/>
        <w:ind w:firstLine="656"/>
        <w:spacing w:after="0" w:line="263" w:lineRule="auto"/>
        <w:tabs>
          <w:tab w:leader="none" w:pos="916"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means, for any Plan Year, the Qualitative Performance Standards and the Quantitative Performance Standards established by the Committee, in its discretion. Qualitative Performance Standards, Quantitative Performance Standards and the weighting of such Standards may differ from Plan Year to Plan Year, and within a Plan Year, may differ among Participants or classes of Participants.</w:t>
      </w:r>
    </w:p>
    <w:p>
      <w:pPr>
        <w:spacing w:after="0" w:line="183" w:lineRule="exact"/>
        <w:rPr>
          <w:rFonts w:ascii="Arial" w:cs="Arial" w:eastAsia="Arial" w:hAnsi="Arial"/>
          <w:sz w:val="18"/>
          <w:szCs w:val="18"/>
          <w:color w:val="auto"/>
        </w:rPr>
      </w:pPr>
    </w:p>
    <w:p>
      <w:pPr>
        <w:ind w:left="880" w:hanging="224"/>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2"/>
          <w:numId w:val="5"/>
        </w:numPr>
        <w:rPr>
          <w:rFonts w:ascii="Arial" w:cs="Arial" w:eastAsia="Arial" w:hAnsi="Arial"/>
          <w:sz w:val="18"/>
          <w:szCs w:val="18"/>
          <w:color w:val="auto"/>
        </w:rPr>
      </w:pPr>
      <w:r>
        <w:rPr>
          <w:rFonts w:ascii="Arial" w:cs="Arial" w:eastAsia="Arial" w:hAnsi="Arial"/>
          <w:sz w:val="18"/>
          <w:szCs w:val="18"/>
          <w:color w:val="auto"/>
        </w:rPr>
        <w:t>a Change in Control.</w:t>
      </w:r>
    </w:p>
    <w:p>
      <w:pPr>
        <w:spacing w:after="0" w:line="22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29" w:lineRule="exact"/>
        <w:rPr>
          <w:rFonts w:ascii="Arial" w:cs="Arial" w:eastAsia="Arial" w:hAnsi="Arial"/>
          <w:sz w:val="18"/>
          <w:szCs w:val="18"/>
          <w:b w:val="1"/>
          <w:bCs w:val="1"/>
          <w:color w:val="auto"/>
        </w:rPr>
      </w:pPr>
    </w:p>
    <w:p>
      <w:pPr>
        <w:jc w:val="both"/>
        <w:ind w:firstLine="656"/>
        <w:spacing w:after="0" w:line="311" w:lineRule="auto"/>
        <w:tabs>
          <w:tab w:leader="none" w:pos="892"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shall be administered by the Committee. The Committee shall have the power and duty to do all things necessary or convenient to affect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148" w:lineRule="exact"/>
        <w:rPr>
          <w:rFonts w:ascii="Arial" w:cs="Arial" w:eastAsia="Arial" w:hAnsi="Arial"/>
          <w:sz w:val="16"/>
          <w:szCs w:val="16"/>
          <w:color w:val="auto"/>
        </w:rPr>
      </w:pPr>
    </w:p>
    <w:p>
      <w:pPr>
        <w:ind w:firstLine="1304"/>
        <w:spacing w:after="0" w:line="277" w:lineRule="auto"/>
        <w:tabs>
          <w:tab w:leader="none" w:pos="1535" w:val="left"/>
        </w:tabs>
        <w:numPr>
          <w:ilvl w:val="2"/>
          <w:numId w:val="6"/>
        </w:numPr>
        <w:rPr>
          <w:rFonts w:ascii="Arial" w:cs="Arial" w:eastAsia="Arial" w:hAnsi="Arial"/>
          <w:sz w:val="18"/>
          <w:szCs w:val="18"/>
          <w:color w:val="auto"/>
        </w:rPr>
      </w:pPr>
      <w:r>
        <w:rPr>
          <w:rFonts w:ascii="Arial" w:cs="Arial" w:eastAsia="Arial" w:hAnsi="Arial"/>
          <w:sz w:val="18"/>
          <w:szCs w:val="18"/>
          <w:color w:val="auto"/>
        </w:rPr>
        <w:t>provide rules and regulations for the management, operation and administration of the Plan, and, from time to time, to amend or supplement such rules and regulations;</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2"/>
          <w:numId w:val="6"/>
        </w:numPr>
        <w:rPr>
          <w:rFonts w:ascii="Arial" w:cs="Arial" w:eastAsia="Arial" w:hAnsi="Arial"/>
          <w:sz w:val="18"/>
          <w:szCs w:val="18"/>
          <w:color w:val="auto"/>
        </w:rPr>
      </w:pPr>
      <w:r>
        <w:rPr>
          <w:rFonts w:ascii="Arial" w:cs="Arial" w:eastAsia="Arial" w:hAnsi="Arial"/>
          <w:sz w:val="18"/>
          <w:szCs w:val="18"/>
          <w:color w:val="auto"/>
        </w:rPr>
        <w:t>construe the Plan, which construction, as long as made in good faith, shall be final and conclusive upon all parties hereto;</w:t>
      </w:r>
    </w:p>
    <w:p>
      <w:pPr>
        <w:spacing w:after="0" w:line="225" w:lineRule="exact"/>
        <w:rPr>
          <w:rFonts w:ascii="Arial" w:cs="Arial" w:eastAsia="Arial" w:hAnsi="Arial"/>
          <w:sz w:val="18"/>
          <w:szCs w:val="18"/>
          <w:color w:val="auto"/>
        </w:rPr>
      </w:pPr>
    </w:p>
    <w:p>
      <w:pPr>
        <w:ind w:firstLine="1304"/>
        <w:spacing w:after="0" w:line="277" w:lineRule="auto"/>
        <w:tabs>
          <w:tab w:leader="none" w:pos="1611" w:val="left"/>
        </w:tabs>
        <w:numPr>
          <w:ilvl w:val="2"/>
          <w:numId w:val="6"/>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in such manner and to such extent as it shall deem expedient to carry the same into effect, and it shall be the sole and final judge of when such action shall be appropriate;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1300"/>
        <w:spacing w:after="0"/>
        <w:rPr>
          <w:sz w:val="20"/>
          <w:szCs w:val="20"/>
          <w:color w:val="auto"/>
        </w:rPr>
      </w:pPr>
      <w:r>
        <w:rPr>
          <w:rFonts w:ascii="Arial" w:cs="Arial" w:eastAsia="Arial" w:hAnsi="Arial"/>
          <w:sz w:val="18"/>
          <w:szCs w:val="18"/>
          <w:color w:val="auto"/>
        </w:rPr>
        <w:t>(iv) determine whether the conditions to the payment of a cash bonus pursuant to an Award have been satisfied.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resolution of any questions with respect to payments and entitlements pursuant to the provisions of the Plan shall be determined by the Committee, and all such determinations shall be final and conclusive.</w:t>
      </w:r>
    </w:p>
    <w:p>
      <w:pPr>
        <w:spacing w:after="0" w:line="170" w:lineRule="exact"/>
        <w:rPr>
          <w:sz w:val="20"/>
          <w:szCs w:val="20"/>
          <w:color w:val="auto"/>
        </w:rPr>
      </w:pPr>
    </w:p>
    <w:p>
      <w:pPr>
        <w:jc w:val="both"/>
        <w:ind w:firstLine="656"/>
        <w:spacing w:after="0" w:line="263" w:lineRule="auto"/>
        <w:tabs>
          <w:tab w:leader="none" w:pos="903"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 select those Eligible Employees to whom Awards shall be granted under the Plan, to determine the amount of cash to be paid pursuant to each Award, and, pursuant to the provisions of the Plan, to determine the terms and conditions of each Award.</w:t>
      </w:r>
    </w:p>
    <w:p>
      <w:pPr>
        <w:spacing w:after="0" w:line="183" w:lineRule="exact"/>
        <w:rPr>
          <w:rFonts w:ascii="Arial" w:cs="Arial" w:eastAsia="Arial" w:hAnsi="Arial"/>
          <w:sz w:val="18"/>
          <w:szCs w:val="18"/>
          <w:color w:val="auto"/>
        </w:rPr>
      </w:pPr>
    </w:p>
    <w:p>
      <w:pPr>
        <w:jc w:val="both"/>
        <w:ind w:firstLine="656"/>
        <w:spacing w:after="0" w:line="257" w:lineRule="auto"/>
        <w:tabs>
          <w:tab w:leader="none" w:pos="906"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Exculpation</w:t>
      </w:r>
      <w:r>
        <w:rPr>
          <w:rFonts w:ascii="Arial" w:cs="Arial" w:eastAsia="Arial" w:hAnsi="Arial"/>
          <w:sz w:val="18"/>
          <w:szCs w:val="18"/>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the office, and (ii) the breach or failure to perform constitutes self-dealing, willful misconduct or recklessness; provided, however, that the provisions of this Paragraph 3(c) shall not apply to the responsibility or liability of a member of the Committee pursuant to any criminal statute.</w:t>
      </w:r>
    </w:p>
    <w:p>
      <w:pPr>
        <w:spacing w:after="0" w:line="187" w:lineRule="exact"/>
        <w:rPr>
          <w:rFonts w:ascii="Arial" w:cs="Arial" w:eastAsia="Arial" w:hAnsi="Arial"/>
          <w:sz w:val="18"/>
          <w:szCs w:val="18"/>
          <w:color w:val="auto"/>
        </w:rPr>
      </w:pPr>
    </w:p>
    <w:p>
      <w:pPr>
        <w:jc w:val="both"/>
        <w:ind w:firstLine="656"/>
        <w:spacing w:after="0" w:line="275" w:lineRule="auto"/>
        <w:tabs>
          <w:tab w:leader="none" w:pos="903"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Service on the Committee shall constitute service as a member of the Board. Each member of the Committee shall be entitled without further act on the member’s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the person may be involved by reason of the person’s being or having been a member of the Committee, whether or not the person continues to be such member of the Committee at the time of the action, suit or proceeding.</w:t>
      </w:r>
    </w:p>
    <w:p>
      <w:pPr>
        <w:spacing w:after="0" w:line="176" w:lineRule="exact"/>
        <w:rPr>
          <w:rFonts w:ascii="Arial" w:cs="Arial" w:eastAsia="Arial" w:hAnsi="Arial"/>
          <w:sz w:val="17"/>
          <w:szCs w:val="17"/>
          <w:color w:val="auto"/>
        </w:rPr>
      </w:pPr>
    </w:p>
    <w:p>
      <w:pPr>
        <w:jc w:val="both"/>
        <w:ind w:firstLine="656"/>
        <w:spacing w:after="0" w:line="259" w:lineRule="auto"/>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Committee may delegate its authority with respect to the grant, amendment, interpretation and administration of Awards, other than Awards to Section 16(b) Officers, to a person, persons or committee, in its sole and absolute discretion. Actions taken by the Committee’s duly-authorized delegate shall have the same force and effect as actions taken by the Committee. Any delegation of authority pursuant to this Paragraph 3(e) shall continue in effect until the earliest of:</w:t>
      </w:r>
    </w:p>
    <w:p>
      <w:pPr>
        <w:spacing w:after="0" w:line="186" w:lineRule="exact"/>
        <w:rPr>
          <w:rFonts w:ascii="Arial" w:cs="Arial" w:eastAsia="Arial" w:hAnsi="Arial"/>
          <w:sz w:val="18"/>
          <w:szCs w:val="18"/>
          <w:color w:val="auto"/>
        </w:rPr>
      </w:pPr>
    </w:p>
    <w:p>
      <w:pPr>
        <w:ind w:left="1520" w:hanging="216"/>
        <w:spacing w:after="0"/>
        <w:tabs>
          <w:tab w:leader="none" w:pos="1520" w:val="left"/>
        </w:tabs>
        <w:numPr>
          <w:ilvl w:val="2"/>
          <w:numId w:val="7"/>
        </w:numPr>
        <w:rPr>
          <w:rFonts w:ascii="Arial" w:cs="Arial" w:eastAsia="Arial" w:hAnsi="Arial"/>
          <w:sz w:val="18"/>
          <w:szCs w:val="18"/>
          <w:color w:val="auto"/>
        </w:rPr>
      </w:pPr>
      <w:r>
        <w:rPr>
          <w:rFonts w:ascii="Arial" w:cs="Arial" w:eastAsia="Arial" w:hAnsi="Arial"/>
          <w:sz w:val="18"/>
          <w:szCs w:val="18"/>
          <w:color w:val="auto"/>
        </w:rPr>
        <w:t>such time as the Committee shall, in its sole and absolute discretion, revoke such delegation of authority;</w:t>
      </w:r>
    </w:p>
    <w:p>
      <w:pPr>
        <w:spacing w:after="0" w:line="225" w:lineRule="exact"/>
        <w:rPr>
          <w:rFonts w:ascii="Arial" w:cs="Arial" w:eastAsia="Arial" w:hAnsi="Arial"/>
          <w:sz w:val="18"/>
          <w:szCs w:val="18"/>
          <w:color w:val="auto"/>
        </w:rPr>
      </w:pPr>
    </w:p>
    <w:p>
      <w:pPr>
        <w:ind w:firstLine="1304"/>
        <w:spacing w:after="0" w:line="277" w:lineRule="auto"/>
        <w:tabs>
          <w:tab w:leader="none" w:pos="1572" w:val="left"/>
        </w:tabs>
        <w:numPr>
          <w:ilvl w:val="2"/>
          <w:numId w:val="7"/>
        </w:numPr>
        <w:rPr>
          <w:rFonts w:ascii="Arial" w:cs="Arial" w:eastAsia="Arial" w:hAnsi="Arial"/>
          <w:sz w:val="18"/>
          <w:szCs w:val="18"/>
          <w:color w:val="auto"/>
        </w:rPr>
      </w:pPr>
      <w:r>
        <w:rPr>
          <w:rFonts w:ascii="Arial" w:cs="Arial" w:eastAsia="Arial" w:hAnsi="Arial"/>
          <w:sz w:val="18"/>
          <w:szCs w:val="18"/>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70" w:lineRule="exact"/>
        <w:rPr>
          <w:rFonts w:ascii="Arial" w:cs="Arial" w:eastAsia="Arial" w:hAnsi="Arial"/>
          <w:sz w:val="18"/>
          <w:szCs w:val="18"/>
          <w:color w:val="auto"/>
        </w:rPr>
      </w:pPr>
    </w:p>
    <w:p>
      <w:pPr>
        <w:ind w:left="1620" w:hanging="316"/>
        <w:spacing w:after="0"/>
        <w:tabs>
          <w:tab w:leader="none" w:pos="162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delegate shall notify the Committee that he or she declines to continue to exercise such authority.</w:t>
      </w:r>
    </w:p>
    <w:p>
      <w:pPr>
        <w:spacing w:after="0" w:line="225" w:lineRule="exact"/>
        <w:rPr>
          <w:rFonts w:ascii="Arial" w:cs="Arial" w:eastAsia="Arial" w:hAnsi="Arial"/>
          <w:sz w:val="18"/>
          <w:szCs w:val="18"/>
          <w:color w:val="auto"/>
        </w:rPr>
      </w:pPr>
    </w:p>
    <w:p>
      <w:pPr>
        <w:jc w:val="both"/>
        <w:ind w:firstLine="656"/>
        <w:spacing w:after="0" w:line="259" w:lineRule="auto"/>
        <w:tabs>
          <w:tab w:leader="none" w:pos="873"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Participant Information</w:t>
      </w:r>
      <w:r>
        <w:rPr>
          <w:rFonts w:ascii="Arial" w:cs="Arial" w:eastAsia="Arial" w:hAnsi="Arial"/>
          <w:sz w:val="18"/>
          <w:szCs w:val="18"/>
          <w:color w:val="auto"/>
        </w:rPr>
        <w:t>. The Company shall furnish to the Committee in writing all Participant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18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16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AWARDS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Committee may grant Awards in accordance with the Plan. The terms and conditions of Awards shall be as determined from time to time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Committee, consistent, however, with the following:</w:t>
      </w:r>
    </w:p>
    <w:p>
      <w:pPr>
        <w:spacing w:after="0" w:line="211" w:lineRule="exact"/>
        <w:rPr>
          <w:sz w:val="20"/>
          <w:szCs w:val="20"/>
          <w:color w:val="auto"/>
        </w:rPr>
      </w:pPr>
    </w:p>
    <w:p>
      <w:pPr>
        <w:ind w:firstLine="656"/>
        <w:spacing w:after="0" w:line="277" w:lineRule="auto"/>
        <w:tabs>
          <w:tab w:leader="none" w:pos="89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Awards may be granted at any time from the date of adoption of the Plan by the Committee until the Plan is terminated by the Board or the Committee.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920" w:hanging="264"/>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Non-uniformity of Awards</w:t>
      </w:r>
      <w:r>
        <w:rPr>
          <w:rFonts w:ascii="Arial" w:cs="Arial" w:eastAsia="Arial" w:hAnsi="Arial"/>
          <w:sz w:val="18"/>
          <w:szCs w:val="18"/>
          <w:color w:val="auto"/>
        </w:rPr>
        <w:t>. The provisions of Awards need not be the same with respect to each Participant.</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Establishment of Targets and Conditions to Payment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2"/>
          <w:numId w:val="11"/>
        </w:numPr>
        <w:rPr>
          <w:rFonts w:ascii="Arial" w:cs="Arial" w:eastAsia="Arial" w:hAnsi="Arial"/>
          <w:sz w:val="17"/>
          <w:szCs w:val="17"/>
          <w:color w:val="auto"/>
        </w:rPr>
      </w:pPr>
      <w:r>
        <w:rPr>
          <w:rFonts w:ascii="Arial" w:cs="Arial" w:eastAsia="Arial" w:hAnsi="Arial"/>
          <w:sz w:val="17"/>
          <w:szCs w:val="17"/>
          <w:color w:val="auto"/>
        </w:rPr>
        <w:t>Except as otherwise provided by the Committee, Awards shall be expressed as a percentage of a Participant’s base salary.</w:t>
      </w:r>
    </w:p>
    <w:p>
      <w:pPr>
        <w:spacing w:after="0" w:line="236" w:lineRule="exact"/>
        <w:rPr>
          <w:rFonts w:ascii="Arial" w:cs="Arial" w:eastAsia="Arial" w:hAnsi="Arial"/>
          <w:sz w:val="17"/>
          <w:szCs w:val="17"/>
          <w:color w:val="auto"/>
        </w:rPr>
      </w:pPr>
    </w:p>
    <w:p>
      <w:pPr>
        <w:ind w:left="1560" w:hanging="256"/>
        <w:spacing w:after="0"/>
        <w:tabs>
          <w:tab w:leader="none" w:pos="15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The Committee shall establish such conditions on the payment of a bonus pursuant to an Award as it may, in its sole discretion, deem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appropriate.</w:t>
      </w:r>
    </w:p>
    <w:p>
      <w:pPr>
        <w:spacing w:after="0" w:line="210" w:lineRule="exact"/>
        <w:rPr>
          <w:rFonts w:ascii="Arial" w:cs="Arial" w:eastAsia="Arial" w:hAnsi="Arial"/>
          <w:sz w:val="16"/>
          <w:szCs w:val="16"/>
          <w:color w:val="auto"/>
        </w:rPr>
      </w:pPr>
    </w:p>
    <w:p>
      <w:pPr>
        <w:ind w:right="20" w:firstLine="1304"/>
        <w:spacing w:after="0" w:line="277" w:lineRule="auto"/>
        <w:tabs>
          <w:tab w:leader="none" w:pos="1612"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Award may provide for the payment of Awards in installments, or upon the satisfaction of Qualitative Performance Standards or Quantitative Performance Standards, on an individual, divisional or Company-wide basis, as determined by the Committee.</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608" w:val="left"/>
        </w:tabs>
        <w:numPr>
          <w:ilvl w:val="2"/>
          <w:numId w:val="11"/>
        </w:numPr>
        <w:rPr>
          <w:rFonts w:ascii="Arial" w:cs="Arial" w:eastAsia="Arial" w:hAnsi="Arial"/>
          <w:sz w:val="18"/>
          <w:szCs w:val="18"/>
          <w:color w:val="auto"/>
        </w:rPr>
      </w:pPr>
      <w:r>
        <w:rPr>
          <w:rFonts w:ascii="Arial" w:cs="Arial" w:eastAsia="Arial" w:hAnsi="Arial"/>
          <w:sz w:val="18"/>
          <w:szCs w:val="18"/>
          <w:color w:val="auto"/>
        </w:rPr>
        <w:t>Each Participant shall be entitled to receive payment of the Award for a Plan Year only after certification by the Committee that the Targets associated with the Award as established by the Committee for such Plan Year have been satisfied. Final payments with respect to Awards will vary based on the level of achievement measured against the pre-determined performance measures.</w:t>
      </w:r>
    </w:p>
    <w:p>
      <w:pPr>
        <w:spacing w:after="0" w:line="183" w:lineRule="exact"/>
        <w:rPr>
          <w:rFonts w:ascii="Arial" w:cs="Arial" w:eastAsia="Arial" w:hAnsi="Arial"/>
          <w:sz w:val="18"/>
          <w:szCs w:val="18"/>
          <w:color w:val="auto"/>
        </w:rPr>
      </w:pPr>
    </w:p>
    <w:p>
      <w:pPr>
        <w:jc w:val="both"/>
        <w:ind w:firstLine="1304"/>
        <w:spacing w:after="0" w:line="274" w:lineRule="auto"/>
        <w:tabs>
          <w:tab w:leader="none" w:pos="1551" w:val="left"/>
        </w:tabs>
        <w:numPr>
          <w:ilvl w:val="2"/>
          <w:numId w:val="11"/>
        </w:numPr>
        <w:rPr>
          <w:rFonts w:ascii="Arial" w:cs="Arial" w:eastAsia="Arial" w:hAnsi="Arial"/>
          <w:sz w:val="18"/>
          <w:szCs w:val="18"/>
          <w:color w:val="auto"/>
        </w:rPr>
      </w:pPr>
      <w:r>
        <w:rPr>
          <w:rFonts w:ascii="Arial" w:cs="Arial" w:eastAsia="Arial" w:hAnsi="Arial"/>
          <w:sz w:val="18"/>
          <w:szCs w:val="18"/>
          <w:color w:val="auto"/>
        </w:rPr>
        <w:t>Except as provided in Paragraph 5(e)(ii) or as may be approved by the Committee, each Participant must be employed full-time on the date of payment to receive the amount earned under the Award. Except as otherwise provided by the Committee, Awards shall be paid on or before March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following the end of the Plan Year in which payment under the Award is earned.</w:t>
      </w:r>
    </w:p>
    <w:p>
      <w:pPr>
        <w:spacing w:after="0" w:line="51" w:lineRule="exact"/>
        <w:rPr>
          <w:rFonts w:ascii="Arial" w:cs="Arial" w:eastAsia="Arial" w:hAnsi="Arial"/>
          <w:sz w:val="18"/>
          <w:szCs w:val="18"/>
          <w:color w:val="auto"/>
        </w:rPr>
      </w:pPr>
    </w:p>
    <w:p>
      <w:pPr>
        <w:ind w:left="1620" w:hanging="316"/>
        <w:spacing w:after="0"/>
        <w:tabs>
          <w:tab w:leader="none" w:pos="1620" w:val="left"/>
        </w:tabs>
        <w:numPr>
          <w:ilvl w:val="2"/>
          <w:numId w:val="11"/>
        </w:numPr>
        <w:rPr>
          <w:rFonts w:ascii="Arial" w:cs="Arial" w:eastAsia="Arial" w:hAnsi="Arial"/>
          <w:sz w:val="16"/>
          <w:szCs w:val="16"/>
          <w:color w:val="auto"/>
        </w:rPr>
      </w:pPr>
      <w:r>
        <w:rPr>
          <w:rFonts w:ascii="Arial" w:cs="Arial" w:eastAsia="Arial" w:hAnsi="Arial"/>
          <w:sz w:val="16"/>
          <w:szCs w:val="16"/>
          <w:color w:val="auto"/>
        </w:rPr>
        <w:t>For purposes of calculating whether any Quantitative Performance Standard has been met, the following effects may be eliminated:</w:t>
      </w:r>
    </w:p>
    <w:p>
      <w:pPr>
        <w:spacing w:after="0" w:line="46" w:lineRule="exact"/>
        <w:rPr>
          <w:rFonts w:ascii="Arial" w:cs="Arial" w:eastAsia="Arial" w:hAnsi="Arial"/>
          <w:sz w:val="16"/>
          <w:szCs w:val="16"/>
          <w:color w:val="auto"/>
        </w:rPr>
      </w:pPr>
    </w:p>
    <w:p>
      <w:pPr>
        <w:jc w:val="both"/>
        <w:ind w:firstLine="8"/>
        <w:spacing w:after="0" w:line="255" w:lineRule="auto"/>
        <w:tabs>
          <w:tab w:leader="none" w:pos="2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extraordinary, unusual, and/or nonrecurring items of gain or loss; (ii) gains or losses on the disposition of a business; (iii) dividends declared on the Company’s stock; (iv) changes in tax or accounting principles, regulations or laws; (v) expenses incurred in connection with a merger, acquisition or similar transaction; or (vi) such other effects that the Committee may approve to be eliminated.</w:t>
      </w:r>
    </w:p>
    <w:p>
      <w:pPr>
        <w:spacing w:after="0" w:line="189" w:lineRule="exact"/>
        <w:rPr>
          <w:rFonts w:ascii="Arial" w:cs="Arial" w:eastAsia="Arial" w:hAnsi="Arial"/>
          <w:sz w:val="18"/>
          <w:szCs w:val="18"/>
          <w:color w:val="auto"/>
        </w:rPr>
      </w:pPr>
    </w:p>
    <w:p>
      <w:pPr>
        <w:jc w:val="both"/>
        <w:ind w:firstLine="1304"/>
        <w:spacing w:after="0" w:line="263" w:lineRule="auto"/>
        <w:tabs>
          <w:tab w:leader="none" w:pos="1662" w:val="left"/>
        </w:tabs>
        <w:numPr>
          <w:ilvl w:val="2"/>
          <w:numId w:val="12"/>
        </w:numPr>
        <w:rPr>
          <w:rFonts w:ascii="Arial" w:cs="Arial" w:eastAsia="Arial" w:hAnsi="Arial"/>
          <w:sz w:val="18"/>
          <w:szCs w:val="18"/>
          <w:color w:val="auto"/>
        </w:rPr>
      </w:pPr>
      <w:r>
        <w:rPr>
          <w:rFonts w:ascii="Arial" w:cs="Arial" w:eastAsia="Arial" w:hAnsi="Arial"/>
          <w:sz w:val="18"/>
          <w:szCs w:val="18"/>
          <w:color w:val="auto"/>
        </w:rPr>
        <w:t>Notwithstanding the determination of the amount payable to a Participant under an Award with respect to any Plan Year under the Plan, the Committee shall have the discretion to reduce or eliminate he amount otherwise payable to a Participant if it determines that such a reduction or elimination of the amount payable is in the best interests of the Company.</w:t>
      </w:r>
    </w:p>
    <w:p>
      <w:pPr>
        <w:spacing w:after="0" w:line="183" w:lineRule="exact"/>
        <w:rPr>
          <w:rFonts w:ascii="Arial" w:cs="Arial" w:eastAsia="Arial" w:hAnsi="Arial"/>
          <w:sz w:val="18"/>
          <w:szCs w:val="18"/>
          <w:color w:val="auto"/>
        </w:rPr>
      </w:pPr>
    </w:p>
    <w:p>
      <w:pPr>
        <w:ind w:left="900" w:hanging="244"/>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Transfer and Termination of Participant’s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4" w:lineRule="auto"/>
        <w:tabs>
          <w:tab w:leader="none" w:pos="1511" w:val="left"/>
        </w:tabs>
        <w:numPr>
          <w:ilvl w:val="2"/>
          <w:numId w:val="13"/>
        </w:numPr>
        <w:rPr>
          <w:rFonts w:ascii="Arial" w:cs="Arial" w:eastAsia="Arial" w:hAnsi="Arial"/>
          <w:sz w:val="18"/>
          <w:szCs w:val="18"/>
          <w:color w:val="auto"/>
        </w:rPr>
      </w:pPr>
      <w:r>
        <w:rPr>
          <w:rFonts w:ascii="Arial" w:cs="Arial" w:eastAsia="Arial" w:hAnsi="Arial"/>
          <w:sz w:val="18"/>
          <w:szCs w:val="18"/>
          <w:u w:val="single" w:color="auto"/>
          <w:color w:val="auto"/>
        </w:rPr>
        <w:t>Transfer of Employment</w:t>
      </w:r>
      <w:r>
        <w:rPr>
          <w:rFonts w:ascii="Arial" w:cs="Arial" w:eastAsia="Arial" w:hAnsi="Arial"/>
          <w:sz w:val="18"/>
          <w:szCs w:val="18"/>
          <w:color w:val="auto"/>
        </w:rPr>
        <w:t>. A transfer of an Eligible Employee between two employers, each of which is the Company or an Affiliate of the Company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Participant between Affiliates or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 Participants who are employees of the transferee Affiliate or division, all as shall be determined by the Committee in an equitable manner.</w:t>
      </w:r>
    </w:p>
    <w:p>
      <w:pPr>
        <w:spacing w:after="0" w:line="191" w:lineRule="exact"/>
        <w:rPr>
          <w:rFonts w:ascii="Arial" w:cs="Arial" w:eastAsia="Arial" w:hAnsi="Arial"/>
          <w:sz w:val="18"/>
          <w:szCs w:val="18"/>
          <w:color w:val="auto"/>
        </w:rPr>
      </w:pPr>
    </w:p>
    <w:p>
      <w:pPr>
        <w:jc w:val="both"/>
        <w:ind w:firstLine="1304"/>
        <w:spacing w:after="0" w:line="301" w:lineRule="auto"/>
        <w:tabs>
          <w:tab w:leader="none" w:pos="1561" w:val="left"/>
        </w:tabs>
        <w:numPr>
          <w:ilvl w:val="2"/>
          <w:numId w:val="13"/>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The Committee, in its sole and absolute discretion and to the extent permitted under and in accordance with Section 409A, may, but is not required to, make a full or pro-rated payment to a Participant for a Plan Year in the event of the Participant’s death, Disability, retirement, or termination of employment during the Plan Year or after the end of the Plan Year; provided, that payments shall only be made on the earlier of (i) the death or Disability of the Participant or (ii) the payment date established under Paragraph 5(c)(v).</w:t>
      </w:r>
    </w:p>
    <w:p>
      <w:pPr>
        <w:spacing w:after="0" w:line="157" w:lineRule="exact"/>
        <w:rPr>
          <w:rFonts w:ascii="Arial" w:cs="Arial" w:eastAsia="Arial" w:hAnsi="Arial"/>
          <w:sz w:val="16"/>
          <w:szCs w:val="16"/>
          <w:color w:val="auto"/>
        </w:rPr>
      </w:pPr>
    </w:p>
    <w:p>
      <w:pPr>
        <w:ind w:left="880" w:hanging="224"/>
        <w:spacing w:after="0"/>
        <w:tabs>
          <w:tab w:leader="none" w:pos="88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Maximum Grant</w:t>
      </w:r>
      <w:r>
        <w:rPr>
          <w:rFonts w:ascii="Arial" w:cs="Arial" w:eastAsia="Arial" w:hAnsi="Arial"/>
          <w:sz w:val="18"/>
          <w:szCs w:val="18"/>
          <w:color w:val="auto"/>
        </w:rPr>
        <w:t>. In no event shall the amount paid to any Participant pursuant to an Award for any Plan Year exceed $2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Committee shall give Participants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Participant’s Award shall be waived, in whole or in part.</w:t>
      </w:r>
    </w:p>
    <w:p>
      <w:pPr>
        <w:spacing w:after="0" w:line="16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reserves the right in its Board (or a duly authorized committee thereof) to amend, suspend or terminate the Plan or to adopt a new plan in place of this Plan at any time. Furthermore, no amendment, suspension or termination shall, without the consent of the Participant, alter or impair a Participant’s right to receive payment of the amount earned pursuant to an Award and payable hereunder without the written consent of the Participant.</w:t>
      </w:r>
    </w:p>
    <w:p>
      <w:pPr>
        <w:spacing w:after="0" w:line="14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229" w:lineRule="exact"/>
        <w:rPr>
          <w:rFonts w:ascii="Arial" w:cs="Arial" w:eastAsia="Arial" w:hAnsi="Arial"/>
          <w:sz w:val="18"/>
          <w:szCs w:val="18"/>
          <w:b w:val="1"/>
          <w:bCs w:val="1"/>
          <w:color w:val="auto"/>
        </w:rPr>
      </w:pPr>
    </w:p>
    <w:p>
      <w:pPr>
        <w:jc w:val="both"/>
        <w:ind w:firstLine="656"/>
        <w:spacing w:after="0" w:line="257" w:lineRule="auto"/>
        <w:tabs>
          <w:tab w:leader="none" w:pos="906"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Unsecured Creditor Status</w:t>
      </w:r>
      <w:r>
        <w:rPr>
          <w:rFonts w:ascii="Arial" w:cs="Arial" w:eastAsia="Arial" w:hAnsi="Arial"/>
          <w:sz w:val="18"/>
          <w:szCs w:val="18"/>
          <w:color w:val="auto"/>
        </w:rPr>
        <w:t>. A Participant entitled to payment of an Award hereunder shall rely solely upon the unsecured promise of the Company, as set forth herein, for the payment thereof, and nothing herein contained shall be construed to give to or vest in a Participant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187" w:lineRule="exact"/>
        <w:rPr>
          <w:rFonts w:ascii="Arial" w:cs="Arial" w:eastAsia="Arial" w:hAnsi="Arial"/>
          <w:sz w:val="18"/>
          <w:szCs w:val="18"/>
          <w:color w:val="auto"/>
        </w:rPr>
      </w:pPr>
    </w:p>
    <w:p>
      <w:pPr>
        <w:jc w:val="both"/>
        <w:ind w:firstLine="656"/>
        <w:spacing w:after="0" w:line="296" w:lineRule="auto"/>
        <w:tabs>
          <w:tab w:leader="none" w:pos="930"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Non-Assignment of Awards</w:t>
      </w:r>
      <w:r>
        <w:rPr>
          <w:rFonts w:ascii="Arial" w:cs="Arial" w:eastAsia="Arial" w:hAnsi="Arial"/>
          <w:sz w:val="16"/>
          <w:szCs w:val="16"/>
          <w:color w:val="auto"/>
        </w:rPr>
        <w:t>. No amount potentially payable under this Plan nor any right or benefit under this Plan shall be subject to anticipation, alienation, sale, assignment, pledge, encumbrance, garnishment, execution or levy of any kind or charge before the date on which payment is made, and any attempt to anticipate, alienate, sell, assign, pledge, encumber and to the extent permitted by applicable law, charge, garnish, execute upon or levy upon the same shall be void and shall not be recognized or given effect by the Company. Except as expressly provided by the Committee, the rights and benefits under the Plan shall not be transferable or assignable other than by will or the laws of descent and distribution.</w:t>
      </w:r>
    </w:p>
    <w:p>
      <w:pPr>
        <w:spacing w:after="0" w:line="161" w:lineRule="exact"/>
        <w:rPr>
          <w:rFonts w:ascii="Arial" w:cs="Arial" w:eastAsia="Arial" w:hAnsi="Arial"/>
          <w:sz w:val="16"/>
          <w:szCs w:val="16"/>
          <w:color w:val="auto"/>
        </w:rPr>
      </w:pPr>
    </w:p>
    <w:p>
      <w:pPr>
        <w:jc w:val="both"/>
        <w:ind w:firstLine="656"/>
        <w:spacing w:after="0" w:line="259" w:lineRule="auto"/>
        <w:tabs>
          <w:tab w:leader="none" w:pos="892"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Other Company Plans</w:t>
      </w:r>
      <w:r>
        <w:rPr>
          <w:rFonts w:ascii="Arial" w:cs="Arial" w:eastAsia="Arial" w:hAnsi="Arial"/>
          <w:sz w:val="18"/>
          <w:szCs w:val="18"/>
          <w:color w:val="auto"/>
        </w:rPr>
        <w:t>. It is agreed and understood that any benefits under this Plan are in addition to any and all benefits to which a Participant may otherwise be entitled under any other contract, arrangement, or voluntary pension, profit sharing or other compensation plan of the Company, whether funded or unfunded, and that this Plan shall not affect or impair the rights or obligations of the Company or a Participant under any other such contract, arrangement, or voluntary pension, profit sharing or other compensation plan.</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03"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06"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Continued Employment</w:t>
      </w:r>
      <w:r>
        <w:rPr>
          <w:rFonts w:ascii="Arial" w:cs="Arial" w:eastAsia="Arial" w:hAnsi="Arial"/>
          <w:sz w:val="18"/>
          <w:szCs w:val="18"/>
          <w:color w:val="auto"/>
        </w:rPr>
        <w:t>. Neither the establishment of the Plan, any provisions of the Plan, nor any action of the Committee shall be held or construed to confer upon any Participant the right to a continuation of employment by the Company. The Company reserves the right to dismiss any employee (including a Participant), or otherwise deal with any employee (including a Participant) to the same extent as though the Plan had not been adopted.</w:t>
      </w:r>
    </w:p>
    <w:p>
      <w:pPr>
        <w:spacing w:after="0" w:line="186" w:lineRule="exact"/>
        <w:rPr>
          <w:rFonts w:ascii="Arial" w:cs="Arial" w:eastAsia="Arial" w:hAnsi="Arial"/>
          <w:sz w:val="18"/>
          <w:szCs w:val="18"/>
          <w:color w:val="auto"/>
        </w:rPr>
      </w:pPr>
    </w:p>
    <w:p>
      <w:pPr>
        <w:jc w:val="both"/>
        <w:ind w:firstLine="656"/>
        <w:spacing w:after="0" w:line="259" w:lineRule="auto"/>
        <w:tabs>
          <w:tab w:leader="none" w:pos="873"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Incapacity</w:t>
      </w:r>
      <w:r>
        <w:rPr>
          <w:rFonts w:ascii="Arial" w:cs="Arial" w:eastAsia="Arial" w:hAnsi="Arial"/>
          <w:sz w:val="18"/>
          <w:szCs w:val="18"/>
          <w:color w:val="auto"/>
        </w:rPr>
        <w:t>. If the Committee determines that a Participant is unable to care for his affairs because of illness or accident, any benefit due such Participant under the Plan may be paid to his spouse, child, parent, or any other person deemed by the Committee to have incurred expense for such Participant (including a duly appointed guardian, committee, or other legal representative), and any such payment shall be a complete discharge of the Company’s obligation hereunder.</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16"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Reporting and Withholding</w:t>
      </w:r>
      <w:r>
        <w:rPr>
          <w:rFonts w:ascii="Arial" w:cs="Arial" w:eastAsia="Arial" w:hAnsi="Arial"/>
          <w:sz w:val="18"/>
          <w:szCs w:val="18"/>
          <w:color w:val="auto"/>
        </w:rPr>
        <w:t>. The Company shall have the right to make such provisions as it deems necessary or appropriate to satisfy any obligations it may have to withhold federal, state and/or local income or other taxes incurred by reason of payments pursuant to the Plan or to report any amounts paid or payable under this Plan.</w:t>
      </w:r>
    </w:p>
    <w:p>
      <w:pPr>
        <w:spacing w:after="0" w:line="183" w:lineRule="exact"/>
        <w:rPr>
          <w:rFonts w:ascii="Arial" w:cs="Arial" w:eastAsia="Arial" w:hAnsi="Arial"/>
          <w:sz w:val="18"/>
          <w:szCs w:val="18"/>
          <w:color w:val="auto"/>
        </w:rPr>
      </w:pPr>
    </w:p>
    <w:p>
      <w:pPr>
        <w:ind w:firstLine="656"/>
        <w:spacing w:after="0" w:line="277" w:lineRule="auto"/>
        <w:tabs>
          <w:tab w:leader="none" w:pos="903"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Application of Company Clawback Policy</w:t>
      </w:r>
      <w:r>
        <w:rPr>
          <w:rFonts w:ascii="Arial" w:cs="Arial" w:eastAsia="Arial" w:hAnsi="Arial"/>
          <w:sz w:val="18"/>
          <w:szCs w:val="18"/>
          <w:color w:val="auto"/>
        </w:rPr>
        <w:t>. All Awards under the Plan shall be subject to the provisions of any clawback or recoupment policy approved by the Board and/or Committee, as such policy may be in effect from time to time.</w:t>
      </w:r>
    </w:p>
    <w:p>
      <w:pPr>
        <w:spacing w:after="0" w:line="16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and all determinations made and actions taken pursuant to the Plan shall be governed in accordance with Nevada law.</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EFFECTIVE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is effective for cash bonus awards granted on or after February 28,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154305</wp:posOffset>
            </wp:positionV>
            <wp:extent cx="2802890" cy="659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0289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Employment Agreement</w:t>
      </w:r>
    </w:p>
    <w:p>
      <w:pPr>
        <w:spacing w:after="0" w:line="22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This second amendment (this “Second Amendment”) to the Employment Agreement, dated March 18, 2019, as amended March 10, 2020 (the “Agreement”), is made this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2022, by and between OptimizeRx Corporation, a Nevada corporation (the “Company”), and Stephen Silvestro (the “Executive”).</w:t>
      </w:r>
    </w:p>
    <w:p>
      <w:pPr>
        <w:spacing w:after="0" w:line="200"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u w:val="single" w:color="auto"/>
          <w:color w:val="auto"/>
        </w:rPr>
        <w:t>Base Salary:</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shall be entitled to receive a base salary at a rate of $350,000.00 per annum, which base salary shall be payable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payroll practices of the Company, with such increases (but no decreases) as may be determined by the Compensation Committee of the Board (the “</w:t>
      </w:r>
      <w:r>
        <w:rPr>
          <w:rFonts w:ascii="Arial" w:cs="Arial" w:eastAsia="Arial" w:hAnsi="Arial"/>
          <w:sz w:val="17"/>
          <w:szCs w:val="17"/>
          <w:b w:val="1"/>
          <w:bCs w:val="1"/>
          <w:color w:val="auto"/>
        </w:rPr>
        <w:t>Compensation Committee</w:t>
      </w:r>
      <w:r>
        <w:rPr>
          <w:rFonts w:ascii="Arial" w:cs="Arial" w:eastAsia="Arial" w:hAnsi="Arial"/>
          <w:sz w:val="17"/>
          <w:szCs w:val="17"/>
          <w:color w:val="auto"/>
        </w:rPr>
        <w:t>”) from time to time (as increased from time to time, the “</w:t>
      </w:r>
      <w:r>
        <w:rPr>
          <w:rFonts w:ascii="Arial" w:cs="Arial" w:eastAsia="Arial" w:hAnsi="Arial"/>
          <w:sz w:val="17"/>
          <w:szCs w:val="17"/>
          <w:b w:val="1"/>
          <w:bCs w:val="1"/>
          <w:color w:val="auto"/>
        </w:rPr>
        <w:t>Base Salary</w:t>
      </w:r>
      <w:r>
        <w:rPr>
          <w:rFonts w:ascii="Arial" w:cs="Arial" w:eastAsia="Arial" w:hAnsi="Arial"/>
          <w:sz w:val="17"/>
          <w:szCs w:val="17"/>
          <w:color w:val="auto"/>
        </w:rPr>
        <w:t>”).</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Annual Bonuses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Base Salary, the Executive shall be eligible to receive annual cash bonuses under the Company’s 2022 Cash Bonus</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and/or any other cash incentive plan maintained by the Company (such plan, the “</w:t>
      </w:r>
      <w:r>
        <w:rPr>
          <w:rFonts w:ascii="Arial" w:cs="Arial" w:eastAsia="Arial" w:hAnsi="Arial"/>
          <w:sz w:val="18"/>
          <w:szCs w:val="18"/>
          <w:b w:val="1"/>
          <w:bCs w:val="1"/>
          <w:color w:val="auto"/>
        </w:rPr>
        <w:t>Bonus Plan</w:t>
      </w:r>
      <w:r>
        <w:rPr>
          <w:rFonts w:ascii="Arial" w:cs="Arial" w:eastAsia="Arial" w:hAnsi="Arial"/>
          <w:sz w:val="18"/>
          <w:szCs w:val="18"/>
          <w:color w:val="auto"/>
        </w:rPr>
        <w:t>”), as determined by the Compensation Committee in its sole discretion within the parameters of the Bonus Plan.</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u w:val="single" w:color="auto"/>
          <w:color w:val="auto"/>
        </w:rPr>
        <w:t>Equity</w:t>
      </w:r>
      <w:r>
        <w:rPr>
          <w:rFonts w:ascii="Arial" w:cs="Arial" w:eastAsia="Arial" w:hAnsi="Arial"/>
          <w:sz w:val="17"/>
          <w:szCs w:val="17"/>
          <w:color w:val="auto"/>
        </w:rPr>
        <w:t>: Following the Effective Date, the Executive may receive grants of awards under the Company’s 2021 Equity Incentive Plan and/or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equity-related incentive plan maintained by the Company (such plan, the “</w:t>
      </w:r>
      <w:r>
        <w:rPr>
          <w:rFonts w:ascii="Arial" w:cs="Arial" w:eastAsia="Arial" w:hAnsi="Arial"/>
          <w:sz w:val="17"/>
          <w:szCs w:val="17"/>
          <w:b w:val="1"/>
          <w:bCs w:val="1"/>
          <w:color w:val="auto"/>
        </w:rPr>
        <w:t>Stock Plan</w:t>
      </w:r>
      <w:r>
        <w:rPr>
          <w:rFonts w:ascii="Arial" w:cs="Arial" w:eastAsia="Arial" w:hAnsi="Arial"/>
          <w:sz w:val="17"/>
          <w:szCs w:val="17"/>
          <w:color w:val="auto"/>
        </w:rPr>
        <w:t>”), as determined by the Compensation Committee in its sole discretion within the parameters of the Stock Plan. The treatment of any equity awards held by the Executive under the Stock Plan in connection with the termination of the Executive’s employment shall be determined under the Stock Plan and/or award agreement relating to such award.</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Additional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shall be eligible to receive such other compensation as may from time to time be awarded to him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in its sole discretion.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January 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Except as expressly set forth herein, all other terms of the Agreement remain in full force and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J. Febbo</w:t>
            </w:r>
          </w:p>
        </w:tc>
        <w:tc>
          <w:tcPr>
            <w:tcW w:w="22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22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 February 2022</w:t>
            </w:r>
          </w:p>
        </w:tc>
        <w:tc>
          <w:tcPr>
            <w:tcW w:w="22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Acknowledged and agreed:</w:t>
            </w:r>
          </w:p>
        </w:tc>
        <w:tc>
          <w:tcPr>
            <w:tcW w:w="22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89"/>
              </w:rPr>
              <w:t>Stephen Silvestro</w:t>
            </w:r>
          </w:p>
        </w:tc>
        <w:tc>
          <w:tcPr>
            <w:tcW w:w="22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3920" w:type="dxa"/>
            <w:vAlign w:val="bottom"/>
          </w:tcPr>
          <w:p>
            <w:pPr>
              <w:jc w:val="center"/>
              <w:ind w:right="470"/>
              <w:spacing w:after="0"/>
              <w:rPr>
                <w:sz w:val="20"/>
                <w:szCs w:val="20"/>
                <w:color w:val="auto"/>
              </w:rPr>
            </w:pPr>
            <w:r>
              <w:rPr>
                <w:rFonts w:ascii="Arial" w:cs="Arial" w:eastAsia="Arial" w:hAnsi="Arial"/>
                <w:sz w:val="18"/>
                <w:szCs w:val="18"/>
                <w:color w:val="auto"/>
                <w:w w:val="90"/>
              </w:rPr>
              <w:t>Printed Name</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25"/>
        </w:trPr>
        <w:tc>
          <w:tcPr>
            <w:tcW w:w="580" w:type="dxa"/>
            <w:vAlign w:val="bottom"/>
          </w:tcPr>
          <w:p>
            <w:pPr>
              <w:spacing w:after="0"/>
              <w:rPr>
                <w:sz w:val="24"/>
                <w:szCs w:val="24"/>
                <w:color w:val="auto"/>
              </w:rPr>
            </w:pPr>
          </w:p>
        </w:tc>
        <w:tc>
          <w:tcPr>
            <w:tcW w:w="3920" w:type="dxa"/>
            <w:vAlign w:val="bottom"/>
          </w:tcPr>
          <w:p>
            <w:pPr>
              <w:ind w:left="1060"/>
              <w:spacing w:after="0"/>
              <w:rPr>
                <w:sz w:val="20"/>
                <w:szCs w:val="20"/>
                <w:color w:val="auto"/>
              </w:rPr>
            </w:pPr>
            <w:r>
              <w:rPr>
                <w:rFonts w:ascii="Arial" w:cs="Arial" w:eastAsia="Arial" w:hAnsi="Arial"/>
                <w:sz w:val="18"/>
                <w:szCs w:val="18"/>
                <w:color w:val="auto"/>
              </w:rPr>
              <w:t>/s/ Stephen Silvestro</w:t>
            </w:r>
          </w:p>
        </w:tc>
        <w:tc>
          <w:tcPr>
            <w:tcW w:w="6740" w:type="dxa"/>
            <w:vAlign w:val="bottom"/>
            <w:gridSpan w:val="2"/>
          </w:tcPr>
          <w:p>
            <w:pPr>
              <w:jc w:val="right"/>
              <w:ind w:right="1750"/>
              <w:spacing w:after="0"/>
              <w:rPr>
                <w:sz w:val="20"/>
                <w:szCs w:val="20"/>
                <w:color w:val="auto"/>
              </w:rPr>
            </w:pPr>
            <w:r>
              <w:rPr>
                <w:rFonts w:ascii="Arial" w:cs="Arial" w:eastAsia="Arial" w:hAnsi="Arial"/>
                <w:sz w:val="18"/>
                <w:szCs w:val="18"/>
                <w:color w:val="auto"/>
              </w:rPr>
              <w:t>02/28/2022</w:t>
            </w:r>
          </w:p>
        </w:tc>
      </w:tr>
      <w:tr>
        <w:trPr>
          <w:trHeight w:val="230"/>
        </w:trPr>
        <w:tc>
          <w:tcPr>
            <w:tcW w:w="58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color w:val="auto"/>
                <w:w w:val="88"/>
              </w:rPr>
              <w:t>Signature</w:t>
            </w:r>
          </w:p>
        </w:tc>
        <w:tc>
          <w:tcPr>
            <w:tcW w:w="226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bl>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154305</wp:posOffset>
            </wp:positionV>
            <wp:extent cx="2802890" cy="659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0289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Employment Agreement</w:t>
      </w:r>
    </w:p>
    <w:p>
      <w:pPr>
        <w:spacing w:after="0" w:line="233" w:lineRule="exact"/>
        <w:rPr>
          <w:sz w:val="20"/>
          <w:szCs w:val="20"/>
          <w:color w:val="auto"/>
        </w:rPr>
      </w:pPr>
    </w:p>
    <w:p>
      <w:pPr>
        <w:jc w:val="both"/>
        <w:ind w:right="20"/>
        <w:spacing w:after="0" w:line="214" w:lineRule="auto"/>
        <w:rPr>
          <w:sz w:val="20"/>
          <w:szCs w:val="20"/>
          <w:color w:val="auto"/>
        </w:rPr>
      </w:pPr>
      <w:r>
        <w:rPr>
          <w:rFonts w:ascii="Arial" w:cs="Arial" w:eastAsia="Arial" w:hAnsi="Arial"/>
          <w:sz w:val="18"/>
          <w:szCs w:val="18"/>
          <w:color w:val="auto"/>
        </w:rPr>
        <w:t>This first amendment (this “Amendment”) to the Employment Agreement, dated January 29, 2021, is made this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2022, by and between OptimizeRx Corporation, a Nevada corporation (the “Company”), and Marion Odence-Ford (the “Executive”).</w:t>
      </w:r>
    </w:p>
    <w:p>
      <w:pPr>
        <w:spacing w:after="0" w:line="19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u w:val="single" w:color="auto"/>
          <w:color w:val="auto"/>
        </w:rPr>
        <w:t>Base Salary:</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shall be entitled to receive a base salary at a rate of $296,000.00 per annum, which base salary shall be payable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payroll practices of the Company, with such increases (but no decreases) as may be determined by the Compensation Committee of the Board (the “</w:t>
      </w:r>
      <w:r>
        <w:rPr>
          <w:rFonts w:ascii="Arial" w:cs="Arial" w:eastAsia="Arial" w:hAnsi="Arial"/>
          <w:sz w:val="17"/>
          <w:szCs w:val="17"/>
          <w:b w:val="1"/>
          <w:bCs w:val="1"/>
          <w:color w:val="auto"/>
        </w:rPr>
        <w:t>Compensation Committee</w:t>
      </w:r>
      <w:r>
        <w:rPr>
          <w:rFonts w:ascii="Arial" w:cs="Arial" w:eastAsia="Arial" w:hAnsi="Arial"/>
          <w:sz w:val="17"/>
          <w:szCs w:val="17"/>
          <w:color w:val="auto"/>
        </w:rPr>
        <w:t>”) from time to time (as increased from time to time, the “</w:t>
      </w:r>
      <w:r>
        <w:rPr>
          <w:rFonts w:ascii="Arial" w:cs="Arial" w:eastAsia="Arial" w:hAnsi="Arial"/>
          <w:sz w:val="17"/>
          <w:szCs w:val="17"/>
          <w:b w:val="1"/>
          <w:bCs w:val="1"/>
          <w:color w:val="auto"/>
        </w:rPr>
        <w:t>Base Salary</w:t>
      </w:r>
      <w:r>
        <w:rPr>
          <w:rFonts w:ascii="Arial" w:cs="Arial" w:eastAsia="Arial" w:hAnsi="Arial"/>
          <w:sz w:val="17"/>
          <w:szCs w:val="17"/>
          <w:color w:val="auto"/>
        </w:rPr>
        <w:t>”).</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Annual Bonuses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Base Salary, the Executive shall be eligible to receive annual cash bonuses under the Company’s 2022 Cash Bonus</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and/or any other cash incentive plan maintained by the Company (such plan, the “</w:t>
      </w:r>
      <w:r>
        <w:rPr>
          <w:rFonts w:ascii="Arial" w:cs="Arial" w:eastAsia="Arial" w:hAnsi="Arial"/>
          <w:sz w:val="18"/>
          <w:szCs w:val="18"/>
          <w:b w:val="1"/>
          <w:bCs w:val="1"/>
          <w:color w:val="auto"/>
        </w:rPr>
        <w:t>Bonus Plan</w:t>
      </w:r>
      <w:r>
        <w:rPr>
          <w:rFonts w:ascii="Arial" w:cs="Arial" w:eastAsia="Arial" w:hAnsi="Arial"/>
          <w:sz w:val="18"/>
          <w:szCs w:val="18"/>
          <w:color w:val="auto"/>
        </w:rPr>
        <w:t>”), as determined by the Compensation Committee in its sole discretion within the parameters of the Bonus Plan.</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u w:val="single" w:color="auto"/>
          <w:color w:val="auto"/>
        </w:rPr>
        <w:t>Equity</w:t>
      </w:r>
      <w:r>
        <w:rPr>
          <w:rFonts w:ascii="Arial" w:cs="Arial" w:eastAsia="Arial" w:hAnsi="Arial"/>
          <w:sz w:val="17"/>
          <w:szCs w:val="17"/>
          <w:color w:val="auto"/>
        </w:rPr>
        <w:t>: Following the Effective Date, the Executive may receive grants of awards under the Company’s 2021 Equity Incentive Plan and/or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equity-related incentive plan maintained by the Company (such plan, the “</w:t>
      </w:r>
      <w:r>
        <w:rPr>
          <w:rFonts w:ascii="Arial" w:cs="Arial" w:eastAsia="Arial" w:hAnsi="Arial"/>
          <w:sz w:val="17"/>
          <w:szCs w:val="17"/>
          <w:b w:val="1"/>
          <w:bCs w:val="1"/>
          <w:color w:val="auto"/>
        </w:rPr>
        <w:t>Stock Plan</w:t>
      </w:r>
      <w:r>
        <w:rPr>
          <w:rFonts w:ascii="Arial" w:cs="Arial" w:eastAsia="Arial" w:hAnsi="Arial"/>
          <w:sz w:val="17"/>
          <w:szCs w:val="17"/>
          <w:color w:val="auto"/>
        </w:rPr>
        <w:t>”), as determined by the Compensation Committee in its sole discretion within the parameters of the Stock Plan. The treatment of any equity awards held by the Executive under the Stock Plan in connection with the termination of the Executive’s employment shall be determined under the Stock Plan and/or award agreement relating to such award.</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Additional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shall be eligible to receive such other compensation as may from time to time be awarded to her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in its sole discretion.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January 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Except as expressly set forth herein, all other terms of the Agreement remain in full force and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J. Febbo</w:t>
            </w:r>
          </w:p>
        </w:tc>
        <w:tc>
          <w:tcPr>
            <w:tcW w:w="22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22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 February 2022</w:t>
            </w:r>
          </w:p>
        </w:tc>
        <w:tc>
          <w:tcPr>
            <w:tcW w:w="22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Acknowledged and agreed:</w:t>
            </w:r>
          </w:p>
        </w:tc>
        <w:tc>
          <w:tcPr>
            <w:tcW w:w="22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91"/>
              </w:rPr>
              <w:t>Marion Odence-Ford</w:t>
            </w:r>
          </w:p>
        </w:tc>
        <w:tc>
          <w:tcPr>
            <w:tcW w:w="22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3920" w:type="dxa"/>
            <w:vAlign w:val="bottom"/>
          </w:tcPr>
          <w:p>
            <w:pPr>
              <w:jc w:val="center"/>
              <w:ind w:right="470"/>
              <w:spacing w:after="0"/>
              <w:rPr>
                <w:sz w:val="20"/>
                <w:szCs w:val="20"/>
                <w:color w:val="auto"/>
              </w:rPr>
            </w:pPr>
            <w:r>
              <w:rPr>
                <w:rFonts w:ascii="Arial" w:cs="Arial" w:eastAsia="Arial" w:hAnsi="Arial"/>
                <w:sz w:val="18"/>
                <w:szCs w:val="18"/>
                <w:color w:val="auto"/>
                <w:w w:val="90"/>
              </w:rPr>
              <w:t>Printed Name</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25"/>
        </w:trPr>
        <w:tc>
          <w:tcPr>
            <w:tcW w:w="580" w:type="dxa"/>
            <w:vAlign w:val="bottom"/>
          </w:tcPr>
          <w:p>
            <w:pPr>
              <w:spacing w:after="0"/>
              <w:rPr>
                <w:sz w:val="24"/>
                <w:szCs w:val="24"/>
                <w:color w:val="auto"/>
              </w:rPr>
            </w:pPr>
          </w:p>
        </w:tc>
        <w:tc>
          <w:tcPr>
            <w:tcW w:w="3920" w:type="dxa"/>
            <w:vAlign w:val="bottom"/>
          </w:tcPr>
          <w:p>
            <w:pPr>
              <w:jc w:val="center"/>
              <w:ind w:right="490"/>
              <w:spacing w:after="0"/>
              <w:rPr>
                <w:sz w:val="20"/>
                <w:szCs w:val="20"/>
                <w:color w:val="auto"/>
              </w:rPr>
            </w:pPr>
            <w:r>
              <w:rPr>
                <w:rFonts w:ascii="Arial" w:cs="Arial" w:eastAsia="Arial" w:hAnsi="Arial"/>
                <w:sz w:val="18"/>
                <w:szCs w:val="18"/>
                <w:color w:val="auto"/>
                <w:w w:val="91"/>
              </w:rPr>
              <w:t>/s/ Marion Odence-Ford</w:t>
            </w:r>
          </w:p>
        </w:tc>
        <w:tc>
          <w:tcPr>
            <w:tcW w:w="6740" w:type="dxa"/>
            <w:vAlign w:val="bottom"/>
            <w:gridSpan w:val="2"/>
          </w:tcPr>
          <w:p>
            <w:pPr>
              <w:jc w:val="right"/>
              <w:ind w:right="1790"/>
              <w:spacing w:after="0"/>
              <w:rPr>
                <w:sz w:val="20"/>
                <w:szCs w:val="20"/>
                <w:color w:val="auto"/>
              </w:rPr>
            </w:pPr>
            <w:r>
              <w:rPr>
                <w:rFonts w:ascii="Arial" w:cs="Arial" w:eastAsia="Arial" w:hAnsi="Arial"/>
                <w:sz w:val="18"/>
                <w:szCs w:val="18"/>
                <w:color w:val="auto"/>
              </w:rPr>
              <w:t>2/28/2022</w:t>
            </w:r>
          </w:p>
        </w:tc>
      </w:tr>
      <w:tr>
        <w:trPr>
          <w:trHeight w:val="230"/>
        </w:trPr>
        <w:tc>
          <w:tcPr>
            <w:tcW w:w="58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color w:val="auto"/>
                <w:w w:val="88"/>
              </w:rPr>
              <w:t>Signature</w:t>
            </w:r>
          </w:p>
        </w:tc>
        <w:tc>
          <w:tcPr>
            <w:tcW w:w="226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lowerLetter"/>
      <w:start w:val="1"/>
    </w:lvl>
    <w:lvl w:ilvl="1">
      <w:lvlJc w:val="left"/>
      <w:lvlText w:val="(%2)"/>
      <w:numFmt w:val="lowerRoman"/>
      <w:start w:val="1"/>
    </w:lvl>
  </w:abstractNum>
  <w:abstractNum w:abstractNumId="4">
    <w:nsid w:val="1F16E9E8"/>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5">
    <w:nsid w:val="1190CDE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
    <w:nsid w:val="66EF438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
    <w:nsid w:val="140E0F7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
    <w:nsid w:val="3352255A"/>
    <w:multiLevelType w:val="hybridMultilevel"/>
    <w:lvl w:ilvl="0">
      <w:lvlJc w:val="left"/>
      <w:lvlText w:val="%1."/>
      <w:numFmt w:val="decimal"/>
      <w:start w:val="5"/>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1">
    <w:nsid w:val="7FDCC233"/>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7"/>
    </w:lvl>
  </w:abstractNum>
  <w:abstractNum w:abstractNumId="12">
    <w:nsid w:val="1BEFD79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3">
    <w:nsid w:val="41A7C4C9"/>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1"/>
    </w:lvl>
  </w:abstractNum>
  <w:abstractNum w:abstractNumId="14">
    <w:nsid w:val="6B68079A"/>
    <w:multiLevelType w:val="hybridMultilevel"/>
    <w:lvl w:ilvl="0">
      <w:lvlJc w:val="left"/>
      <w:lvlText w:val="%1."/>
      <w:numFmt w:val="decimal"/>
      <w:start w:val="6"/>
    </w:lvl>
  </w:abstractNum>
  <w:abstractNum w:abstractNumId="15">
    <w:nsid w:val="4E6AFB66"/>
    <w:multiLevelType w:val="hybridMultilevel"/>
    <w:lvl w:ilvl="0">
      <w:lvlJc w:val="left"/>
      <w:lvlText w:val="%1."/>
      <w:numFmt w:val="decimal"/>
      <w:start w:val="7"/>
    </w:lvl>
  </w:abstractNum>
  <w:abstractNum w:abstractNumId="16">
    <w:nsid w:val="25E45D32"/>
    <w:multiLevelType w:val="hybridMultilevel"/>
    <w:lvl w:ilvl="0">
      <w:lvlJc w:val="left"/>
      <w:lvlText w:val="%1."/>
      <w:numFmt w:val="decimal"/>
      <w:start w:val="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2022-03-04T15:51:48Z</dcterms:created>
  <dcterms:modified xsi:type="dcterms:W3CDTF">2022-03-04T15:51:48Z</dcterms:modified>
</cp:coreProperties>
</file>