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OPTIMIZERX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68401U105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Elias N. Matsakis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Holland &amp; Knight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150 N. Riverside Plaza, Suite 2700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Chicago, IL 60606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(312) 263-3600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22,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 (f)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Rule 13d-7 for other parties to whom copies are being sent.</w:t>
      </w:r>
    </w:p>
    <w:p>
      <w:pPr>
        <w:spacing w:after="0" w:line="170"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516255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68401U105</w:t>
      </w:r>
    </w:p>
    <w:p>
      <w:pPr>
        <w:spacing w:after="0" w:line="200" w:lineRule="exact"/>
        <w:rPr>
          <w:sz w:val="20"/>
          <w:szCs w:val="20"/>
          <w:color w:val="auto"/>
        </w:rPr>
      </w:pPr>
    </w:p>
    <w:p>
      <w:pPr>
        <w:spacing w:after="0" w:line="255" w:lineRule="exact"/>
        <w:rPr>
          <w:sz w:val="20"/>
          <w:szCs w:val="20"/>
          <w:color w:val="auto"/>
        </w:rPr>
      </w:pPr>
    </w:p>
    <w:p>
      <w:pPr>
        <w:ind w:left="720" w:hanging="465"/>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9347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875" cy="5934710"/>
                    </a:xfrm>
                    <a:prstGeom prst="rect">
                      <a:avLst/>
                    </a:prstGeom>
                    <a:noFill/>
                  </pic:spPr>
                </pic:pic>
              </a:graphicData>
            </a:graphic>
          </wp:anchor>
        </w:drawing>
      </w:r>
    </w:p>
    <w:p>
      <w:pPr>
        <w:spacing w:after="0" w:line="20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Individual Retirement Accounts for the benefit of Ronald L. Chez, the Chez Family Foundation and Ronald L. Chez Individually</w:t>
      </w:r>
    </w:p>
    <w:p>
      <w:pPr>
        <w:spacing w:after="0" w:line="50" w:lineRule="exact"/>
        <w:rPr>
          <w:sz w:val="20"/>
          <w:szCs w:val="20"/>
          <w:color w:val="auto"/>
        </w:rPr>
      </w:pPr>
    </w:p>
    <w:p>
      <w:pPr>
        <w:ind w:left="720" w:hanging="465"/>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720"/>
        <w:spacing w:after="0" w:line="207" w:lineRule="exact"/>
        <w:tabs>
          <w:tab w:leader="none" w:pos="15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29" w:lineRule="exact"/>
        <w:rPr>
          <w:sz w:val="20"/>
          <w:szCs w:val="20"/>
          <w:color w:val="auto"/>
        </w:rPr>
      </w:pPr>
    </w:p>
    <w:p>
      <w:pPr>
        <w:ind w:left="720" w:hanging="465"/>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720" w:hanging="465"/>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15"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6720" w:type="dxa"/>
            <w:vAlign w:val="bottom"/>
          </w:tcPr>
          <w:p>
            <w:pPr>
              <w:ind w:left="380"/>
              <w:spacing w:after="0"/>
              <w:rPr>
                <w:sz w:val="20"/>
                <w:szCs w:val="20"/>
                <w:color w:val="auto"/>
              </w:rPr>
            </w:pPr>
            <w:r>
              <w:rPr>
                <w:rFonts w:ascii="Arial" w:cs="Arial" w:eastAsia="Arial" w:hAnsi="Arial"/>
                <w:sz w:val="18"/>
                <w:szCs w:val="18"/>
                <w:color w:val="auto"/>
              </w:rPr>
              <w:t>PF</w:t>
            </w:r>
          </w:p>
        </w:tc>
      </w:tr>
      <w:tr>
        <w:trPr>
          <w:trHeight w:val="283"/>
        </w:trPr>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5</w:t>
            </w:r>
          </w:p>
        </w:tc>
        <w:tc>
          <w:tcPr>
            <w:tcW w:w="6720" w:type="dxa"/>
            <w:vAlign w:val="bottom"/>
          </w:tcPr>
          <w:p>
            <w:pPr>
              <w:ind w:left="200"/>
              <w:spacing w:after="0" w:line="207" w:lineRule="exact"/>
              <w:rPr>
                <w:sz w:val="20"/>
                <w:szCs w:val="20"/>
                <w:color w:val="auto"/>
              </w:rPr>
            </w:pPr>
            <w:r>
              <w:rPr>
                <w:rFonts w:ascii="Arial" w:cs="Arial" w:eastAsia="Arial" w:hAnsi="Arial"/>
                <w:sz w:val="18"/>
                <w:szCs w:val="18"/>
                <w:color w:val="auto"/>
                <w:w w:val="91"/>
              </w:rPr>
              <w:t xml:space="preserve">Check box if disclosure of legal proceedings is required pursuant to Items 2(d) or 2(e)  </w:t>
            </w:r>
            <w:r>
              <w:rPr>
                <w:rFonts w:ascii="MS PGothic" w:cs="MS PGothic" w:eastAsia="MS PGothic" w:hAnsi="MS PGothic"/>
                <w:sz w:val="18"/>
                <w:szCs w:val="18"/>
                <w:color w:val="auto"/>
                <w:w w:val="91"/>
              </w:rPr>
              <w:t>☐</w:t>
            </w:r>
          </w:p>
        </w:tc>
      </w:tr>
    </w:tbl>
    <w:p>
      <w:pPr>
        <w:spacing w:after="0" w:line="200" w:lineRule="exact"/>
        <w:rPr>
          <w:sz w:val="20"/>
          <w:szCs w:val="20"/>
          <w:color w:val="auto"/>
        </w:rPr>
      </w:pPr>
    </w:p>
    <w:p>
      <w:pPr>
        <w:spacing w:after="0" w:line="211" w:lineRule="exact"/>
        <w:rPr>
          <w:sz w:val="20"/>
          <w:szCs w:val="20"/>
          <w:color w:val="auto"/>
        </w:rPr>
      </w:pPr>
    </w:p>
    <w:p>
      <w:pPr>
        <w:ind w:left="720" w:hanging="465"/>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United States of America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Borders>
              <w:top w:val="single" w:sz="8" w:color="auto"/>
            </w:tcBorders>
          </w:tcPr>
          <w:p>
            <w:pPr>
              <w:spacing w:after="0"/>
              <w:rPr>
                <w:sz w:val="20"/>
                <w:szCs w:val="20"/>
                <w:color w:val="auto"/>
              </w:rPr>
            </w:pPr>
          </w:p>
        </w:tc>
        <w:tc>
          <w:tcPr>
            <w:tcW w:w="1920" w:type="dxa"/>
            <w:vAlign w:val="bottom"/>
            <w:tcBorders>
              <w:top w:val="single" w:sz="8" w:color="auto"/>
              <w:right w:val="single" w:sz="8" w:color="auto"/>
            </w:tcBorders>
            <w:vMerge w:val="restart"/>
          </w:tcPr>
          <w:p>
            <w:pPr>
              <w:jc w:val="center"/>
              <w:ind w:right="290"/>
              <w:spacing w:after="0"/>
              <w:rPr>
                <w:sz w:val="20"/>
                <w:szCs w:val="20"/>
                <w:color w:val="auto"/>
              </w:rPr>
            </w:pPr>
            <w:r>
              <w:rPr>
                <w:rFonts w:ascii="Arial" w:cs="Arial" w:eastAsia="Arial" w:hAnsi="Arial"/>
                <w:sz w:val="18"/>
                <w:szCs w:val="18"/>
                <w:color w:val="auto"/>
                <w:w w:val="92"/>
              </w:rPr>
              <w:t>Number of</w:t>
            </w:r>
          </w:p>
        </w:tc>
        <w:tc>
          <w:tcPr>
            <w:tcW w:w="680" w:type="dxa"/>
            <w:vAlign w:val="bottom"/>
            <w:tcBorders>
              <w:top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7</w:t>
            </w:r>
          </w:p>
        </w:tc>
        <w:tc>
          <w:tcPr>
            <w:tcW w:w="83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1920" w:type="dxa"/>
            <w:vAlign w:val="bottom"/>
            <w:tcBorders>
              <w:right w:val="single" w:sz="8" w:color="auto"/>
            </w:tcBorders>
            <w:vMerge w:val="continue"/>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8320" w:type="dxa"/>
            <w:vAlign w:val="bottom"/>
            <w:vMerge w:val="restart"/>
          </w:tcPr>
          <w:p>
            <w:pPr>
              <w:ind w:left="260"/>
              <w:spacing w:after="0"/>
              <w:rPr>
                <w:sz w:val="20"/>
                <w:szCs w:val="20"/>
                <w:color w:val="auto"/>
              </w:rPr>
            </w:pPr>
            <w:r>
              <w:rPr>
                <w:rFonts w:ascii="Arial" w:cs="Arial" w:eastAsia="Arial" w:hAnsi="Arial"/>
                <w:sz w:val="18"/>
                <w:szCs w:val="18"/>
                <w:color w:val="auto"/>
              </w:rPr>
              <w:t>1,122,918</w:t>
            </w:r>
          </w:p>
        </w:tc>
        <w:tc>
          <w:tcPr>
            <w:tcW w:w="0" w:type="dxa"/>
            <w:vAlign w:val="bottom"/>
          </w:tcPr>
          <w:p>
            <w:pPr>
              <w:spacing w:after="0"/>
              <w:rPr>
                <w:sz w:val="1"/>
                <w:szCs w:val="1"/>
                <w:color w:val="auto"/>
              </w:rPr>
            </w:pPr>
          </w:p>
        </w:tc>
      </w:tr>
      <w:tr>
        <w:trPr>
          <w:trHeight w:val="217"/>
        </w:trPr>
        <w:tc>
          <w:tcPr>
            <w:tcW w:w="520" w:type="dxa"/>
            <w:vAlign w:val="bottom"/>
          </w:tcPr>
          <w:p>
            <w:pPr>
              <w:spacing w:after="0"/>
              <w:rPr>
                <w:sz w:val="18"/>
                <w:szCs w:val="18"/>
                <w:color w:val="auto"/>
              </w:rPr>
            </w:pPr>
          </w:p>
        </w:tc>
        <w:tc>
          <w:tcPr>
            <w:tcW w:w="192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81"/>
              </w:rPr>
              <w:t>shares</w:t>
            </w:r>
          </w:p>
        </w:tc>
        <w:tc>
          <w:tcPr>
            <w:tcW w:w="680" w:type="dxa"/>
            <w:vAlign w:val="bottom"/>
            <w:tcBorders>
              <w:bottom w:val="single" w:sz="8" w:color="auto"/>
              <w:right w:val="single" w:sz="8" w:color="auto"/>
            </w:tcBorders>
          </w:tcPr>
          <w:p>
            <w:pPr>
              <w:spacing w:after="0"/>
              <w:rPr>
                <w:sz w:val="18"/>
                <w:szCs w:val="18"/>
                <w:color w:val="auto"/>
              </w:rPr>
            </w:pPr>
          </w:p>
        </w:tc>
        <w:tc>
          <w:tcPr>
            <w:tcW w:w="8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1920" w:type="dxa"/>
            <w:vAlign w:val="bottom"/>
            <w:tcBorders>
              <w:right w:val="single" w:sz="8" w:color="auto"/>
            </w:tcBorders>
          </w:tcPr>
          <w:p>
            <w:pPr>
              <w:jc w:val="center"/>
              <w:ind w:right="270"/>
              <w:spacing w:after="0" w:line="195" w:lineRule="exact"/>
              <w:rPr>
                <w:sz w:val="20"/>
                <w:szCs w:val="20"/>
                <w:color w:val="auto"/>
              </w:rPr>
            </w:pPr>
            <w:r>
              <w:rPr>
                <w:rFonts w:ascii="Arial" w:cs="Arial" w:eastAsia="Arial" w:hAnsi="Arial"/>
                <w:sz w:val="18"/>
                <w:szCs w:val="18"/>
                <w:color w:val="auto"/>
                <w:w w:val="94"/>
              </w:rPr>
              <w:t>beneficially</w:t>
            </w:r>
          </w:p>
        </w:tc>
        <w:tc>
          <w:tcPr>
            <w:tcW w:w="680" w:type="dxa"/>
            <w:vAlign w:val="bottom"/>
            <w:tcBorders>
              <w:right w:val="single" w:sz="8" w:color="auto"/>
            </w:tcBorders>
          </w:tcPr>
          <w:p>
            <w:pPr>
              <w:jc w:val="right"/>
              <w:ind w:right="310"/>
              <w:spacing w:after="0" w:line="195" w:lineRule="exact"/>
              <w:rPr>
                <w:sz w:val="20"/>
                <w:szCs w:val="20"/>
                <w:color w:val="auto"/>
              </w:rPr>
            </w:pPr>
            <w:r>
              <w:rPr>
                <w:rFonts w:ascii="Arial" w:cs="Arial" w:eastAsia="Arial" w:hAnsi="Arial"/>
                <w:sz w:val="18"/>
                <w:szCs w:val="18"/>
                <w:color w:val="auto"/>
              </w:rPr>
              <w:t>8</w:t>
            </w:r>
          </w:p>
        </w:tc>
        <w:tc>
          <w:tcPr>
            <w:tcW w:w="8320" w:type="dxa"/>
            <w:vAlign w:val="bottom"/>
          </w:tcPr>
          <w:p>
            <w:pPr>
              <w:ind w:left="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920" w:type="dxa"/>
            <w:vAlign w:val="bottom"/>
            <w:tcBorders>
              <w:right w:val="single" w:sz="8" w:color="auto"/>
            </w:tcBorders>
          </w:tcPr>
          <w:p>
            <w:pPr>
              <w:jc w:val="center"/>
              <w:ind w:right="290"/>
              <w:spacing w:after="0"/>
              <w:rPr>
                <w:sz w:val="20"/>
                <w:szCs w:val="20"/>
                <w:color w:val="auto"/>
              </w:rPr>
            </w:pPr>
            <w:r>
              <w:rPr>
                <w:rFonts w:ascii="Arial" w:cs="Arial" w:eastAsia="Arial" w:hAnsi="Arial"/>
                <w:sz w:val="18"/>
                <w:szCs w:val="18"/>
                <w:color w:val="auto"/>
                <w:w w:val="90"/>
              </w:rPr>
              <w:t>owned by</w:t>
            </w:r>
          </w:p>
        </w:tc>
        <w:tc>
          <w:tcPr>
            <w:tcW w:w="680" w:type="dxa"/>
            <w:vAlign w:val="bottom"/>
            <w:tcBorders>
              <w:right w:val="single" w:sz="8" w:color="auto"/>
            </w:tcBorders>
          </w:tcPr>
          <w:p>
            <w:pPr>
              <w:spacing w:after="0"/>
              <w:rPr>
                <w:sz w:val="18"/>
                <w:szCs w:val="18"/>
                <w:color w:val="auto"/>
              </w:rPr>
            </w:pPr>
          </w:p>
        </w:tc>
        <w:tc>
          <w:tcPr>
            <w:tcW w:w="8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92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81"/>
              </w:rPr>
              <w:t>each</w:t>
            </w:r>
          </w:p>
        </w:tc>
        <w:tc>
          <w:tcPr>
            <w:tcW w:w="680" w:type="dxa"/>
            <w:vAlign w:val="bottom"/>
            <w:tcBorders>
              <w:bottom w:val="single" w:sz="8" w:color="auto"/>
              <w:right w:val="single" w:sz="8" w:color="auto"/>
            </w:tcBorders>
          </w:tcPr>
          <w:p>
            <w:pPr>
              <w:spacing w:after="0"/>
              <w:rPr>
                <w:sz w:val="20"/>
                <w:szCs w:val="20"/>
                <w:color w:val="auto"/>
              </w:rPr>
            </w:pPr>
          </w:p>
        </w:tc>
        <w:tc>
          <w:tcPr>
            <w:tcW w:w="83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920" w:type="dxa"/>
            <w:vAlign w:val="bottom"/>
            <w:tcBorders>
              <w:right w:val="single" w:sz="8" w:color="auto"/>
            </w:tcBorders>
          </w:tcPr>
          <w:p>
            <w:pPr>
              <w:jc w:val="center"/>
              <w:ind w:right="290"/>
              <w:spacing w:after="0" w:line="182" w:lineRule="exact"/>
              <w:rPr>
                <w:sz w:val="20"/>
                <w:szCs w:val="20"/>
                <w:color w:val="auto"/>
              </w:rPr>
            </w:pPr>
            <w:r>
              <w:rPr>
                <w:rFonts w:ascii="Arial" w:cs="Arial" w:eastAsia="Arial" w:hAnsi="Arial"/>
                <w:sz w:val="18"/>
                <w:szCs w:val="18"/>
                <w:color w:val="auto"/>
                <w:w w:val="92"/>
              </w:rPr>
              <w:t>reporting</w:t>
            </w:r>
          </w:p>
        </w:tc>
        <w:tc>
          <w:tcPr>
            <w:tcW w:w="680" w:type="dxa"/>
            <w:vAlign w:val="bottom"/>
            <w:tcBorders>
              <w:right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rPr>
              <w:t>9</w:t>
            </w:r>
          </w:p>
        </w:tc>
        <w:tc>
          <w:tcPr>
            <w:tcW w:w="832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92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87"/>
              </w:rPr>
              <w:t>person</w:t>
            </w:r>
          </w:p>
        </w:tc>
        <w:tc>
          <w:tcPr>
            <w:tcW w:w="680" w:type="dxa"/>
            <w:vAlign w:val="bottom"/>
            <w:tcBorders>
              <w:right w:val="single" w:sz="8" w:color="auto"/>
            </w:tcBorders>
          </w:tcPr>
          <w:p>
            <w:pPr>
              <w:spacing w:after="0"/>
              <w:rPr>
                <w:sz w:val="18"/>
                <w:szCs w:val="18"/>
                <w:color w:val="auto"/>
              </w:rPr>
            </w:pPr>
          </w:p>
        </w:tc>
        <w:tc>
          <w:tcPr>
            <w:tcW w:w="8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20" w:type="dxa"/>
            <w:vAlign w:val="bottom"/>
          </w:tcPr>
          <w:p>
            <w:pPr>
              <w:spacing w:after="0"/>
              <w:rPr>
                <w:sz w:val="21"/>
                <w:szCs w:val="21"/>
                <w:color w:val="auto"/>
              </w:rPr>
            </w:pPr>
          </w:p>
        </w:tc>
        <w:tc>
          <w:tcPr>
            <w:tcW w:w="192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99"/>
              </w:rPr>
              <w:t>with</w:t>
            </w:r>
          </w:p>
        </w:tc>
        <w:tc>
          <w:tcPr>
            <w:tcW w:w="680" w:type="dxa"/>
            <w:vAlign w:val="bottom"/>
            <w:tcBorders>
              <w:bottom w:val="single" w:sz="8" w:color="auto"/>
              <w:right w:val="single" w:sz="8" w:color="auto"/>
            </w:tcBorders>
          </w:tcPr>
          <w:p>
            <w:pPr>
              <w:spacing w:after="0"/>
              <w:rPr>
                <w:sz w:val="21"/>
                <w:szCs w:val="21"/>
                <w:color w:val="auto"/>
              </w:rPr>
            </w:pPr>
          </w:p>
        </w:tc>
        <w:tc>
          <w:tcPr>
            <w:tcW w:w="83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1,122,918</w:t>
            </w:r>
          </w:p>
        </w:tc>
        <w:tc>
          <w:tcPr>
            <w:tcW w:w="0" w:type="dxa"/>
            <w:vAlign w:val="bottom"/>
          </w:tcPr>
          <w:p>
            <w:pPr>
              <w:spacing w:after="0"/>
              <w:rPr>
                <w:sz w:val="1"/>
                <w:szCs w:val="1"/>
                <w:color w:val="auto"/>
              </w:rPr>
            </w:pPr>
          </w:p>
        </w:tc>
      </w:tr>
      <w:tr>
        <w:trPr>
          <w:trHeight w:val="224"/>
        </w:trPr>
        <w:tc>
          <w:tcPr>
            <w:tcW w:w="520" w:type="dxa"/>
            <w:vAlign w:val="bottom"/>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c>
          <w:tcPr>
            <w:tcW w:w="83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52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3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52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2600" w:type="dxa"/>
            <w:vAlign w:val="bottom"/>
            <w:gridSpan w:val="2"/>
          </w:tcPr>
          <w:p>
            <w:pPr>
              <w:ind w:left="200"/>
              <w:spacing w:after="0"/>
              <w:rPr>
                <w:sz w:val="20"/>
                <w:szCs w:val="20"/>
                <w:color w:val="auto"/>
              </w:rPr>
            </w:pPr>
            <w:r>
              <w:rPr>
                <w:rFonts w:ascii="Arial" w:cs="Arial" w:eastAsia="Arial" w:hAnsi="Arial"/>
                <w:sz w:val="18"/>
                <w:szCs w:val="18"/>
                <w:color w:val="auto"/>
                <w:w w:val="97"/>
              </w:rPr>
              <w:t>Aggregate amount beneficially</w:t>
            </w:r>
          </w:p>
        </w:tc>
        <w:tc>
          <w:tcPr>
            <w:tcW w:w="8320" w:type="dxa"/>
            <w:vAlign w:val="bottom"/>
          </w:tcPr>
          <w:p>
            <w:pPr>
              <w:spacing w:after="0"/>
              <w:rPr>
                <w:sz w:val="20"/>
                <w:szCs w:val="20"/>
                <w:color w:val="auto"/>
              </w:rPr>
            </w:pPr>
            <w:r>
              <w:rPr>
                <w:rFonts w:ascii="Arial" w:cs="Arial" w:eastAsia="Arial" w:hAnsi="Arial"/>
                <w:sz w:val="18"/>
                <w:szCs w:val="18"/>
                <w:color w:val="auto"/>
              </w:rPr>
              <w:t>owned by each reporting person</w:t>
            </w:r>
          </w:p>
        </w:tc>
        <w:tc>
          <w:tcPr>
            <w:tcW w:w="0" w:type="dxa"/>
            <w:vAlign w:val="bottom"/>
          </w:tcPr>
          <w:p>
            <w:pPr>
              <w:spacing w:after="0"/>
              <w:rPr>
                <w:sz w:val="1"/>
                <w:szCs w:val="1"/>
                <w:color w:val="auto"/>
              </w:rPr>
            </w:pPr>
          </w:p>
        </w:tc>
      </w:tr>
      <w:tr>
        <w:trPr>
          <w:trHeight w:val="418"/>
        </w:trPr>
        <w:tc>
          <w:tcPr>
            <w:tcW w:w="5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1,122,918</w:t>
            </w:r>
          </w:p>
        </w:tc>
        <w:tc>
          <w:tcPr>
            <w:tcW w:w="68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2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10920" w:type="dxa"/>
            <w:vAlign w:val="bottom"/>
            <w:gridSpan w:val="3"/>
          </w:tcPr>
          <w:p>
            <w:pPr>
              <w:ind w:left="20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160"/>
        <w:spacing w:after="0"/>
        <w:tabs>
          <w:tab w:leader="none" w:pos="7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Percent of class represented by amount in Row (11)</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7.9%</w:t>
      </w:r>
      <w:r>
        <w:rPr>
          <w:rFonts w:ascii="Arial" w:cs="Arial" w:eastAsia="Arial" w:hAnsi="Arial"/>
          <w:sz w:val="30"/>
          <w:szCs w:val="30"/>
          <w:color w:val="auto"/>
          <w:vertAlign w:val="superscript"/>
        </w:rPr>
        <w:t>(1)</w:t>
      </w:r>
    </w:p>
    <w:p>
      <w:pPr>
        <w:ind w:left="720" w:hanging="555"/>
        <w:spacing w:after="0"/>
        <w:tabs>
          <w:tab w:leader="none" w:pos="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9"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5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8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undersigned Ronald L. Chez (the “Reporting Person”) hereby amends his statement on Schedule 13D dated as of February 5, 2015 as amended by Amendment No. 1 to Schedule 13D dated March 25, 2015 and Amendment No. 2 to Schedule 13D dated October 27, 2015 (collectively, the “Schedule 13D”). This statement constitutes Amendment No. 3 to the Schedule 13D. The purpose of this Amendment No. 3 is to report a greater than 1% change in ownership of the Company’s Common Stock by the Reporting Person. Unless otherwise indicated herein, there are no material changes to the information set forth in the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125"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Schedule 13D is hereby amended and restated in its entirety as follows:</w:t>
      </w:r>
    </w:p>
    <w:p>
      <w:pPr>
        <w:spacing w:after="0" w:line="225" w:lineRule="exact"/>
        <w:rPr>
          <w:sz w:val="20"/>
          <w:szCs w:val="20"/>
          <w:color w:val="auto"/>
        </w:rPr>
      </w:pPr>
    </w:p>
    <w:p>
      <w:pPr>
        <w:jc w:val="both"/>
        <w:ind w:firstLine="8"/>
        <w:spacing w:after="0" w:line="286" w:lineRule="auto"/>
        <w:tabs>
          <w:tab w:leader="none" w:pos="258"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statement relates to 1,122,918 shares of Common Stock owned by the Reporting Person. Based on the Company’s Proxy Statement on Form DEF 14A dated September 24, 2019, 14,158,220 shares of Common Stock were outstanding as of September 12, 2019. Therefore, the 1,122,918 shares of Common Stock reported on this Schedule 13D represent approximately 7.9% of the Company’s shares issued and outstanding shares.</w:t>
      </w:r>
    </w:p>
    <w:p>
      <w:pPr>
        <w:spacing w:after="0" w:line="165" w:lineRule="exact"/>
        <w:rPr>
          <w:rFonts w:ascii="Arial" w:cs="Arial" w:eastAsia="Arial" w:hAnsi="Arial"/>
          <w:sz w:val="17"/>
          <w:szCs w:val="17"/>
          <w:color w:val="auto"/>
        </w:rPr>
      </w:pPr>
    </w:p>
    <w:p>
      <w:pPr>
        <w:ind w:firstLine="8"/>
        <w:spacing w:after="0" w:line="277" w:lineRule="auto"/>
        <w:tabs>
          <w:tab w:leader="none" w:pos="27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Reporting Person has the sole power (and no shared power) to vote, dispose of or direct the disposition of the securities and any Common Stock resulting from the exercise or conversion thereof.</w:t>
      </w:r>
    </w:p>
    <w:p>
      <w:pPr>
        <w:spacing w:after="0" w:line="170" w:lineRule="exact"/>
        <w:rPr>
          <w:rFonts w:ascii="Arial" w:cs="Arial" w:eastAsia="Arial" w:hAnsi="Arial"/>
          <w:sz w:val="18"/>
          <w:szCs w:val="18"/>
          <w:color w:val="auto"/>
        </w:rPr>
      </w:pPr>
    </w:p>
    <w:p>
      <w:pPr>
        <w:jc w:val="both"/>
        <w:ind w:firstLine="8"/>
        <w:spacing w:after="0" w:line="264"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last 60 days, the Reporting Person effected the following purchases and sales of the Company’s securities, each through open market transactions, on the dates, in the amounts, and at the prices per share shown below. The sales that occurred on September 22, 2019 resulted from options exchange exercises.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gridSpan w:val="3"/>
          </w:tcPr>
          <w:p>
            <w:pPr>
              <w:spacing w:after="0"/>
              <w:rPr>
                <w:sz w:val="20"/>
                <w:szCs w:val="20"/>
                <w:color w:val="auto"/>
              </w:rPr>
            </w:pPr>
            <w:r>
              <w:rPr>
                <w:rFonts w:ascii="Arial" w:cs="Arial" w:eastAsia="Arial" w:hAnsi="Arial"/>
                <w:sz w:val="18"/>
                <w:szCs w:val="18"/>
                <w:color w:val="auto"/>
              </w:rPr>
              <w:t>Transactions by Reporting Person’s individual retirement accounts:</w:t>
            </w:r>
          </w:p>
        </w:tc>
        <w:tc>
          <w:tcPr>
            <w:tcW w:w="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Date</w:t>
            </w:r>
          </w:p>
        </w:tc>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Transaction</w:t>
            </w: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Shares</w:t>
            </w:r>
          </w:p>
        </w:tc>
        <w:tc>
          <w:tcPr>
            <w:tcW w:w="48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Unit Cost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8/5/2019</w:t>
            </w: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600</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14.72</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8/9/2019</w:t>
            </w:r>
          </w:p>
        </w:tc>
        <w:tc>
          <w:tcPr>
            <w:tcW w:w="2300" w:type="dxa"/>
            <w:vAlign w:val="bottom"/>
            <w:gridSpan w:val="2"/>
          </w:tcPr>
          <w:p>
            <w:pPr>
              <w:spacing w:after="0"/>
              <w:rPr>
                <w:sz w:val="20"/>
                <w:szCs w:val="20"/>
                <w:color w:val="auto"/>
              </w:rPr>
            </w:pPr>
            <w:r>
              <w:rPr>
                <w:rFonts w:ascii="Arial" w:cs="Arial" w:eastAsia="Arial" w:hAnsi="Arial"/>
                <w:sz w:val="18"/>
                <w:szCs w:val="18"/>
                <w:color w:val="auto"/>
              </w:rPr>
              <w:t>Purchase</w:t>
            </w:r>
          </w:p>
        </w:tc>
        <w:tc>
          <w:tcPr>
            <w:tcW w:w="520" w:type="dxa"/>
            <w:vAlign w:val="bottom"/>
          </w:tcPr>
          <w:p>
            <w:pPr>
              <w:spacing w:after="0"/>
              <w:rPr>
                <w:sz w:val="20"/>
                <w:szCs w:val="20"/>
                <w:color w:val="auto"/>
              </w:rPr>
            </w:pPr>
            <w:r>
              <w:rPr>
                <w:rFonts w:ascii="Arial" w:cs="Arial" w:eastAsia="Arial" w:hAnsi="Arial"/>
                <w:sz w:val="18"/>
                <w:szCs w:val="18"/>
                <w:color w:val="auto"/>
              </w:rPr>
              <w:t>1,700</w:t>
            </w:r>
          </w:p>
        </w:tc>
        <w:tc>
          <w:tcPr>
            <w:tcW w:w="34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r>
              <w:rPr>
                <w:rFonts w:ascii="Arial" w:cs="Arial" w:eastAsia="Arial" w:hAnsi="Arial"/>
                <w:sz w:val="18"/>
                <w:szCs w:val="18"/>
                <w:color w:val="auto"/>
              </w:rPr>
              <w:t>14.03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8/12/2019</w:t>
            </w: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14.30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8/13/2019</w:t>
            </w:r>
          </w:p>
        </w:tc>
        <w:tc>
          <w:tcPr>
            <w:tcW w:w="2300" w:type="dxa"/>
            <w:vAlign w:val="bottom"/>
            <w:gridSpan w:val="2"/>
          </w:tcPr>
          <w:p>
            <w:pPr>
              <w:spacing w:after="0"/>
              <w:rPr>
                <w:sz w:val="20"/>
                <w:szCs w:val="20"/>
                <w:color w:val="auto"/>
              </w:rPr>
            </w:pPr>
            <w:r>
              <w:rPr>
                <w:rFonts w:ascii="Arial" w:cs="Arial" w:eastAsia="Arial" w:hAnsi="Arial"/>
                <w:sz w:val="18"/>
                <w:szCs w:val="18"/>
                <w:color w:val="auto"/>
              </w:rPr>
              <w:t>Sale</w:t>
            </w:r>
          </w:p>
        </w:tc>
        <w:tc>
          <w:tcPr>
            <w:tcW w:w="520" w:type="dxa"/>
            <w:vAlign w:val="bottom"/>
          </w:tcPr>
          <w:p>
            <w:pPr>
              <w:spacing w:after="0"/>
              <w:rPr>
                <w:sz w:val="20"/>
                <w:szCs w:val="20"/>
                <w:color w:val="auto"/>
              </w:rPr>
            </w:pPr>
            <w:r>
              <w:rPr>
                <w:rFonts w:ascii="Arial" w:cs="Arial" w:eastAsia="Arial" w:hAnsi="Arial"/>
                <w:sz w:val="18"/>
                <w:szCs w:val="18"/>
                <w:color w:val="auto"/>
                <w:w w:val="90"/>
              </w:rPr>
              <w:t>18,000</w:t>
            </w:r>
          </w:p>
        </w:tc>
        <w:tc>
          <w:tcPr>
            <w:tcW w:w="34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r>
              <w:rPr>
                <w:rFonts w:ascii="Arial" w:cs="Arial" w:eastAsia="Arial" w:hAnsi="Arial"/>
                <w:sz w:val="18"/>
                <w:szCs w:val="18"/>
                <w:color w:val="auto"/>
              </w:rPr>
              <w:t>14.85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8/19/2019</w:t>
            </w: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90"/>
              </w:rPr>
              <w:t>10,000</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15.00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8/23/2019</w:t>
            </w:r>
          </w:p>
        </w:tc>
        <w:tc>
          <w:tcPr>
            <w:tcW w:w="2300" w:type="dxa"/>
            <w:vAlign w:val="bottom"/>
            <w:gridSpan w:val="2"/>
          </w:tcPr>
          <w:p>
            <w:pPr>
              <w:spacing w:after="0"/>
              <w:rPr>
                <w:sz w:val="20"/>
                <w:szCs w:val="20"/>
                <w:color w:val="auto"/>
              </w:rPr>
            </w:pPr>
            <w:r>
              <w:rPr>
                <w:rFonts w:ascii="Arial" w:cs="Arial" w:eastAsia="Arial" w:hAnsi="Arial"/>
                <w:sz w:val="18"/>
                <w:szCs w:val="18"/>
                <w:color w:val="auto"/>
              </w:rPr>
              <w:t>Purchase</w:t>
            </w:r>
          </w:p>
        </w:tc>
        <w:tc>
          <w:tcPr>
            <w:tcW w:w="520" w:type="dxa"/>
            <w:vAlign w:val="bottom"/>
          </w:tcPr>
          <w:p>
            <w:pPr>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r>
              <w:rPr>
                <w:rFonts w:ascii="Arial" w:cs="Arial" w:eastAsia="Arial" w:hAnsi="Arial"/>
                <w:sz w:val="18"/>
                <w:szCs w:val="18"/>
                <w:color w:val="auto"/>
              </w:rPr>
              <w:t>16.23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8/28/2019</w:t>
            </w: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15.88</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8/28/2019</w:t>
            </w:r>
          </w:p>
        </w:tc>
        <w:tc>
          <w:tcPr>
            <w:tcW w:w="2300" w:type="dxa"/>
            <w:vAlign w:val="bottom"/>
            <w:gridSpan w:val="2"/>
          </w:tcPr>
          <w:p>
            <w:pPr>
              <w:spacing w:after="0"/>
              <w:rPr>
                <w:sz w:val="20"/>
                <w:szCs w:val="20"/>
                <w:color w:val="auto"/>
              </w:rPr>
            </w:pPr>
            <w:r>
              <w:rPr>
                <w:rFonts w:ascii="Arial" w:cs="Arial" w:eastAsia="Arial" w:hAnsi="Arial"/>
                <w:sz w:val="18"/>
                <w:szCs w:val="18"/>
                <w:color w:val="auto"/>
              </w:rPr>
              <w:t>Purchase</w:t>
            </w:r>
          </w:p>
        </w:tc>
        <w:tc>
          <w:tcPr>
            <w:tcW w:w="520" w:type="dxa"/>
            <w:vAlign w:val="bottom"/>
          </w:tcPr>
          <w:p>
            <w:pPr>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r>
              <w:rPr>
                <w:rFonts w:ascii="Arial" w:cs="Arial" w:eastAsia="Arial" w:hAnsi="Arial"/>
                <w:sz w:val="18"/>
                <w:szCs w:val="18"/>
                <w:color w:val="auto"/>
              </w:rPr>
              <w:t>15.96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9/4/2019</w:t>
            </w: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500</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16.18</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9/16/2019</w:t>
            </w:r>
          </w:p>
        </w:tc>
        <w:tc>
          <w:tcPr>
            <w:tcW w:w="2300" w:type="dxa"/>
            <w:vAlign w:val="bottom"/>
            <w:gridSpan w:val="2"/>
          </w:tcPr>
          <w:p>
            <w:pPr>
              <w:spacing w:after="0"/>
              <w:rPr>
                <w:sz w:val="20"/>
                <w:szCs w:val="20"/>
                <w:color w:val="auto"/>
              </w:rPr>
            </w:pPr>
            <w:r>
              <w:rPr>
                <w:rFonts w:ascii="Arial" w:cs="Arial" w:eastAsia="Arial" w:hAnsi="Arial"/>
                <w:sz w:val="18"/>
                <w:szCs w:val="18"/>
                <w:color w:val="auto"/>
              </w:rPr>
              <w:t>Sale</w:t>
            </w:r>
          </w:p>
        </w:tc>
        <w:tc>
          <w:tcPr>
            <w:tcW w:w="520" w:type="dxa"/>
            <w:vAlign w:val="bottom"/>
          </w:tcPr>
          <w:p>
            <w:pPr>
              <w:spacing w:after="0"/>
              <w:rPr>
                <w:sz w:val="20"/>
                <w:szCs w:val="20"/>
                <w:color w:val="auto"/>
              </w:rPr>
            </w:pPr>
            <w:r>
              <w:rPr>
                <w:rFonts w:ascii="Arial" w:cs="Arial" w:eastAsia="Arial" w:hAnsi="Arial"/>
                <w:sz w:val="18"/>
                <w:szCs w:val="18"/>
                <w:color w:val="auto"/>
                <w:w w:val="90"/>
              </w:rPr>
              <w:t>10,000</w:t>
            </w:r>
          </w:p>
        </w:tc>
        <w:tc>
          <w:tcPr>
            <w:tcW w:w="34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r>
              <w:rPr>
                <w:rFonts w:ascii="Arial" w:cs="Arial" w:eastAsia="Arial" w:hAnsi="Arial"/>
                <w:sz w:val="18"/>
                <w:szCs w:val="18"/>
                <w:color w:val="auto"/>
              </w:rPr>
              <w:t>15.75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9/16/2019</w:t>
            </w: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2,000</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15.50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9/22/2019</w:t>
            </w:r>
          </w:p>
        </w:tc>
        <w:tc>
          <w:tcPr>
            <w:tcW w:w="2300" w:type="dxa"/>
            <w:vAlign w:val="bottom"/>
            <w:gridSpan w:val="2"/>
          </w:tcPr>
          <w:p>
            <w:pPr>
              <w:spacing w:after="0"/>
              <w:rPr>
                <w:sz w:val="20"/>
                <w:szCs w:val="20"/>
                <w:color w:val="auto"/>
              </w:rPr>
            </w:pPr>
            <w:r>
              <w:rPr>
                <w:rFonts w:ascii="Arial" w:cs="Arial" w:eastAsia="Arial" w:hAnsi="Arial"/>
                <w:sz w:val="18"/>
                <w:szCs w:val="18"/>
                <w:color w:val="auto"/>
              </w:rPr>
              <w:t>Sale</w:t>
            </w:r>
          </w:p>
        </w:tc>
        <w:tc>
          <w:tcPr>
            <w:tcW w:w="520" w:type="dxa"/>
            <w:vAlign w:val="bottom"/>
          </w:tcPr>
          <w:p>
            <w:pPr>
              <w:spacing w:after="0"/>
              <w:rPr>
                <w:sz w:val="20"/>
                <w:szCs w:val="20"/>
                <w:color w:val="auto"/>
              </w:rPr>
            </w:pPr>
            <w:r>
              <w:rPr>
                <w:rFonts w:ascii="Arial" w:cs="Arial" w:eastAsia="Arial" w:hAnsi="Arial"/>
                <w:sz w:val="18"/>
                <w:szCs w:val="18"/>
                <w:color w:val="auto"/>
                <w:w w:val="90"/>
              </w:rPr>
              <w:t>50,000</w:t>
            </w:r>
          </w:p>
        </w:tc>
        <w:tc>
          <w:tcPr>
            <w:tcW w:w="34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r>
              <w:rPr>
                <w:rFonts w:ascii="Arial" w:cs="Arial" w:eastAsia="Arial" w:hAnsi="Arial"/>
                <w:sz w:val="18"/>
                <w:szCs w:val="18"/>
                <w:color w:val="auto"/>
              </w:rPr>
              <w:t>15.00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9/22/2019</w:t>
            </w: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112,400</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15.00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 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26,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Ronald L. Chez</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Ronald L. 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734695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060"/>
      </w:cols>
      <w:pgMar w:left="240" w:top="112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6"/>
      <w:numFmt w:val="bullet"/>
      <w:start w:val="1"/>
    </w:lvl>
  </w:abstractNum>
  <w:abstractNum w:abstractNumId="6">
    <w:nsid w:val="7545E146"/>
    <w:multiLevelType w:val="hybridMultilevel"/>
    <w:lvl w:ilvl="0">
      <w:lvlJc w:val="left"/>
      <w:lvlText w:val="%1"/>
      <w:numFmt w:val="decimal"/>
      <w:start w:val="1"/>
    </w:lvl>
    <w:lvl w:ilvl="1">
      <w:lvlJc w:val="left"/>
      <w:lvlText w:val="%2"/>
      <w:numFmt w:val="decimal"/>
      <w:start w:val="14"/>
    </w:lvl>
  </w:abstractNum>
  <w:abstractNum w:abstractNumId="7">
    <w:nsid w:val="515F007C"/>
    <w:multiLevelType w:val="hybridMultilevel"/>
    <w:lvl w:ilvl="0">
      <w:lvlJc w:val="left"/>
      <w:lvlText w:val="(%1)"/>
      <w:numFmt w:val="decimal"/>
      <w:start w:val="1"/>
    </w:lvl>
    <w:lvl w:ilvl="1">
      <w:lvlJc w:val="left"/>
      <w:lvlText w:val="%2"/>
      <w:numFmt w:val="decimal"/>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2019-12-04T22:22:15Z</dcterms:created>
  <dcterms:modified xsi:type="dcterms:W3CDTF">2019-12-04T22:22:15Z</dcterms:modified>
</cp:coreProperties>
</file>