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51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149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FEBBO WILLIAM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400 WATER STREET, SUITE 200</w:t>
            </w:r>
          </w:p>
        </w:tc>
        <w:tc>
          <w:tcPr>
            <w:tcW w:w="122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ROCHESTER</w:t>
            </w:r>
          </w:p>
        </w:tc>
        <w:tc>
          <w:tcPr>
            <w:tcW w:w="13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MI</w:t>
            </w:r>
          </w:p>
        </w:tc>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2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OptimizeRx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0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30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01/09/2024</w:t>
            </w:r>
          </w:p>
        </w:tc>
        <w:tc>
          <w:tcPr>
            <w:tcW w:w="2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540" w:type="dxa"/>
            <w:vAlign w:val="bottom"/>
            <w:gridSpan w:val="3"/>
            <w:vMerge w:val="continue"/>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01/09/2024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9,628</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481,028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01/09/2024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2,884</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478,144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9,628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01/09/2024</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9,628</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7, 2021, the reporting person was granted 28,883 restricted stock units, vesting in three equal annual installments beginning on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01/18/2024</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2024-01-18T16:59:50Z</dcterms:created>
  <dcterms:modified xsi:type="dcterms:W3CDTF">2024-01-18T16:59:50Z</dcterms:modified>
</cp:coreProperties>
</file>