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204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w w:val="89"/>
              </w:rPr>
              <w:t>7389</w:t>
            </w:r>
          </w:p>
        </w:tc>
        <w:tc>
          <w:tcPr>
            <w:tcW w:w="1200" w:type="dxa"/>
            <w:vAlign w:val="bottom"/>
          </w:tcPr>
          <w:p>
            <w:pPr>
              <w:spacing w:after="0"/>
              <w:rPr>
                <w:sz w:val="22"/>
                <w:szCs w:val="22"/>
                <w:color w:val="auto"/>
              </w:rPr>
            </w:pPr>
          </w:p>
        </w:tc>
        <w:tc>
          <w:tcPr>
            <w:tcW w:w="42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240" w:type="dxa"/>
            <w:vAlign w:val="bottom"/>
            <w:tcBorders>
              <w:top w:val="single" w:sz="8" w:color="auto"/>
            </w:tcBorders>
            <w:gridSpan w:val="4"/>
          </w:tcPr>
          <w:p>
            <w:pPr>
              <w:jc w:val="center"/>
              <w:ind w:left="330"/>
              <w:spacing w:after="0" w:line="201" w:lineRule="exact"/>
              <w:rPr>
                <w:sz w:val="20"/>
                <w:szCs w:val="20"/>
                <w:color w:val="auto"/>
              </w:rPr>
            </w:pPr>
            <w:r>
              <w:rPr>
                <w:rFonts w:ascii="Arial" w:cs="Arial" w:eastAsia="Arial" w:hAnsi="Arial"/>
                <w:sz w:val="18"/>
                <w:szCs w:val="18"/>
                <w:color w:val="auto"/>
                <w:w w:val="91"/>
              </w:rPr>
              <w:t>(Primary Standard Industrial</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24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Classification Code Number)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Doney Ventures, Inc.</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400 Water Street, Suite 200</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4955 S. Durango Rd. Ste. 165.</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Rochester, MI 48307</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Las Vegas, NV 89113</w:t>
            </w:r>
          </w:p>
        </w:tc>
      </w:tr>
      <w:tr>
        <w:trPr>
          <w:trHeight w:val="241"/>
        </w:trPr>
        <w:tc>
          <w:tcPr>
            <w:tcW w:w="366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2"/>
              </w:rPr>
              <w:t>(248) 651-6568</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jc w:val="center"/>
              <w:ind w:right="1230"/>
              <w:spacing w:after="0"/>
              <w:rPr>
                <w:sz w:val="20"/>
                <w:szCs w:val="20"/>
                <w:color w:val="auto"/>
              </w:rPr>
            </w:pPr>
            <w:r>
              <w:rPr>
                <w:rFonts w:ascii="Arial" w:cs="Arial" w:eastAsia="Arial" w:hAnsi="Arial"/>
                <w:sz w:val="18"/>
                <w:szCs w:val="18"/>
                <w:b w:val="1"/>
                <w:bCs w:val="1"/>
                <w:color w:val="auto"/>
                <w:w w:val="90"/>
              </w:rPr>
              <w:t>(702) 982-5686</w:t>
            </w:r>
          </w:p>
        </w:tc>
      </w:tr>
      <w:tr>
        <w:trPr>
          <w:trHeight w:val="202"/>
        </w:trPr>
        <w:tc>
          <w:tcPr>
            <w:tcW w:w="56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(Address, including zip code, and telephone number, including area code,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80" w:type="dxa"/>
            <w:vAlign w:val="bottom"/>
            <w:gridSpan w:val="4"/>
          </w:tcPr>
          <w:p>
            <w:pPr>
              <w:jc w:val="center"/>
              <w:ind w:right="10"/>
              <w:spacing w:after="0" w:line="201" w:lineRule="exact"/>
              <w:rPr>
                <w:sz w:val="20"/>
                <w:szCs w:val="20"/>
                <w:color w:val="auto"/>
              </w:rPr>
            </w:pPr>
            <w:r>
              <w:rPr>
                <w:rFonts w:ascii="Arial" w:cs="Arial" w:eastAsia="Arial" w:hAnsi="Arial"/>
                <w:sz w:val="18"/>
                <w:szCs w:val="18"/>
                <w:color w:val="auto"/>
                <w:w w:val="90"/>
              </w:rPr>
              <w:t>(Name, address, including zip code, and telephone number, including area</w:t>
            </w:r>
          </w:p>
        </w:tc>
      </w:tr>
      <w:tr>
        <w:trPr>
          <w:trHeight w:val="230"/>
        </w:trPr>
        <w:tc>
          <w:tcPr>
            <w:tcW w:w="3900" w:type="dxa"/>
            <w:vAlign w:val="bottom"/>
            <w:gridSpan w:val="2"/>
          </w:tcPr>
          <w:p>
            <w:pPr>
              <w:jc w:val="center"/>
              <w:ind w:left="1630"/>
              <w:spacing w:after="0"/>
              <w:rPr>
                <w:sz w:val="20"/>
                <w:szCs w:val="20"/>
                <w:color w:val="auto"/>
              </w:rPr>
            </w:pPr>
            <w:r>
              <w:rPr>
                <w:rFonts w:ascii="Arial" w:cs="Arial" w:eastAsia="Arial" w:hAnsi="Arial"/>
                <w:sz w:val="18"/>
                <w:szCs w:val="18"/>
                <w:color w:val="auto"/>
                <w:w w:val="93"/>
              </w:rPr>
              <w:t>principal executive offices)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2"/>
          </w:tcPr>
          <w:p>
            <w:pPr>
              <w:jc w:val="center"/>
              <w:ind w:right="1650"/>
              <w:spacing w:after="0"/>
              <w:rPr>
                <w:sz w:val="20"/>
                <w:szCs w:val="20"/>
                <w:color w:val="auto"/>
              </w:rPr>
            </w:pPr>
            <w:r>
              <w:rPr>
                <w:rFonts w:ascii="Arial" w:cs="Arial" w:eastAsia="Arial" w:hAnsi="Arial"/>
                <w:sz w:val="18"/>
                <w:szCs w:val="18"/>
                <w:color w:val="auto"/>
                <w:w w:val="90"/>
              </w:rPr>
              <w:t>code, of agent for service)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June 1,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1,666,669 Shares of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relates to the resale or other disposition by the Selling Shareholders named herein or their transferees of up to 1,666,669 shares of our Common Stock, par value $0.001 per share (the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beginning on page 10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or other disposition of the shares of Common Stock covered hereby.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May 31, 2018, the last reported sale price of our Common Stock was $8.28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one-for-three reverse stock split of our common stock was effected on May 14, 2018. All share and per share information in this Prospectus has been retroactively adjusted to give effect to the reverse stock split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3.</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PROSPECTUS</w:t>
              </w:r>
            </w:hyperlink>
          </w:p>
        </w:tc>
        <w:tc>
          <w:tcPr>
            <w:tcW w:w="7360" w:type="dxa"/>
            <w:vAlign w:val="bottom"/>
            <w:tcBorders>
              <w:bottom w:val="single" w:sz="8" w:color="CCEEFF"/>
            </w:tcBorders>
            <w:gridSpan w:val="1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FORWARD-LOOKING STATEMENTS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1"/>
          </w:tcPr>
          <w:p>
            <w:pPr>
              <w:spacing w:after="0"/>
              <w:rPr>
                <w:sz w:val="20"/>
                <w:szCs w:val="20"/>
                <w:color w:val="auto"/>
              </w:rPr>
            </w:pPr>
            <w:r>
              <w:rPr>
                <w:rFonts w:ascii="Arial" w:cs="Arial" w:eastAsia="Arial" w:hAnsi="Arial"/>
                <w:sz w:val="18"/>
                <w:szCs w:val="18"/>
                <w:color w:val="auto"/>
              </w:rPr>
              <w:t>DETERMINATION OF OFFERING PRICE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SELLING SHAREHOLDERS</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7380" w:type="dxa"/>
            <w:vAlign w:val="bottom"/>
            <w:tcBorders>
              <w:top w:val="single" w:sz="8" w:color="CCEEFF"/>
            </w:tcBorders>
            <w:gridSpan w:val="14"/>
          </w:tcPr>
          <w:p>
            <w:pPr>
              <w:spacing w:after="0"/>
              <w:rPr>
                <w:sz w:val="15"/>
                <w:szCs w:val="15"/>
                <w:color w:val="auto"/>
              </w:rPr>
            </w:pPr>
          </w:p>
        </w:tc>
        <w:tc>
          <w:tcPr>
            <w:tcW w:w="1820" w:type="dxa"/>
            <w:vAlign w:val="bottom"/>
            <w:tcBorders>
              <w:top w:val="single" w:sz="8" w:color="CCEEFF"/>
            </w:tcBorders>
          </w:tcPr>
          <w:p>
            <w:pPr>
              <w:jc w:val="center"/>
              <w:ind w:left="830"/>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DIRECTORS, EXECUTIVE OFFICERS, PROMOTERS AND CONTROL PERSONS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SECURITY OWNERSHIP OF CERTAIN BENEFICIAL OWNERS AND MANAGEMENT</w:t>
              </w:r>
            </w:hyperlink>
          </w:p>
        </w:tc>
        <w:tc>
          <w:tcPr>
            <w:tcW w:w="2860" w:type="dxa"/>
            <w:vAlign w:val="bottom"/>
            <w:tcBorders>
              <w:bottom w:val="single" w:sz="8" w:color="CCEEFF"/>
            </w:tcBorders>
            <w:gridSpan w:val="2"/>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SECURITIES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INTERESTS OF NAMED EXPERTS AND COUNSEL</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DISCLOSURE OF COMMISSION POSITION OF INDEMNIFICATION FOR SECURITIES ACT LIABILITIES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BUSINESS</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MARKET FOR COMMON EQUITY AND RELATED STOCKHOLDER MATTERS</w:t>
              </w:r>
            </w:hyperlink>
          </w:p>
        </w:tc>
        <w:tc>
          <w:tcPr>
            <w:tcW w:w="3340" w:type="dxa"/>
            <w:vAlign w:val="bottom"/>
            <w:tcBorders>
              <w:bottom w:val="single" w:sz="8" w:color="CCEEFF"/>
            </w:tcBorders>
            <w:gridSpan w:val="4"/>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FINANCIAL STATEMENTS</w:t>
              </w:r>
            </w:hyperlink>
          </w:p>
        </w:tc>
        <w:tc>
          <w:tcPr>
            <w:tcW w:w="7440" w:type="dxa"/>
            <w:vAlign w:val="bottom"/>
            <w:tcBorders>
              <w:bottom w:val="single" w:sz="8" w:color="CCEEFF"/>
            </w:tcBorders>
            <w:gridSpan w:val="15"/>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580" w:type="dxa"/>
            <w:vAlign w:val="bottom"/>
            <w:gridSpan w:val="21"/>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w:t>
              </w:r>
            </w:hyperlink>
          </w:p>
        </w:tc>
        <w:tc>
          <w:tcPr>
            <w:tcW w:w="1820" w:type="dxa"/>
            <w:vAlign w:val="bottom"/>
          </w:tcPr>
          <w:p>
            <w:pPr>
              <w:jc w:val="center"/>
              <w:ind w:left="8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80" w:type="dxa"/>
            <w:vAlign w:val="bottom"/>
            <w:gridSpan w:val="21"/>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AVAILABLE INFORMATION</w:t>
              </w:r>
            </w:hyperlink>
          </w:p>
        </w:tc>
        <w:tc>
          <w:tcPr>
            <w:tcW w:w="1820" w:type="dxa"/>
            <w:vAlign w:val="bottom"/>
            <w:shd w:val="clear" w:color="auto" w:fill="CCEEFF"/>
          </w:tcPr>
          <w:p>
            <w:pPr>
              <w:jc w:val="center"/>
              <w:ind w:left="83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60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140" cy="56038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or their transferees may, from time to time, sell or otherwise dispose of up to 1,666,669 shares of our Common Stock, as described in this prospectus. You should read this prospectus carefully before making an investment decision.</w:t>
      </w:r>
    </w:p>
    <w:p>
      <w:pPr>
        <w:spacing w:after="0" w:line="181"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3 of this prospectus.</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329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140" cy="53295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May 2018 Private Placement Financing</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May 2, 2018, we entered into a purchase agreement (the “Purchase Agreement”) with the purchasers identified on the signature pages thereto (the “Investors”), pursuant to which we sold to the Investors an aggregate of 1,666,669 shares (the “Shares”) of our Common Stock, par value $0.001 per share (“Common Stock”), for $5.40 per Share, or gross proceeds of approximately $9,000,000 (the “Offering”).</w:t>
      </w:r>
    </w:p>
    <w:p>
      <w:pPr>
        <w:spacing w:after="0" w:line="181"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In connection with the Offering, on May 2, 2018, we entered into a registration rights agreement with the Investors (the “Registration Rights Agreement”), pursuant to which we agreed to register the Shares acquired by the Investors in the Offering (the “Registrable Securities”) for sale or other disposition by the Selling Shareholders or their transferees. Pursuant to the Registration Rights Agreement, we agreed to file a registration statement (the “Registration Statement”) with the Securities and Exchange Commission (the “SEC”) for the resale or other disposition of the Registrable Securities within 30 days following the close of the Offering and to use our commercially reasonable efforts to cause the Registration Statement to be declared effective as soon as practicable after the filing thereof.</w:t>
      </w:r>
    </w:p>
    <w:p>
      <w:pPr>
        <w:spacing w:after="0" w:line="193"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In the event that, among other things, the Registration Statement (i) is not been filed by 30 days following the close of the Offering, (ii) is not declared effective by the earlier of (A) five business days after the SEC informs the Company that no review of the Registration Statement will be made or that the SEC has no further comments on the Registration Statement and (B) 90 days following the close of the Offering, or (iii) after the effective date of the Registration Statement sales cannot be made thereunder (other than certain allowed delays), we have agreed to make payments to each Investor as liquidated damages in an amount equal to 1.5% of the aggregate amount invested by each such Investor per 30-day period. In addition, we have agreed to keep the Registration Statement continuously effective (subject to certain allowed delays) until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thereunder.</w:t>
      </w: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Loss of one or more of our larger customers could have a negative impact on our operating results. In each of 2016 and 2017, our largest customer in the year accounted for approximately 12% of revenues, although it was a different customer in each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 to the labyrinth of regulations in the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or new products and services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of our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ectPr>
          <w:pgSz w:w="11900" w:h="16838" w:orient="portrait"/>
          <w:cols w:equalWidth="0" w:num="1">
            <w:col w:w="11420"/>
          </w:cols>
          <w:pgMar w:left="240" w:top="226" w:right="2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of the shares of Common Stock covered by this prospectus are being sold or otherwise disposed of by the Selling Shareholders or their transferees. See “Selling Shareholders” below. We will not receive any proceeds from the sale of other disposition of the shares covered hereby.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pay all expenses associated with effecting the registration of the shares covered hereby, including filing and printing fees, the Company’s counsel and accounting fees and expenses, costs associated with clearing the shares for sale under applicable state securities laws, listing fees, fees and expenses of one counsel to the Investors up to an aggregate of $10,000 and the Investors’ other reasonable out-of-pocket expenses in connection with the registration, but excluding discounts, commissions, fees of underwriters, selling brokers, dealer managers or similar securities industry professionals with respect to the shares being sold.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prepared this prospectus to allow the Selling Shareholders or their transferees to sell or otherwise dispose of, from time to time, up to 1,666,669 shares of our Common Stock. All of the shares of Common Stock being offered under this prospectus were issued in connection with our May 2018 Private Placement.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11,548,095 shares of Common Stock issued and outstanding as of June 1, 2018. Beneficial ownership is determined under Section 13(d) of the Exchange Act and generally includes voting or investment power with respect to securities and including any securities that grant the Selling Shareholders the right to acquire Common Stock within 60 days of June 1, 2018.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know when or in what amounts the Selling Shareholders may sell or otherwise dispose of the shares covered hereby. We currently have no agreements, arrangements or understandings with the Selling Shareholders regarding the sale or other disposition of any of the shares by them other than the registration rights agreement described above.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 For purposes of determining the beneficial ownership of the Selling Shareholders after this offering, we have assumed that all of the shares covered hereby have been sold pursuant to the registration statement of which this prospectus forms a part.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Borders>
              <w:bottom w:val="single" w:sz="8" w:color="auto"/>
            </w:tcBorders>
          </w:tcPr>
          <w:p>
            <w:pPr>
              <w:spacing w:after="0"/>
              <w:rPr>
                <w:sz w:val="20"/>
                <w:szCs w:val="20"/>
                <w:color w:val="auto"/>
              </w:rPr>
            </w:pPr>
          </w:p>
        </w:tc>
      </w:tr>
      <w:tr>
        <w:trPr>
          <w:trHeight w:val="198"/>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After the Sale of</w:t>
            </w:r>
          </w:p>
        </w:tc>
      </w:tr>
      <w:tr>
        <w:trPr>
          <w:trHeight w:val="216"/>
        </w:trPr>
        <w:tc>
          <w:tcPr>
            <w:tcW w:w="53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Covered by</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covered by</w:t>
            </w:r>
          </w:p>
        </w:tc>
      </w:tr>
      <w:tr>
        <w:trPr>
          <w:trHeight w:val="241"/>
        </w:trPr>
        <w:tc>
          <w:tcPr>
            <w:tcW w:w="532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Special Situations Fund III QP, L.P.(1)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812,130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259,537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Special Situations Cayman Fund, L.P. (1)</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303,730</w:t>
            </w:r>
          </w:p>
        </w:tc>
        <w:tc>
          <w:tcPr>
            <w:tcW w:w="1160" w:type="dxa"/>
            <w:vAlign w:val="bottom"/>
          </w:tcPr>
          <w:p>
            <w:pPr>
              <w:jc w:val="right"/>
              <w:spacing w:after="0"/>
              <w:rPr>
                <w:sz w:val="20"/>
                <w:szCs w:val="20"/>
                <w:color w:val="auto"/>
              </w:rPr>
            </w:pPr>
            <w:r>
              <w:rPr>
                <w:rFonts w:ascii="Arial" w:cs="Arial" w:eastAsia="Arial" w:hAnsi="Arial"/>
                <w:sz w:val="18"/>
                <w:szCs w:val="18"/>
                <w:color w:val="auto"/>
              </w:rPr>
              <w:t>206,667</w:t>
            </w:r>
          </w:p>
        </w:tc>
        <w:tc>
          <w:tcPr>
            <w:tcW w:w="10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97,063</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Special Situations Private Equity Fund, L.P.(1)</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252,065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85,398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Park West Partners International Limited(2)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68,733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59,267</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9,466</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Park West Investors Master Fund, Limited(2)</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607,935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83,868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First Bank &amp; Trust Custodian for Ronald L. Chez IRA(3)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157,408</w:t>
            </w:r>
          </w:p>
        </w:tc>
        <w:tc>
          <w:tcPr>
            <w:tcW w:w="1160" w:type="dxa"/>
            <w:vAlign w:val="bottom"/>
          </w:tcPr>
          <w:p>
            <w:pPr>
              <w:jc w:val="right"/>
              <w:spacing w:after="0"/>
              <w:rPr>
                <w:sz w:val="20"/>
                <w:szCs w:val="20"/>
                <w:color w:val="auto"/>
              </w:rPr>
            </w:pPr>
            <w:r>
              <w:rPr>
                <w:rFonts w:ascii="Arial" w:cs="Arial" w:eastAsia="Arial" w:hAnsi="Arial"/>
                <w:sz w:val="18"/>
                <w:szCs w:val="18"/>
                <w:color w:val="auto"/>
              </w:rPr>
              <w:t>157,408</w:t>
            </w:r>
          </w:p>
        </w:tc>
        <w:tc>
          <w:tcPr>
            <w:tcW w:w="10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460" w:hanging="452"/>
        <w:spacing w:after="0" w:line="28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AWM Investment Company, Inc. (“AWM”) is the investment adviser to the Special Situations Fund III, QP, L.P., the Special Situations Cayman Fund, L.P. and the Special Situations Private Equity Fund, L.P. (collectively, the “Funds”). As the investment adviser to the Funds, AWM holds sole voting and investment power over the shares held by the Funds. Austin W. Marxe, David M. Greenhouse and Adam Stettner are the principal owners of AWM.</w:t>
      </w:r>
    </w:p>
    <w:p>
      <w:pPr>
        <w:jc w:val="both"/>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Park West Asset Management LLC (“PWAM”) is the investment manager to Park West Investors Master Fund, Limited (“PWIMF”), and Park West Partners International, Limited (“PWPI”). Peter S. Park, manager of PWAM, has sole voting and investment power with respect to the shares held by PWIMF and PWPI.</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Ronald l. Chez has voting and dispositive power with respect to the shares.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which as used herein includes donees, pledgees, transferees or other successors-in-interest selling shares of Common Stock or interests in shares of Common Stock received after the date of this prospectus from a Selling Shareholder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Shareholders to sell a specified number of such shares at a stipulated price per share;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Shareholders may enter into hedging transactions with broker-dealers or other financial institutions, which may in turn engage in short sales of the Common Stock in the course of hedging the positions they assume. The Selling Shareholders may also sell shares of our Common Stock short and deliver these securities to close out their short positions, or loan or pledge the Common Stock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proceeds to the Selling Shareholders from the sale of the Common Stock offered by them will be the purchase price of the Common Stock less discounts or commissions, if any. Each of the Selling Shareholders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also may resell all or a portion of the shares in open market transactions in reliance upon Rule 144 under the Securities Act of 1933, provided that they meet the criteria and conform to the requirements of that rule.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Shareholders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agreed with the Selling Shareholders to keep the registration statement of which this prospectus constitutes a part effective until the earlier of (i) the date that such securities become eligible for resale without volume or manner-of-sale restrictions and without current public information pursuant to Rule 144 and certain other conditions have been satisfied, or (ii) all of the securities have been sold or otherwise disposed of pursuant to the registration statement of which this prospectus forms a part or in a transaction in which the transferee receives freely tradable shares.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4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Miriam J. Paramore</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SVP – Sales</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Douglas P. Baker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Gus D. Halas</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Chairperson and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Patrick Spangler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Bryan Archambault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Lynn Vos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James Lang</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our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Hamilton joined our company as VP of Sales in February 2008 and became SVP of Sales in 2016.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Spangler currently serves as Chief Financial Officer of VigiLanz Corporation, a privately held firm in health care information technology. He brings more than 30 years of experience in the health care industry, executing domestic and international growth and exit strategies. He has helped lead high-performance, emerging growth firms, as well as large publically traded companies and has also served in the private equity sector successfully improving operational results with a broad array of portfolio companies. Prior to VigiLanz Corporation, he served as Executive Vice President and Chief Financial Officer of Healthland, Inc. an EHR Company serving the critical access hospital market; Epocrates (EPOC) which he took public in 2011 and was acquired by Athena Health, ev3 (EVVV) which he took public in 2005 and was acquired by Covidien, and EMPI (EMPI) which was acquired by Encore Medical (ENMC). Mr. Spangler holds a B.S. in accounting and an M.B.T. in business taxation from the University of Minnesota and a M. B. A. from the University of Chicago Booth Graduate School of Business. He currently is a member of the Board of Directors of Lifespace Communities Inc and previously served on the Board of Directors of Urologix Inc. (ULGX).</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 Mr. Spangler has been a Director since March 23,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years of experience in the health care industry, executing domestic and international growth and exit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Bryan Archambault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Archambault is currently the Chief Marketing Officer of greyhealth group and has been since 2010. He has a diverse background that started 20+ years ago in the sales and customer-marketing space. He brought that experience and insight to brand strategy and multichannel marketing for healthcare clients in biopharma, OTC and animal health. He does not serve on the boards of any other public companies.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Archambault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Archambault is qualified to serve on our Board of Directors because of his in the sales and customer-marketing space. Mr. Archambault has been a Director since March 23,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Archambault will represent WPP, a strategic investor in our company, replacing Ms. Lynn O’Connor Vos in this role. Ms. Vos, who left her position as CEO of WPP’s subsidiary, greyhealth group, to become CEO of the Muscular Dystrophy Association, will remain on our Board of Directors, as now an independent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but that provision was waived by WPP in January 2017 and the Board was expanded at that time. We currently have six (6) Directors, four (4) of which are independent under Nasdaq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the following, 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19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205" w:lineRule="exact"/>
        <w:rPr>
          <w:rFonts w:ascii="Arial" w:cs="Arial" w:eastAsia="Arial" w:hAnsi="Arial"/>
          <w:sz w:val="17"/>
          <w:szCs w:val="17"/>
          <w:color w:val="auto"/>
        </w:rPr>
      </w:pPr>
    </w:p>
    <w:p>
      <w:pPr>
        <w:jc w:val="both"/>
        <w:ind w:left="660" w:right="2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7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20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21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his initial response to the Regulatory Questionnaire, Mr. Febbo mistakenly overlooked that this settlement with FINRA constituted a disclosable event.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three standing committees to facilitate and assist the Board of Directors in the execution of its responsibilities: (1) Nominating and Governance Committee; (2) Compensation Committee; and (3) Audit Committee. Each committee acts pursuant to a written charter adopted by the Board of Directors. Each committee’s charter is available on our corporate website at http://www.optimizerx.com. (The information contained in our website is not incorporated into this Prospectus.) All of the committees are comprised solely of non-employee, independent directors as defined by NASDAQ market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has established a Nominating and Governance Committee. The Committee is composed of Directors Vos, Spangler, and Archambault, and is chaired by Director Vos. The Nominating and Corporate Governance Committee held 4 meetings during the fiscal year ended December 31, 2017. The Nominating and Corporate Governance Committee’s responsibilities, which are discussed in detail in its charter, include the responsibilities to:</w:t>
      </w:r>
    </w:p>
    <w:p>
      <w:pPr>
        <w:spacing w:after="0" w:line="14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Board of Directors has established a Compensation Committee. The Compensation Committee held 5 meetings during the fiscal year ended December 31, 2017, and held other informal discussions as needed. The Committee is composed of Directors Lang, Halas, and Spangler, and is chaired by Director Lang. The Compensation Committee’s responsibilities, which are discussed in detail in its charter, include the responsibilities to:</w:t>
      </w:r>
    </w:p>
    <w:p>
      <w:pPr>
        <w:spacing w:after="0" w:line="166"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any severance or termination payments proposed to be made to any current or former officer of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established an Audit Committee. Prior to that, the entire Board of Directors functioned as the audit committee. The Audit Committee was recently formed and thus did not hold any meetings during the fiscal year ended December 31, 2017. The Committee is composed of Directors Spangler, Vos and Archambault, and is chaired by Director Spangler. The Board has determined that Director Spangler is an “audit committee financial expert” within the meaning established by the SEC. The Audit Committee’s responsibilities, which are discussed in detail in its charter, include the responsibilities to:</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 the accounting, auditing and financial reporting processes of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management of business and financial risk and the internal controls environment;</w:t>
      </w:r>
    </w:p>
    <w:p>
      <w:pPr>
        <w:spacing w:after="0" w:line="25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 and ethics programs as established by management and the Board, which shall be in conjunction with any recommendations by the Nominating and Governance Committee with respect to the corporate governance standards;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reports resulting from the performance of audits by the independent auditor and the internal audit team;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Company’s independent auditors;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the Company’s internal audit team.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2017, other than as set forth in the following information. Director Halas filed a Form 4 two days late. Director Lang filed his Form 3 late and filed a Form 4 two days late on April 6, 2017. Director Vos filed a Form 4 on May 31, 2017 covering 21 transactions that occurred from February 6, 2017 through May 3, 2017. Our President, Miriam Paramore, filed a Form 4 a week late.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Board of Directors adopted a Code of Ethics for the Company, which is attached to our December 31, 2017 Annual Report on Form 10-K as Exhibit 14.1.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June 1, 2018.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3"/>
              </w:rPr>
              <w:t>Common Shares</w:t>
            </w:r>
          </w:p>
        </w:tc>
        <w:tc>
          <w:tcPr>
            <w:tcW w:w="15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Percentage of</w:t>
            </w:r>
          </w:p>
        </w:tc>
      </w:tr>
      <w:tr>
        <w:trPr>
          <w:trHeight w:val="237"/>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More Than 5% Beneficial Owners:</w:t>
            </w:r>
          </w:p>
        </w:tc>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Name and Address</w:t>
            </w:r>
          </w:p>
        </w:tc>
        <w:tc>
          <w:tcPr>
            <w:tcW w:w="15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Owned</w:t>
            </w:r>
          </w:p>
        </w:tc>
        <w:tc>
          <w:tcPr>
            <w:tcW w:w="15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Class</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Common</w:t>
            </w:r>
          </w:p>
        </w:tc>
        <w:tc>
          <w:tcPr>
            <w:tcW w:w="1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WPP PLC</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27 Farm Street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London, United Kingdom</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W1J 5RJ</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2,103,702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Wolverine Flagship Fund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Trading Limited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175 W Jackson Blvd, 3rd Flr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Chicago, IL 60604</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755,821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6.5%</w:t>
            </w:r>
          </w:p>
        </w:tc>
      </w:tr>
      <w:tr>
        <w:trPr>
          <w:trHeight w:val="211"/>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Harvey L. Poppel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110 El Mirasol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Palm Beach, FL 33480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918,086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Ronald L. Chez</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1524 N. Astor St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Chicago, IL 60610(1)</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1,136,996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9.6%</w:t>
            </w:r>
          </w:p>
        </w:tc>
      </w:tr>
      <w:tr>
        <w:trPr>
          <w:trHeight w:val="211"/>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AWM Investment Company, Inc.</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527 Madison Ave., Suite 2600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York, NY 10022 (2)</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1,367,925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Park West Asset Management LLC</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900 Larkspur Landing Circle, Suite 165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Larkspur, CA 94939 (3)</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676,667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5.9%</w:t>
            </w:r>
          </w:p>
        </w:tc>
      </w:tr>
    </w:tbl>
    <w:p>
      <w:pPr>
        <w:spacing w:after="0" w:line="136" w:lineRule="exact"/>
        <w:rPr>
          <w:sz w:val="20"/>
          <w:szCs w:val="20"/>
          <w:color w:val="auto"/>
        </w:rPr>
      </w:pPr>
    </w:p>
    <w:p>
      <w:pPr>
        <w:jc w:val="both"/>
        <w:ind w:left="460" w:hanging="452"/>
        <w:spacing w:after="0" w:line="269"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859,644 shares of Common Stock held by Ron E. Chez in his name and beneficially owned in the following entities: Ronald L Chez IRA at First Bank &amp; Trust, Ronald L Chez IRA at Fifth Third Bank, Chez Family Foundation at Fifth Third Bank, Ronald L Chez IRA at Lake St Capital Mgmt, Ronald L Chez IRA at Merrill Lynch and Ronald L Chez IRA at First Bank &amp; Trust. Also includes warrants to purchase 277,352 shares of our Common Stock held in Ronald L Chez IRA at First Bank &amp; Trust and Ronald L Chez IRA at First Bank &amp; Trust.</w:t>
      </w:r>
    </w:p>
    <w:p>
      <w:pPr>
        <w:spacing w:after="0" w:line="2" w:lineRule="exact"/>
        <w:rPr>
          <w:rFonts w:ascii="Arial" w:cs="Arial" w:eastAsia="Arial" w:hAnsi="Arial"/>
          <w:sz w:val="17"/>
          <w:szCs w:val="17"/>
          <w:color w:val="auto"/>
        </w:rPr>
      </w:pPr>
    </w:p>
    <w:p>
      <w:pPr>
        <w:jc w:val="both"/>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AWM Investment Company, Inc. (“AWM”) is the investment adviser to the Special Situations Fund III QP, L.P. (“SSFQP”), the Special Situations Cayman Fund, L.P. (“Cayman”) and the Special Situations Private Equity Fund, L.P. (“SSFPE” and, collectively with SSFQP and Cayman, the “Funds”). As the investment adviser to the Funds, AWM holds sole voting and investment power over the 812,130 shares of Common Stock held by SSFQP, the 303,730 shares of Common Stock held by Cayman and the 252,065 shares of Common Stock of held by SSFPE. Austin W. Marxe, David M. Greenhouse and Adam Stettner are the principal owners of AWM.</w:t>
      </w:r>
    </w:p>
    <w:p>
      <w:pPr>
        <w:spacing w:after="0" w:line="2"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Park West Asset Management LLC (“PWAM”) is the investment manager to Park West Investors Master Fund, Limited (“PWIMF”), and Park West Partners International, Limited (“PWPI”). Peter S. Park, manager of PWAM, has sole voting and investment power over the 607.934 shares of Common Stock held by PWIMF and the 68,733 shares of Common Stock held by PWPI.</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June 1, 2018,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Included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Beneficial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41"/>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Name(1)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Ownership (2)</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Miriam Paramore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33,334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2,897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P. Baker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183,334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Terence J. Hamilton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133,334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126,805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260,139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Archambault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30,412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30,412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Spangler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(9 persons)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633,335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209,116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842,451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June 1, 2018, and are included in Common Stock beneficial ownership pursuant to Rule 13d-3(d)(1) of the Exchange Act.</w:t>
      </w:r>
    </w:p>
    <w:p>
      <w:pPr>
        <w:sectPr>
          <w:pgSz w:w="11900" w:h="16838" w:orient="portrait"/>
          <w:cols w:equalWidth="0" w:num="1">
            <w:col w:w="11420"/>
          </w:cols>
          <w:pgMar w:left="240" w:top="226" w:right="239" w:bottom="42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42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500,000,000 shares of Common Stock and 10,000,000 shares of preferred stock, par value $0.001 per share. As of June 1, 2018, there were 11,548,095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 and attached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 2018, we entered into a registration rights agreement with the selling shareholders in this offering (the “Registration Rights Agreement”),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2,003,702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660" w:right="3320"/>
        <w:spacing w:after="0" w:line="501" w:lineRule="auto"/>
        <w:rPr>
          <w:rFonts w:ascii="Arial" w:cs="Arial" w:eastAsia="Arial" w:hAnsi="Arial"/>
          <w:sz w:val="17"/>
          <w:szCs w:val="17"/>
          <w:color w:val="auto"/>
        </w:rPr>
      </w:pPr>
      <w:r>
        <w:rPr>
          <w:rFonts w:ascii="Arial" w:cs="Arial" w:eastAsia="Arial" w:hAnsi="Arial"/>
          <w:sz w:val="18"/>
          <w:szCs w:val="18"/>
          <w:color w:val="auto"/>
        </w:rPr>
        <w:t>o the incurrence of any indebtedness in excess of $1.5 million in the aggregate during any fiscal year o the sale, transfer or other disposition of all or substantially all of our assets;</w:t>
      </w: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o 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7"/>
          <w:szCs w:val="17"/>
          <w:color w:val="auto"/>
        </w:rPr>
      </w:pP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o 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7"/>
          <w:szCs w:val="17"/>
          <w:color w:val="auto"/>
        </w:rPr>
      </w:pP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o 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7"/>
          <w:szCs w:val="17"/>
          <w:color w:val="auto"/>
        </w:rPr>
      </w:pPr>
    </w:p>
    <w:p>
      <w:pPr>
        <w:ind w:left="980" w:hanging="324"/>
        <w:spacing w:after="0" w:line="277" w:lineRule="auto"/>
        <w:rPr>
          <w:rFonts w:ascii="Arial" w:cs="Arial" w:eastAsia="Arial" w:hAnsi="Arial"/>
          <w:sz w:val="17"/>
          <w:szCs w:val="17"/>
          <w:color w:val="auto"/>
        </w:rPr>
      </w:pPr>
      <w:r>
        <w:rPr>
          <w:rFonts w:ascii="Arial" w:cs="Arial" w:eastAsia="Arial" w:hAnsi="Arial"/>
          <w:sz w:val="18"/>
          <w:szCs w:val="18"/>
          <w:color w:val="auto"/>
        </w:rPr>
        <w:t>o 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7"/>
          <w:szCs w:val="17"/>
          <w:color w:val="auto"/>
        </w:rPr>
      </w:pPr>
    </w:p>
    <w:p>
      <w:pPr>
        <w:ind w:left="980" w:hanging="324"/>
        <w:spacing w:after="0" w:line="264" w:lineRule="auto"/>
        <w:rPr>
          <w:rFonts w:ascii="Arial" w:cs="Arial" w:eastAsia="Arial" w:hAnsi="Arial"/>
          <w:sz w:val="17"/>
          <w:szCs w:val="17"/>
          <w:color w:val="auto"/>
        </w:rPr>
      </w:pPr>
      <w:r>
        <w:rPr>
          <w:rFonts w:ascii="Arial" w:cs="Arial" w:eastAsia="Arial" w:hAnsi="Arial"/>
          <w:sz w:val="18"/>
          <w:szCs w:val="18"/>
          <w:color w:val="auto"/>
        </w:rPr>
        <w:t>o 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warrants outstanding to purchase 348,195 shares of our Common Stock at a weighted average exercise price of $3.33 as of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1,580,417 shares of our Common Stock at a weighted average exercise price of $3.27 as of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Through April 2018</w:t>
      </w:r>
    </w:p>
    <w:p>
      <w:pPr>
        <w:spacing w:after="0" w:line="225" w:lineRule="exact"/>
        <w:rPr>
          <w:sz w:val="20"/>
          <w:szCs w:val="20"/>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applied for listing on the NASDAQ Capital Market Exchange. In connection with this, our board of directors has approved a reverse split of our Common Stock on a 1 to 3 basis to meet the listing requirements and we have agreed to issue 5.0 million shares in exchange for gross proceeds of $9.0 million to further solidify our financial position and accelerate our growth. The reverse split was effective on May 14,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net revenue for the first three months of 2018 was $4.1 million, up 91% over the same period in 2017. The increase was driven by financial and brand messaging growth from new and returning clients, as well as expanded distribution channels.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focus on adding additional brands for existing clients, providing new solutions, expanding the utilization of our network for existing brands, and obtaining new pharmaceutical manufacturer clients and advertising agencies.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expanded our board of directors, adding two new independent directors, Patrick Spanglar and Bryan Archambault, as well as established an audit committee to continue to improve our corporate governance.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presented at the 14th Annual Noble Capital Markets Investment Conference and the 30th Annual Roth Investor Conference to continue our investor outreach.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EHR/eRx platforms continues to grow as well.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Company Highlights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 increased 56% to a record $12.1 million in 2017 over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 was a record $4.0 million in Q4 2017, up 75% over Q4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Appointed health IT industry veteran, Miriam Paramore, as president to expand our electronic health records (EHR) network, add new solutions and drive scale in our business model.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our sales team and established a strong base which helped drive record revenues for Q3 and Q4 2017 with expected revenue growth in 2018 and beyond.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new pharmaceutical manufacturers and brands for our core offerings of Financial and Brand messaging for distribution through our expanding channel partners.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growth through our success in acquiring, integrating and expanding into new promotional EHR/eRx platforms with a greater than 20% increase in reach to healthcare providers in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Proven investment returns from our pharmaceutical promotions, as determined by an independent analytics firm, with multiple pharmaceutical brands that differentiates our programs as one of the most effective digital tactics available to pharmaceutical firms.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our exclusive partnership with Allscripts Healthcare, which now includes real-time financial, informational, and clinical messaging to Allscripts ambulatory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Sales and Marketing Updates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sales team continues to expand our business with existing clients and win new clients. We are focused on adding additional brands for existing clients, providing new solutions,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expanded our service offerings: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Messaging – We have successfully integrated our new platform with partners in 2017 and have launched initial programs. Additionally, we expect our exclusive partnership with Allscripts, which allows us to offer LogRx brand messaging and Infoscripts messaging, to accelerate revenue growth in this area.</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Brand Support – We have designed a service to better insure that manufacturer brands are available in every ePrescribing platform available, and we have incorporated this to an overall program related to launch brands that include brand awareness messaging and financial messaging.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ramp up our marketing efforts: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Presented at multiple investor conferences in 2017, including: Noble Capital Markets’ 13th Annual Investor Conference, 29th annual Roth Conference, 7th Annual LD Micro Invitational and 10th Annual LD Micro Main Event.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Lead kick-off panel, “A New Infrastructure for Healthcare,” at Distributed: Health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Sponsored CBI’s 4th Annual Bio/Pharma Forum on e-Rx and EHR as well as moderated a panel.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growth of both the number of our pharmaceutical brands and our distribution network, we expect our distribution of financial messages will continue to increase substantially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plan to expand our existing network and increase physician utilization of our partner networks. We continue to work individually with our partners based on their particular situation, focusing on improving workflow and increasing coupon utilization by providers that have access, obtain access for those prescribers that currently do not have financial messaging access, and increase overall revenue derived from each channel. In addition to revenue growth provided by new brands and new network partners, we believe there is significant revenue growth potential within our existing brands by better utilizing our existing partner networks.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signed an agreement with Allscripts to become their exclusive provider of financial messaging and obtain access to their Touchworks EHR product that is used primarily by large ambulatory systems. Financial messaging activity commenced within the Touchworks platform late in Q1 2017 and ramped up gradually throughout the balance of the year. We expect activity to ramp more quickly in 2018, with significant growth generated by this channel in 2018. In addition, we launched five new EHRs in 2017 and we have three others launching in Q1 2018. We anticipate revenue from these channels to accelerate in 2018 and positively impact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migrated our platform to Oracle database software. Our system can manage up to one million rules and return the appropriate content within one second. This ultra-fast response time helps avoid delays and supports our expectation for accelerated revenue growth. To further improve the efficiency of our system, we moved our software to Amazon Web Services in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our own proprietary brand messaging system designed to expand our ability to deliver key clinical messages in addition to financial support, and we plan to integrate this within EHRs that currently do not offer this valued product to their providers. We launched this system in 2017 with one channel partner and expect to launch it with additional partners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financial messaging market, we remain excited about our core financial messaging business. We expect to significantly accelerate revenue growth in 2018, driven by the launch of additional channels, brands and products. We also expect our active network to continue to grow substantially in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 the fact that many healthcare systems and doctors are looking for an easier, more effective way to increase affordable access and adherence to their prescribed branded medications.</w:t>
      </w:r>
    </w:p>
    <w:p>
      <w:pPr>
        <w:spacing w:after="0" w:line="204"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Brand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brand messaging system and rolled this product out in 2017. We have also purchased all available 2018 inventory from Allscripts for its LogRx brand messaging product, as well as its Infoscripts messaging product. We believe brand messaging represents a significant growth opportunity for us.</w:t>
      </w:r>
    </w:p>
    <w:p>
      <w:pPr>
        <w:spacing w:after="0" w:line="216"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continue to extend our marketing efforts to build both brand and capabilities awareness in the market. As previously discussed, we continue to actively participate in industry and partner events such as ExL Pharma and the ACE – Allscripts Users Conference, as well as having taken a lead sponsor position in the CBInet eRx and EHR conferences in March of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continue to focus on the expansion of our strategic partnership with WPP, plc. We plan to continue to increase our marketing efforts with all of our strategic partners as we continue to promote our platform primarily through:</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Relationships.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specific portion of the financial messaging market. We have a growing list of potential partners whom either have content that they want to deliver through our distribution engine and network, or have complementary technology and want to integrate our solution as a channel partner and thereby increase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Prospectus, we had 23 full-time employees and one part-time employee, in addition to contracted programmers, as needed,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month to month leases on shared office spaces in Cambridge Massachusetts and Nashville Tennessee, with monthly lease payments of $2,850 and $1,360,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total net revenue reported for the three months ended March 31, 2018 was approximately $4.1 million, an increase of 91% over the approximately $2.2 million in the same period of 2017. The increase is primarily due to sales increases in our messaging products. 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$118,000 during the quarter and that revenue will be recognized throughout the remainder of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cost of sales percentage, composed primarily of revenue share expense, declined as a percentage of sales, from approximately 64% to approximately 49% even though our total cost of sales increased because of the significant revenue increase. Our revenue related to brand messaging has a higher cost associated with it than our financial messaging. We launched our brand messaging products in the first quarter of 2017 and had significantly higher costs during the launch period. Those costs continued to decrease as a percentage of sales throughout 2017 as our volume increased.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gross margin improved from 35.8% in the quarter ended March 31, 2017 to 51.2% in the quarter ended March 31, 2018. We are focused on improving our margins and are targeting a gross margin of at least 55% by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from approximately $1.7 million for the three months ended March 31, 2017 to approximately $2.3 million for the same period in 2018, an increase of approximately 38%. The detail by major category is reflected in the table below.</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4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1,219,297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Board Compensation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Consultants</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Maintenance, and Integration Costs</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2,295,341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largest increases in operating expenses related to salaries, wages, and benefits and other human resource related costs. Since the beginning of the first quarter of 2017, we have appointed a new president and two new vice presidents of Sales, as well as hired a new account manager and related administrative support. These new team members also resulted in increases in benefits and payroll taxes. We also implemented new incentive compensation plans for our sales force that increased their incentive compensation. In addition, all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We expect stock-based compensation to decrease on a quarterly basis for the balance of the year.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development, maintenance, and integration costs reflects start-up costs related to the integration of new EHRs as well as increased capacity of our technology systems, which included a transition to Amazon Web Services during the quarter ended March 31, 2018. These investments are starting to show their value through increased revenue growth and our transition to a broader client base and greater scale.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and promotion decreased in 2018 because 2017 included several one-time costs and a conference that we sponsored in 2017 that did not occur during the first quarter of 2018. Professional fees decreased in 2018 because we settled our litigation in 2017 and no longer have any ongoing litigation. All other variances in the table above are the result of normal fluctuations in activity.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overall operating expenses to continue at the 2018 level, or slightly above as we further implement our business plan and expand our operations to grow the business in a very dynamic and active marketplace. However, we have established a strong team as a base to support growth and do not expect human resource costs to increase significantly, even with continued strong sales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loss for the three months ended March 31, 2018 was approximately $190,000, as compared to a loss of approximately $880,000 during the same period in 2017. The reasons and specific components associated with the decreased loss are discussed above. Overall, the decreased loss resulted from increased revenues and gross margin. We are focused on top-line growth, while managing our expenses, so we expect to see a continued, but managed, loss for the near future, but expect to achieve profitability on quarterly basis no later than the fourth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revenue for the year ended December 31, 2017 was approximately $12.1 million, an increase of 56% from the year ended December 31, 2016. This increase resulted from increased pharmaceutical brands, an increased distribution network, and strong growth in our brand messaging product. We expect continued strong revenue growth in 2018 as a result of the foundations laid in 2016 and 2017.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We have focused our efforts on expanding both our customer base and our product offerings and are becoming less dependent on any one customer. In each of 2016 and 2017, we only had one pharmaceutical manufacturer that individually accounted for greater than 10% of our revenues, and that was a different customer in each year.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total cost of sales, composed primarily of revenue share expense, increased in the year ended December 31, 2017, from the year ended December 31, 2016 primarily due to the increase in revenues. In addition, revenue share expense as a percentage of revenue in 2017 increased from 2016 from approximately 44% in the year ended December 31, 2016 to approximately 51% in the year ended December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increase in revenue share expense as a percentage of revenue resulted primarily from product mix, and specifically from the substantial increase in our brand messaging revenue that has a lower margin and higher costs relative to our core financial messaging product. We expect revenue share expense as a percentage of revenue in 2018 to decline from 2017 levels. We have signed revenue share agreements with newer partners that contain lower revenue share percentages, and as revenue from those new channels increases, we expect it to help lower our overall percentage. We also expect continued growth in our brand messaging product, and this will enable us to spread the fixed costs associated with this type of messaging over a larger base and result in a lower overall revenue share percentage.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gross margin, which is simply the difference between our revenues and our cost of sales, discussed above, increased substantially from 2016 to 2017 as a result of the increased revenue. However, our gross margin percentage decreased from approximately 56% in 2016 to 49% in 2017 for the reasons discussed above in the cost of sales section. We are focused on improving our margins in 2018 and have a target of increasing our margin to 55%.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to approximately $8.1 million for the year ended December 31, 2017, from approximately $5.9 million for the year ended December 31, 2016, an increase of approximately 36%. The detail by major category is reflected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ind w:left="500"/>
              <w:spacing w:after="0"/>
              <w:rPr>
                <w:sz w:val="20"/>
                <w:szCs w:val="20"/>
                <w:color w:val="auto"/>
              </w:rPr>
            </w:pPr>
            <w:r>
              <w:rPr>
                <w:rFonts w:ascii="Arial" w:cs="Arial" w:eastAsia="Arial" w:hAnsi="Arial"/>
                <w:sz w:val="18"/>
                <w:szCs w:val="18"/>
                <w:b w:val="1"/>
                <w:bCs w:val="1"/>
                <w:color w:val="auto"/>
                <w:w w:val="87"/>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4,151,740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207,062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1,009,022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294,425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7,180,385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5,312,277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902,389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8,082,774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5,921,578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main reasons for the overall increase in operating expenses in 2017 was our focus on staffing and scaling our company to focus on, and be able to support, accelerated revenue growth.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operating expenses, there were a variety of increases, the largest of which was in salaries, wages and benefits as a result of additional staff added in 2016 and 2017, including related benefits. During 2017, we hired a president and two new vice presidents of sales, as well as additional supporting positions. Incentive compensation also increased in 2017, primarily as a result of the increase in revenues. We also enhanced our sales commission program and expanded it to include account managers to greater incentivize those people interfacing with the customers. We expect our compensation expense to increase in 2018, but at a much lower rate than in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Professional fees decreased due to the resolution of our last remaining piece of litigation in 2017. In 2018, we expect professional fees to remain at 2017 levels or even slightly decrease.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related to development, management, and maintenance of our technology increased in 2017 as a result of improvements to our system as well as costs associated with the start of migrating our technology to Amazon Web Services. We expect these costs to decrease significantly in 2018 due to the investments made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increased in 2017 from the 2016 levels primarily because of the assets capitalized in 2016 and 2017. Other increases in operating expenses generally increased due to the increased staffing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finished the year ended December 31, 2017 with a loss of approximately $2.1 million, as compared to a loss of approximately $1.5 million during the year ended December 31, 2016. The reasons for specific components are discussed above. Overall, we had an increase in revenue and gross margin offset by increased operating expenses to support future growth. In addition, the loss in both periods included significant noncash items. We had approximately $800,000 in noncash expense in 2016 and approximately $1.45 million in noncash expense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we had total current assets of approximately $8.3 million, compared with current liabilities of approximately $2.4 million, resulting in working capital of approximately $5.9 million and a current ratio of approximately 3.4 to 1, improved from the working capital of approximately $5.3 million and current ratio of 2.5 to 1 at December 31, 2017.</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operating activities used approximately $800,000 in cash flow during the three months ended March 31, 2018, compared with cash used of approximately $300,000 in the same period in 2017. The cash used in the 2017 period was the result of our net loss, partially offset by working capital management. The cash used in the 2018 period was the result of our net loss as well as cash used for working capital. The main use of cash in 2018 was as a result of the change in payment terms for one of our key partners, as well as payment of certain year end liabilities. This change in payment terms also had a favorable impact on our gross margin. We expect to have positive cash flow from operations for the balance of the year.</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insignificant amounts in investing activities in the three months ended March 31, 2018, and 2017. These investments related to purchases of equipment as well as investments related to the expansion of our network capabilities.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financing activities in either period. We did however, as discussed in Note 3, issue 100,000 shares valued at $447,000 in a non-cash transaction in payment of revenue share due under a comarketing agreement and the accompanying termination of the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end of the quarter, we signed an agreement to issue 1.667 million shares of our Common Stock for gross proceeds of $9.0 million and approximate net proceeds of $8.3 million. We expect the transaction to close in early May.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this additional funding,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As described in greater detail in Note 2 of our financial statements for the quarter ended March 31,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which had an immaterial impact on our financial statements.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no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WPP made a strategic investment in the Company and is a shareholder that owns approximately 21% of the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activity between the Company and WPP in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r>
        <w:trPr>
          <w:trHeight w:val="641"/>
        </w:trPr>
        <w:tc>
          <w:tcPr>
            <w:tcW w:w="46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91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David Harrell, our prior officer and director, which granted us a standard release of employment claims in consideration for, among other things, the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agreed to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11, 2017, we entered into a Separation and Stock Purchase Agreement with Mr. Harrell pursuant to which we agreed to repurchase from Mr. Harrell 166,667 shares of our Common Stock for aggregate consideration of $390,000, representing a purchase price of $2.34 per share.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under the agreement, we agreed that the consulting agreement with Mr. Harrell shall terminate on July 31, 2017, but that his non-compete agreement with us shall extend to July 31, 2019. The agreement also stipulated that Mr. Harrell shall resign as a member of our board of directors effective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September 24, 2015, we entered into an Investor Rights Agreement with WPP (the “Rights Agreement”), pursuant to which we agreed to the following:</w:t>
      </w:r>
    </w:p>
    <w:p>
      <w:pPr>
        <w:spacing w:after="0" w:line="248"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We granted WPP registration rights for its shares and any securities acquired in connection with an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Co-Marketing Agreement (described below) after a period of two years.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Inspection Rights</w:t>
      </w:r>
      <w:r>
        <w:rPr>
          <w:rFonts w:ascii="Arial" w:cs="Arial" w:eastAsia="Arial" w:hAnsi="Arial"/>
          <w:sz w:val="17"/>
          <w:szCs w:val="17"/>
          <w:color w:val="auto"/>
        </w:rPr>
        <w:t>. So long as WPP owns not less than 25% of the shares, we granted WPP an annual right to inspect our books and records.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WPP owns not less than 25% of the shares, we will allow WPP to choose a representative to attend our board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nonvoting observer.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Board Seat</w:t>
      </w:r>
      <w:r>
        <w:rPr>
          <w:rFonts w:ascii="Arial" w:cs="Arial" w:eastAsia="Arial" w:hAnsi="Arial"/>
          <w:sz w:val="18"/>
          <w:szCs w:val="18"/>
          <w:color w:val="auto"/>
        </w:rPr>
        <w:t>. So long as WPP owns not less than 25% of the shares, we agreed to appoint a nominee of WPP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agreed to a five member Board of Directors provided that it is not prohibited by the rules and regulations of an exchange that we trade on. We also agreed to enter into an indemnity agreement with the nominee. In January 2017, WPP waived the five member Board limit and the Board was expanded to six (6) Directors.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WPP owns not less than 25% of the shares, we agreed to review our budget plans with WPP’s nominee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to the Board of Directors, at the request of WPP.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Right of First Refusal</w:t>
      </w:r>
      <w:r>
        <w:rPr>
          <w:rFonts w:ascii="Arial" w:cs="Arial" w:eastAsia="Arial" w:hAnsi="Arial"/>
          <w:sz w:val="17"/>
          <w:szCs w:val="17"/>
          <w:color w:val="auto"/>
        </w:rPr>
        <w:t>. We agreed that, in the event that we propose to sell new securities, we will first offer such new securities to WPP.</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WPP owns not less than 25% of the shares, and provided that it is not prohibited by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an exchange that we trade on, we agreed that 80% Board approval will be required for certain decisions, including:</w:t>
      </w:r>
    </w:p>
    <w:p>
      <w:pPr>
        <w:spacing w:after="0" w:line="170" w:lineRule="exact"/>
        <w:rPr>
          <w:rFonts w:ascii="Arial" w:cs="Arial" w:eastAsia="Arial" w:hAnsi="Arial"/>
          <w:sz w:val="18"/>
          <w:szCs w:val="18"/>
          <w:color w:val="auto"/>
        </w:rPr>
      </w:pPr>
    </w:p>
    <w:p>
      <w:pPr>
        <w:ind w:left="660" w:right="3320"/>
        <w:spacing w:after="0" w:line="528" w:lineRule="auto"/>
        <w:rPr>
          <w:rFonts w:ascii="Arial" w:cs="Arial" w:eastAsia="Arial" w:hAnsi="Arial"/>
          <w:sz w:val="18"/>
          <w:szCs w:val="18"/>
          <w:color w:val="auto"/>
        </w:rPr>
      </w:pPr>
      <w:r>
        <w:rPr>
          <w:rFonts w:ascii="Arial" w:cs="Arial" w:eastAsia="Arial" w:hAnsi="Arial"/>
          <w:sz w:val="18"/>
          <w:szCs w:val="18"/>
          <w:color w:val="auto"/>
        </w:rPr>
        <w:t>o the incurrence of any indebtedness in excess of $1.5 million in the aggregate during any fiscal year o the sale, transfer or other disposition of all or substantially all of our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ventures that do not exceed, individually or in the aggregate 5% of our then issued and outstanding capital stock.</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 until June 30, 2016, the number of shares of Common Stock was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30-trading day period immediately prior to the date of the most recent statement of GHG Net Revenues set forth by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set forth the range of high and low bid information for our pre-reverse split Common Stock for the each of the periods indicated as reported by the OTCQB. These quotations reflect inter-dealer prices, without retail mark-up, mark-down or commission and may not necessarily represent actual transactions.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740" w:type="dxa"/>
            <w:vAlign w:val="bottom"/>
            <w:gridSpan w:val="3"/>
          </w:tcPr>
          <w:p>
            <w:pPr>
              <w:jc w:val="center"/>
              <w:ind w:right="990"/>
              <w:spacing w:after="0"/>
              <w:rPr>
                <w:sz w:val="20"/>
                <w:szCs w:val="20"/>
                <w:color w:val="auto"/>
              </w:rPr>
            </w:pPr>
            <w:r>
              <w:rPr>
                <w:rFonts w:ascii="Arial" w:cs="Arial" w:eastAsia="Arial" w:hAnsi="Arial"/>
                <w:sz w:val="18"/>
                <w:szCs w:val="18"/>
                <w:color w:val="auto"/>
                <w:w w:val="89"/>
              </w:rPr>
              <w:t>Fiscal Year Ending December 31, 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High</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Low</w:t>
            </w:r>
          </w:p>
        </w:tc>
      </w:tr>
      <w:tr>
        <w:trPr>
          <w:trHeight w:val="241"/>
        </w:trPr>
        <w:tc>
          <w:tcPr>
            <w:tcW w:w="288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67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2016</w:t>
            </w:r>
          </w:p>
        </w:tc>
        <w:tc>
          <w:tcPr>
            <w:tcW w:w="5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June 30, 2016</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December 31, 2016</w:t>
            </w: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641"/>
        </w:trPr>
        <w:tc>
          <w:tcPr>
            <w:tcW w:w="28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280" w:type="dxa"/>
            <w:vAlign w:val="bottom"/>
            <w:gridSpan w:val="3"/>
          </w:tcPr>
          <w:p>
            <w:pPr>
              <w:jc w:val="right"/>
              <w:ind w:right="2370"/>
              <w:spacing w:after="0"/>
              <w:rPr>
                <w:sz w:val="20"/>
                <w:szCs w:val="20"/>
                <w:color w:val="auto"/>
              </w:rPr>
            </w:pPr>
            <w:r>
              <w:rPr>
                <w:rFonts w:ascii="Arial" w:cs="Arial" w:eastAsia="Arial" w:hAnsi="Arial"/>
                <w:sz w:val="18"/>
                <w:szCs w:val="18"/>
                <w:color w:val="auto"/>
              </w:rPr>
              <w:t>Fiscal Year Ending December 31, 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High</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41"/>
        </w:trPr>
        <w:tc>
          <w:tcPr>
            <w:tcW w:w="330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62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June 30, 2017</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3.30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3.90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December 31, 2017</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4.80</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3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Quarter Ended March 31, 2018</w:t>
            </w:r>
          </w:p>
        </w:tc>
        <w:tc>
          <w:tcPr>
            <w:tcW w:w="628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4.98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May 31, 2018, the last sales price per share of our Common Stock was $8.28.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1, 2018, we had 11,548,095 shares of our Common Stock issued and outstanding, held by 320 shareholders of record at our transfer agent, with approximately 1,000 others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500,000 incentive or non-qualified options to purchase our Common Stock, or stock awards. In March 2016, the Board expanded the number of shares issuable under the plan to 1,333,333 and in February 2018, the number of shares issuable was increased to 1,833,333.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2017</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remaining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of Securities to</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for future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be issued 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issuance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under equity</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of 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compensation</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options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plans</w:t>
            </w:r>
          </w:p>
        </w:tc>
      </w:tr>
      <w:tr>
        <w:trPr>
          <w:trHeight w:val="216"/>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(warrants)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348,195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had no remaining shares available to grant under the Plan at December 31, 2017. In 2018, we increased our available shares under the Plan to 1,833,333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issued 6,250 shares of restricted Common Stock to our outside Directors as part of our director compensation package for services rendered in Q4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2018, we sold to accredited investors an aggregate of 1,666,669 shares of our Common Stock, par value $0.001 per share, for $5.40 per share, or gross proceeds of approximately $9,000,000.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 (1)(2)</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Director</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993,825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Miriam Paramore</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46,036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329,950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89,380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SVP of Sales</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60,294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154,684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Douglas P. Baker</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95,330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134,070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44,847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ind w:left="340" w:hanging="332"/>
        <w:spacing w:after="0" w:line="25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Febbo, Hamilton, and Baker represent employer matching contributions to the Company’s retirement plan, on the same basis as for all employees.</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reflects $2,200 of employer matching contributions to the Company’s retirement plan and $22,586 paid to her as a consultant prior to her starting employment for the Company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Febbo joined the Company as CEO on February 22, 2016. His employment contract called for an initial annual base salary of $220,000. In addition, he is eligible to participate in the Company’s executive bonus plan with a target bonus of 50% of his annual salary. He is also eligible for vacation, sick days, insurance, to participate in the Company’s 401k plan, and other benefits covering all employees. In March 2017, Mr. Febbo’s annual salary was adjusted to $250,000 per year, retroactive to January 1, 2017 by the compensation committee of the Board of Directors. No formal contract amendment was signed. Under the terms of his contract, the Company also granted to Mr. Febbo an option to purchase 500,000 shares of Common Stock, exercisable at a price of $3.21 per share, and vesting annually over a period of 5 years. Mr. Febbo’s contract calls for 12 months of severance if he is terminated without cause.</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2018, Mr. Febbo signed a formal contract amendment that increased his base salary to $275,000 retroactive to January 1, 2018 and set his 2019 salary at $300,000. The amendment also accelerated vesting on the options originally expected to vest on the fifth anniversary of his contract, by three years, as well as obligated the Company to reimburse Mr. Febbo for the premium on a term life insurance policy. The Company also granted to Mr. Febbo 80,000 shares of restricted Common Stock in February 2018 that vests if the Company achieves targeted stretch revenue goals in either 2019 or 2020.</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Ms. Paramore joined the Company as President on August 1, 2017. Her employment contract called for an initial base salary of $220,000. In addition, she is eligible to participate in the Company’s executive bonus plan with a target bonus of 40% of her annual salary. She is also eligible for vacation, sick days, insurance, to participate in the Company’s 401k plan, and other benefits covering all employees. Under the terms of her contract, the Company also granted to Ms. Paramore an option to purchase 166,667 shares of Common Stock, exercisable at a price of $3.15 per share, and vesting annually over a period of 5 years. Ms. Paramore’s contract calls for 6 months of severance if she is terminated without cause prior to August 1, 2018 and 12 months of severance is she is terminated without cause after August 1, 2018. Ms. Paramore was also granted 16,667 shares of restricted Common Stock in February 2018 that vests if the Company achieves targeted stretch revenue goals in either 2019 or 2020.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27, 2016, Mr. Hamilton’s signed a new employment agreement calling for a base salary of $181,650. In addition, he is eligible to participate in the Company’s executive bonus plan with a target bonus of 40% of his annual salary. He is also eligible for vacation, sick days, insurance, to participate in the Company’s 401k plan, and other benefits covering all employees. In March 2017, Mr. Hamilton’s annual salary was adjusted to $200,000 per year, retroactive to January 1, 2017. No formal contract amendment was signed. Mr. Hamilton’s contract also calls for 12 months of severance if he is terminated without cause. The Company also granted to Mr. Hamilton an option to purchase 66,667 shares of Common Stock in 2016, exercisable at a price of $3.45 per share that vests annually over a period of two years. Mr. Hamilton was also granted a performance based option to purchase 66,667 shares of Common Stock in 2017 that vested when the Company achieved its revenue budget of $12,000,000.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2018, Mr. Hamilton’s base salary was adjusted to $210,000, retroactive to January 1, 2018. He also has the opportunity to earn up to $100,000 of additional bonus in excess of the targeted amount, in increments of $20,000, if the Company exceeds its revenue targets by certain predefined milestones. Mr. Hamilton was also granted 16,667 shares of restricted stock in February 2018 that vest if the Company achieves targeted stretch revenue goals in either 2019 or 2020. Mr. Hamilton was also granted 16,667 shares of restricted Common Stock in February 2018 that vests if the Company achieves targeted stretch revenue goals in either 2019 or 2020.</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27, 2016, Mr. Baker signed a new employment agreement calling for a base salary of $180,000. In addition, he is eligible to participate in the Company’s executive bonus plan with a target bonus of 30% of his annual salary. He is also eligible for vacation, sick days, insurance, to participate in the Company’s 401k plan, and other benefits covering all employees. In March 2017, Mr. Baker’s annual salary was adjusted to $200,000 per year, retroactive to January 1, 2017. No formal contract amendment was signed. Mr. Baker’s contract calls for 6 months of severance if he is terminated without cause. Mr. Baker was also granted a performance based option to purchase 66,667 shares of Common Stock in 2017 that vested when the Company achieved its revenue budget of $12,000,000 and an option to purchase 33,334 shares of Common Stock that vests over a one-year period beginning in March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Mr. Baker’s annual salary was adjusted to $220,000 retroactive to January 1, 2018 and his target bonus percentage was changed to 40% of his annual salary. Mr. Baker was also granted 16,667 shares of restricted Common Stock in February 2018 that vests if the Company achieves targeted stretch revenue goals in either 2019 or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8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OPTION AWARDS</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STOCK AWARDS</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Market</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or</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Units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Units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Units or</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Stock That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That</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Unexercised</w:t>
            </w: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Unexercised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Have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Have</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That Have</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Not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Not</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Not</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Expiration</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4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Unexercisable</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 Febbo</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02/21/21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Miriam Paramore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166,667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Douglas Baker</w:t>
            </w:r>
          </w:p>
        </w:tc>
        <w:tc>
          <w:tcPr>
            <w:tcW w:w="102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33,334</w:t>
            </w:r>
          </w:p>
        </w:tc>
        <w:tc>
          <w:tcPr>
            <w:tcW w:w="12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05/19/19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33,334</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06/24/20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66,667</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33,334</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16,667</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03/31/22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Terry Hamilton</w:t>
            </w:r>
          </w:p>
        </w:tc>
        <w:tc>
          <w:tcPr>
            <w:tcW w:w="102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33,334</w:t>
            </w:r>
          </w:p>
        </w:tc>
        <w:tc>
          <w:tcPr>
            <w:tcW w:w="126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33,334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3.45</w:t>
            </w:r>
          </w:p>
        </w:tc>
        <w:tc>
          <w:tcPr>
            <w:tcW w:w="90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07/28/16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66,667</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03/31/22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Fees Earned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 Paid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Cash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29,186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49,186</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55,436</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6"/>
              </w:rPr>
              <w:t>Narrative Disclosure to the Director Compensation Table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Annual Fee</w:t>
            </w:r>
          </w:p>
        </w:tc>
      </w:tr>
      <w:tr>
        <w:trPr>
          <w:trHeight w:val="241"/>
        </w:trPr>
        <w:tc>
          <w:tcPr>
            <w:tcW w:w="10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Basic Director Fee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Board Chair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 In addition, Outside Directors shall also receive 8,334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60" w:type="dxa"/>
            <w:vAlign w:val="bottom"/>
            <w:gridSpan w:val="9"/>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color w:val="auto"/>
              </w:rPr>
              <w:t>Index to Financial Statements Required by Article 8 of Regulation S-X:</w:t>
            </w:r>
          </w:p>
        </w:tc>
        <w:tc>
          <w:tcPr>
            <w:tcW w:w="0" w:type="dxa"/>
            <w:vAlign w:val="bottom"/>
          </w:tcPr>
          <w:p>
            <w:pPr>
              <w:spacing w:after="0"/>
              <w:rPr>
                <w:sz w:val="1"/>
                <w:szCs w:val="1"/>
                <w:color w:val="auto"/>
              </w:rPr>
            </w:pP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Unaudited Financial Statements: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w:t>
            </w:r>
          </w:p>
        </w:tc>
        <w:tc>
          <w:tcPr>
            <w:tcW w:w="54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Balance Sheets as of March 31, 2018 and December 31, 2017;</w:t>
              </w:r>
            </w:hyperlink>
          </w:p>
        </w:tc>
        <w:tc>
          <w:tcPr>
            <w:tcW w:w="478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F-2</w:t>
            </w:r>
          </w:p>
        </w:tc>
        <w:tc>
          <w:tcPr>
            <w:tcW w:w="10260" w:type="dxa"/>
            <w:vAlign w:val="bottom"/>
            <w:gridSpan w:val="10"/>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three months ended March 31, 2018 and 2017;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 for three months ended March 31, 2018 and 2017;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F-5</w:t>
            </w:r>
          </w:p>
        </w:tc>
        <w:tc>
          <w:tcPr>
            <w:tcW w:w="32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Notes to Financial Statements.</w:t>
              </w:r>
            </w:hyperlink>
          </w:p>
        </w:tc>
        <w:tc>
          <w:tcPr>
            <w:tcW w:w="3620" w:type="dxa"/>
            <w:vAlign w:val="bottom"/>
            <w:tcBorders>
              <w:top w:val="single" w:sz="8" w:color="0000EE"/>
            </w:tcBorders>
            <w:gridSpan w:val="8"/>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F-6 - F-7</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Reports of Independent Registered Public Accounting Firms;</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F-8</w:t>
            </w:r>
          </w:p>
        </w:tc>
        <w:tc>
          <w:tcPr>
            <w:tcW w:w="10260" w:type="dxa"/>
            <w:vAlign w:val="bottom"/>
            <w:gridSpan w:val="10"/>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December 31, 2017 and 2016;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F-9</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Operations for the years ended December 31, 2017 and 2016;</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F-10 - F-11</w:t>
            </w: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 of Stockholders’ Equity as of December 31, 2017;</w:t>
              </w:r>
            </w:hyperlink>
          </w:p>
        </w:tc>
        <w:tc>
          <w:tcPr>
            <w:tcW w:w="382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F-12</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years ended December 31, 2017 and 2016;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F-13</w:t>
            </w:r>
          </w:p>
        </w:tc>
        <w:tc>
          <w:tcPr>
            <w:tcW w:w="32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Notes to Financial Statements.</w:t>
              </w:r>
            </w:hyperlink>
          </w:p>
        </w:tc>
        <w:tc>
          <w:tcPr>
            <w:tcW w:w="3600" w:type="dxa"/>
            <w:vAlign w:val="bottom"/>
            <w:tcBorders>
              <w:top w:val="single" w:sz="8" w:color="0000EE"/>
            </w:tcBorders>
            <w:gridSpan w:val="7"/>
          </w:tcPr>
          <w:p>
            <w:pPr>
              <w:spacing w:after="0"/>
              <w:rPr>
                <w:sz w:val="15"/>
                <w:szCs w:val="15"/>
                <w:color w:val="auto"/>
              </w:rPr>
            </w:pPr>
          </w:p>
        </w:tc>
        <w:tc>
          <w:tcPr>
            <w:tcW w:w="34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4480"/>
              <w:spacing w:after="0"/>
              <w:rPr>
                <w:sz w:val="20"/>
                <w:szCs w:val="20"/>
                <w:color w:val="auto"/>
              </w:rPr>
            </w:pPr>
            <w:r>
              <w:rPr>
                <w:rFonts w:ascii="Arial" w:cs="Arial" w:eastAsia="Arial" w:hAnsi="Arial"/>
                <w:sz w:val="18"/>
                <w:szCs w:val="18"/>
                <w:color w:val="auto"/>
                <w:w w:val="99"/>
              </w:rPr>
              <w:t>42</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800"/>
        <w:spacing w:after="0" w:line="300" w:lineRule="auto"/>
        <w:rPr>
          <w:sz w:val="20"/>
          <w:szCs w:val="20"/>
          <w:color w:val="auto"/>
        </w:rPr>
      </w:pPr>
      <w:r>
        <w:rPr>
          <w:rFonts w:ascii="Arial" w:cs="Arial" w:eastAsia="Arial" w:hAnsi="Arial"/>
          <w:sz w:val="15"/>
          <w:szCs w:val="15"/>
          <w:color w:val="auto"/>
        </w:rPr>
        <w:t>Cash and cash equivalents Accounts receivable</w:t>
      </w:r>
    </w:p>
    <w:p>
      <w:pPr>
        <w:spacing w:after="0" w:line="1" w:lineRule="exact"/>
        <w:rPr>
          <w:sz w:val="20"/>
          <w:szCs w:val="20"/>
          <w:color w:val="auto"/>
        </w:rPr>
      </w:pPr>
    </w:p>
    <w:p>
      <w:pPr>
        <w:ind w:left="180" w:right="14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84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68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020" w:type="dxa"/>
            <w:vAlign w:val="bottom"/>
            <w:gridSpan w:val="2"/>
          </w:tcPr>
          <w:p>
            <w:pPr>
              <w:spacing w:after="0"/>
              <w:rPr>
                <w:sz w:val="20"/>
                <w:szCs w:val="20"/>
                <w:color w:val="auto"/>
              </w:rPr>
            </w:pPr>
            <w:r>
              <w:rPr>
                <w:rFonts w:ascii="Arial" w:cs="Arial" w:eastAsia="Arial" w:hAnsi="Arial"/>
                <w:sz w:val="18"/>
                <w:szCs w:val="18"/>
                <w:color w:val="auto"/>
                <w:w w:val="88"/>
              </w:rPr>
              <w:t>December 31,</w:t>
            </w:r>
          </w:p>
        </w:tc>
      </w:tr>
      <w:tr>
        <w:trPr>
          <w:trHeight w:val="237"/>
        </w:trPr>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r>
      <w:tr>
        <w:trPr>
          <w:trHeight w:val="198"/>
        </w:trPr>
        <w:tc>
          <w:tcPr>
            <w:tcW w:w="4940" w:type="dxa"/>
            <w:vAlign w:val="bottom"/>
          </w:tcPr>
          <w:p>
            <w:pPr>
              <w:spacing w:after="0"/>
              <w:rPr>
                <w:sz w:val="17"/>
                <w:szCs w:val="17"/>
                <w:color w:val="auto"/>
              </w:rPr>
            </w:pPr>
          </w:p>
        </w:tc>
        <w:tc>
          <w:tcPr>
            <w:tcW w:w="980" w:type="dxa"/>
            <w:vAlign w:val="bottom"/>
            <w:gridSpan w:val="2"/>
          </w:tcPr>
          <w:p>
            <w:pPr>
              <w:jc w:val="center"/>
              <w:spacing w:after="0" w:line="198" w:lineRule="exact"/>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5040" w:type="dxa"/>
            <w:vAlign w:val="bottom"/>
            <w:gridSpan w:val="2"/>
          </w:tcPr>
          <w:p>
            <w:pPr>
              <w:jc w:val="right"/>
              <w:ind w:right="4270"/>
              <w:spacing w:after="0"/>
              <w:rPr>
                <w:sz w:val="20"/>
                <w:szCs w:val="20"/>
                <w:color w:val="auto"/>
              </w:rPr>
            </w:pPr>
            <w:r>
              <w:rPr>
                <w:rFonts w:ascii="Arial" w:cs="Arial" w:eastAsia="Arial" w:hAnsi="Arial"/>
                <w:sz w:val="18"/>
                <w:szCs w:val="18"/>
                <w:b w:val="1"/>
                <w:bCs w:val="1"/>
                <w:color w:val="auto"/>
                <w:w w:val="91"/>
              </w:rPr>
              <w:t>ASSETS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4,298,619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5,122,573</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1,871,255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2,257,276</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1,974,143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1,173,614</w:t>
            </w: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191,413</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255,428</w:t>
            </w:r>
          </w:p>
        </w:tc>
      </w:tr>
      <w:tr>
        <w:trPr>
          <w:trHeight w:val="223"/>
        </w:trPr>
        <w:tc>
          <w:tcPr>
            <w:tcW w:w="4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8,335,430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8,808,891</w:t>
            </w:r>
          </w:p>
        </w:tc>
      </w:tr>
      <w:tr>
        <w:trPr>
          <w:trHeight w:val="223"/>
        </w:trPr>
        <w:tc>
          <w:tcPr>
            <w:tcW w:w="4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r>
      <w:tr>
        <w:trPr>
          <w:trHeight w:val="41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621,793</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638,766</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152,493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143,730</w:t>
            </w: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r>
      <w:tr>
        <w:trPr>
          <w:trHeight w:val="223"/>
        </w:trPr>
        <w:tc>
          <w:tcPr>
            <w:tcW w:w="4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779,335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r>
      <w:tr>
        <w:trPr>
          <w:trHeight w:val="250"/>
        </w:trPr>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9,272,373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9,763,741</w:t>
            </w:r>
          </w:p>
        </w:tc>
      </w:tr>
      <w:tr>
        <w:trPr>
          <w:trHeight w:val="21"/>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-1809115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-1534160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-1242695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-934085</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-650875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80" w:space="720"/>
            <w:col w:w="78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9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133,870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r>
      <w:tr>
        <w:trPr>
          <w:trHeight w:val="216"/>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898,478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r>
      <w:tr>
        <w:trPr>
          <w:trHeight w:val="216"/>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856,914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r>
      <w:tr>
        <w:trPr>
          <w:trHeight w:val="236"/>
        </w:trPr>
        <w:tc>
          <w:tcPr>
            <w:tcW w:w="9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2,438,918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0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9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Preferred stock, $0.001 par value, 10,000,000 shares authorized, no issued and outstanding at March 31, 2018 or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902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$0.001 par value, 500,000,000 shares authorized, 9,878,944 and 9,772,694 shares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at March 31, 2018 and December 31, 2017,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r>
      <w:tr>
        <w:trPr>
          <w:trHeight w:val="216"/>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r>
      <w:tr>
        <w:trPr>
          <w:trHeight w:val="216"/>
        </w:trPr>
        <w:tc>
          <w:tcPr>
            <w:tcW w:w="902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36,231,480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35,287,464</w:t>
            </w:r>
          </w:p>
        </w:tc>
      </w:tr>
      <w:tr>
        <w:trPr>
          <w:trHeight w:val="25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(30,694,328)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(30,363,122)</w:t>
            </w:r>
          </w:p>
        </w:tc>
      </w:tr>
      <w:tr>
        <w:trPr>
          <w:trHeight w:val="210"/>
        </w:trPr>
        <w:tc>
          <w:tcPr>
            <w:tcW w:w="9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6,833,455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9,272,373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r>
      <w:tr>
        <w:trPr>
          <w:trHeight w:val="21"/>
        </w:trPr>
        <w:tc>
          <w:tcPr>
            <w:tcW w:w="9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p>
      <w:pPr>
        <w:jc w:val="center"/>
        <w:ind w:left="932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932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94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2,781,621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1,400,318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Revenue – Related Party</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1,330,616</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4,112,237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REVENUE SHARE EXPENSE</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2,008,092</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2,104,145</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770,340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2,295,341</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1,660,778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(191,196)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(890,438)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0" w:type="dxa"/>
            <w:vAlign w:val="bottom"/>
          </w:tcPr>
          <w:p>
            <w:pPr>
              <w:spacing w:after="0" w:line="203"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w w:val="93"/>
              </w:rPr>
              <w:t>(189,179)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w w:val="93"/>
              </w:rPr>
              <w:t>(882,682)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9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(189,179</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(882,682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9,786,027</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9,906,289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0" w:type="dxa"/>
            <w:vAlign w:val="bottom"/>
            <w:vMerge w:val="restart"/>
          </w:tcPr>
          <w:p>
            <w:pPr>
              <w:ind w:left="21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94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94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 (189,179)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(882,682)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54,473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Stock and options issued for services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497,122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(414,508)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(323,419)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(279,328)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(404,291)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207,727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(787,388</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(297,236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Arial" w:cs="Arial" w:eastAsia="Arial" w:hAnsi="Arial"/>
                <w:sz w:val="18"/>
                <w:szCs w:val="18"/>
                <w:color w:val="auto"/>
              </w:rPr>
              <w:t>Development costs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(32,763)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ind w:right="3340"/>
        <w:spacing w:after="0" w:line="281" w:lineRule="auto"/>
        <w:rPr>
          <w:sz w:val="20"/>
          <w:szCs w:val="20"/>
          <w:color w:val="auto"/>
        </w:rPr>
      </w:pPr>
      <w:r>
        <w:rPr>
          <w:rFonts w:ascii="Arial" w:cs="Arial" w:eastAsia="Arial" w:hAnsi="Arial"/>
          <w:sz w:val="17"/>
          <w:szCs w:val="17"/>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0"/>
        <w:spacing w:after="0"/>
        <w:tabs>
          <w:tab w:leader="none" w:pos="1220" w:val="left"/>
        </w:tabs>
        <w:rPr>
          <w:sz w:val="20"/>
          <w:szCs w:val="20"/>
          <w:color w:val="auto"/>
        </w:rPr>
      </w:pPr>
      <w:r>
        <w:rPr>
          <w:rFonts w:ascii="Arial" w:cs="Arial" w:eastAsia="Arial" w:hAnsi="Arial"/>
          <w:sz w:val="16"/>
          <w:szCs w:val="16"/>
          <w:color w:val="auto"/>
        </w:rPr>
        <w:t>(823,954)</w:t>
      </w:r>
      <w:r>
        <w:rPr>
          <w:sz w:val="20"/>
          <w:szCs w:val="20"/>
          <w:color w:val="auto"/>
        </w:rPr>
        <w:tab/>
      </w:r>
      <w:r>
        <w:rPr>
          <w:rFonts w:ascii="Arial" w:cs="Arial" w:eastAsia="Arial" w:hAnsi="Arial"/>
          <w:sz w:val="16"/>
          <w:szCs w:val="16"/>
          <w:color w:val="auto"/>
        </w:rPr>
        <w:t>(313,382)</w:t>
      </w:r>
    </w:p>
    <w:p>
      <w:pPr>
        <w:spacing w:after="0" w:line="46"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7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$ 4,298,619</w:t>
      </w:r>
      <w:r>
        <w:rPr>
          <w:sz w:val="20"/>
          <w:szCs w:val="20"/>
          <w:color w:val="auto"/>
        </w:rPr>
        <w:tab/>
      </w:r>
      <w:r>
        <w:rPr>
          <w:rFonts w:ascii="Arial" w:cs="Arial" w:eastAsia="Arial" w:hAnsi="Arial"/>
          <w:sz w:val="15"/>
          <w:szCs w:val="15"/>
          <w:u w:val="single" w:color="auto"/>
          <w:color w:val="auto"/>
        </w:rPr>
        <w:t>$ 6,721,265</w:t>
      </w:r>
    </w:p>
    <w:p>
      <w:pPr>
        <w:spacing w:after="0" w:line="540" w:lineRule="exact"/>
        <w:rPr>
          <w:sz w:val="20"/>
          <w:szCs w:val="20"/>
          <w:color w:val="auto"/>
        </w:rPr>
      </w:pPr>
    </w:p>
    <w:p>
      <w:pPr>
        <w:sectPr>
          <w:pgSz w:w="11900" w:h="16838" w:orient="portrait"/>
          <w:cols w:equalWidth="0" w:num="2">
            <w:col w:w="8700" w:space="720"/>
            <w:col w:w="20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9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42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94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42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issuance of shares to WPP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447,000</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420" w:type="dxa"/>
            <w:vAlign w:val="bottom"/>
            <w:vMerge w:val="restart"/>
          </w:tcPr>
          <w:p>
            <w:pPr>
              <w:ind w:left="214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942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F-3</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type w:val="continuous"/>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months ended March 31, 2018 and 2017 have been prepared by us without audit pursuant to the rules and regulations of the U.S. Securities and Exchange Commission. In the opinion of management, all adjustments necessary to present fairly our financial position, results of operations, and cash flows as of March 31, 2018 and 2017, and for the periods then ended, have been made. Those adjustments consist of normal and recurring adjustments. The consolidated balance sheet as of December 31, 2017,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months ended March 31, 2018,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three months ended March 31, 2018. Had the new revenue standard not taken effect, our revenues for the period would have been higher by $117,911 and deferred revenues lower by $117,911. All of these revenues are expected to be recognized by December 31, 2018, so the primary effect of the new revenue standard is to shift revenues between quarters by immaterial amounts.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both March 2018 and 2017, we issued 6,250 shares of our common stock to our independent directors in connection with our Director Compensation Plan, which calls for issuance of 6,250 shares per quarter to each independent director. These shares were valued at $28,875 and $15,375 at March 31, 2018 and 2017,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we issued 100,000 shares of common stock to a subsidiary of WPP, one of the world’s largest advertising companies, and a shareholder, in full payment of all amounts due under a comarketing agreement that covered certain WPP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earnings per share are the same in both periods. The number of common shares potentially issuable related to dilutive securities that were excluded from the diluted loss per common share calculation was approximately 604,172, because they are anti-dilutive, as a result of a net loss for the quarter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fair value method to account for stock based compensation. We recorded $468,247 and $114,069 in compensation expense in the three months ended March 31, 2018 and 2017,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the quarter to 1,833,333 million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5 – RELATED PARTY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more detail in Note 3, Stockholders Equity, we issued 100,000 shares of our common stock to a subsidiary of WPP, a shareholder that owns approximately 20% of our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 SUBSEQUENT EVENTS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we signed an agreement to issue 1,666,669 shares of common stock for gross proceeds of $9.0 million, with expected net proceeds of approximately $8.3 million. The transaction closed May 4, 2018. In addition, our Board of Directors approved a 1 for 3 stock split to meet the requirements of NASDAQ. The reverse split was effective May 14, 2018. These effective of this reverse split has been retroactively included in these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724025" cy="728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240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OptimizeRx Corporation (“the Company”) as of December 31, 2017, the related consolidated statements of operations, stockholders’ equity, and cash flows for the year ended December 31, 2017 and the related notes (collectively referred to as the “financial statements”). In our opinion, the consolidated financial statements referred to above present fairly, in all material respects, the financial position of OptimizeRx Corporation as of December 31, 2017, and the results of its operations and its cash flows for the year ended December 31, 2017,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OptimizeRx Corporation consolidated financial statements based on our audit. We are a public accounting firm registered with the Public Company Accounting Oversight Board (United States) (“PCAOB”) and are required to be independent with respect to the Company in accordance with the U.S. federal security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the adjustments to the 2016 consolidated financial statements to retrospectively apply the effect of the reverse stock split, as described in Note 10. In our opinion, such adjustments are appropriate and have been properly applied. We were not engaged to audit, review, or apply any procedures to the 2016 consolidated financial statements of the Company other than with respect to the adjustments and, accordingly, we do not express an opinion or any other form of assurance on the 2016 consolidated financial statements taken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7, 2018, except for Note 10, as to which the date is May 17, 2018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Office</w:t>
        <w:tab/>
        <w:t>801.783.2950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801.783.2960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WWW</w:t>
      </w:r>
      <w:r>
        <w:rPr>
          <w:rFonts w:ascii="Arial" w:cs="Arial" w:eastAsia="Arial" w:hAnsi="Arial"/>
          <w:sz w:val="17"/>
          <w:szCs w:val="17"/>
          <w:color w:val="auto"/>
        </w:rPr>
        <w:t>.sadlergibb.com |</w:t>
      </w:r>
      <w:r>
        <w:rPr>
          <w:rFonts w:ascii="Arial" w:cs="Arial" w:eastAsia="Arial" w:hAnsi="Arial"/>
          <w:sz w:val="17"/>
          <w:szCs w:val="17"/>
          <w:b w:val="1"/>
          <w:bCs w:val="1"/>
          <w:color w:val="auto"/>
        </w:rPr>
        <w:t xml:space="preserve"> Main</w:t>
      </w:r>
      <w:r>
        <w:rPr>
          <w:rFonts w:ascii="Arial" w:cs="Arial" w:eastAsia="Arial" w:hAnsi="Arial"/>
          <w:sz w:val="17"/>
          <w:szCs w:val="17"/>
          <w:color w:val="auto"/>
        </w:rPr>
        <w:t>: 2455 East Parleys Way Suite 320, Salt Lake City, UT 84109 |</w:t>
      </w:r>
      <w:r>
        <w:rPr>
          <w:rFonts w:ascii="Arial" w:cs="Arial" w:eastAsia="Arial" w:hAnsi="Arial"/>
          <w:sz w:val="17"/>
          <w:szCs w:val="17"/>
          <w:b w:val="1"/>
          <w:bCs w:val="1"/>
          <w:color w:val="auto"/>
        </w:rPr>
        <w:t xml:space="preserve"> Provo</w:t>
      </w:r>
      <w:r>
        <w:rPr>
          <w:rFonts w:ascii="Arial" w:cs="Arial" w:eastAsia="Arial" w:hAnsi="Arial"/>
          <w:sz w:val="17"/>
          <w:szCs w:val="17"/>
          <w:color w:val="auto"/>
        </w:rPr>
        <w:t>: 3507 N University Ave #100, Provo, UT 84604</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31,2016, and the related consolidated statements of operations, shareholders’ equity (deficit), and cash flows for the year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2016 and the results of their operations and their cash flows for year ended December 31, 2016,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right="68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Web development costs,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Security deposit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tbl>
      <w:tblPr>
        <w:tblLayout w:type="fixed"/>
        <w:tblInd w:w="4940" w:type="dxa"/>
        <w:tblCellMar>
          <w:top w:w="0" w:type="dxa"/>
          <w:left w:w="0" w:type="dxa"/>
          <w:bottom w:w="0" w:type="dxa"/>
          <w:right w:w="0" w:type="dxa"/>
        </w:tblCellMar>
      </w:tblPr>
      <w:tr>
        <w:trPr>
          <w:trHeight w:val="216"/>
        </w:trPr>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December 31,</w:t>
            </w:r>
          </w:p>
        </w:tc>
      </w:tr>
      <w:tr>
        <w:trPr>
          <w:trHeight w:val="237"/>
        </w:trPr>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ind w:left="4940"/>
        <w:spacing w:after="0"/>
        <w:tabs>
          <w:tab w:leader="none" w:pos="5200" w:val="left"/>
          <w:tab w:leader="none" w:pos="6140" w:val="left"/>
          <w:tab w:leader="none" w:pos="6440" w:val="left"/>
        </w:tabs>
        <w:rPr>
          <w:sz w:val="20"/>
          <w:szCs w:val="20"/>
          <w:color w:val="auto"/>
        </w:rPr>
      </w:pPr>
      <w:r>
        <w:rPr>
          <w:rFonts w:ascii="Arial" w:cs="Arial" w:eastAsia="Arial" w:hAnsi="Arial"/>
          <w:sz w:val="18"/>
          <w:szCs w:val="18"/>
          <w:color w:val="auto"/>
        </w:rPr>
        <w:t>$</w:t>
        <w:tab/>
        <w:t>5,122,573</w:t>
        <w:tab/>
        <w:t>$</w:t>
      </w:r>
      <w:r>
        <w:rPr>
          <w:sz w:val="20"/>
          <w:szCs w:val="20"/>
          <w:color w:val="auto"/>
        </w:rPr>
        <w:tab/>
      </w:r>
      <w:r>
        <w:rPr>
          <w:rFonts w:ascii="Arial" w:cs="Arial" w:eastAsia="Arial" w:hAnsi="Arial"/>
          <w:sz w:val="16"/>
          <w:szCs w:val="16"/>
          <w:color w:val="auto"/>
        </w:rPr>
        <w:t>7,034,647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-121920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6440" w:val="left"/>
        </w:tabs>
        <w:rPr>
          <w:sz w:val="20"/>
          <w:szCs w:val="20"/>
          <w:color w:val="auto"/>
        </w:rPr>
      </w:pPr>
      <w:r>
        <w:rPr>
          <w:rFonts w:ascii="Arial" w:cs="Arial" w:eastAsia="Arial" w:hAnsi="Arial"/>
          <w:sz w:val="16"/>
          <w:szCs w:val="16"/>
          <w:color w:val="auto"/>
        </w:rPr>
        <w:t>2,257,276</w:t>
      </w:r>
      <w:r>
        <w:rPr>
          <w:sz w:val="20"/>
          <w:szCs w:val="20"/>
          <w:color w:val="auto"/>
        </w:rPr>
        <w:tab/>
      </w:r>
      <w:r>
        <w:rPr>
          <w:rFonts w:ascii="Arial" w:cs="Arial" w:eastAsia="Arial" w:hAnsi="Arial"/>
          <w:sz w:val="16"/>
          <w:szCs w:val="16"/>
          <w:color w:val="auto"/>
        </w:rPr>
        <w:t>1,951,811</w:t>
      </w:r>
    </w:p>
    <w:p>
      <w:pPr>
        <w:spacing w:after="0" w:line="32" w:lineRule="exact"/>
        <w:rPr>
          <w:sz w:val="20"/>
          <w:szCs w:val="20"/>
          <w:color w:val="auto"/>
        </w:rPr>
      </w:pPr>
    </w:p>
    <w:p>
      <w:pPr>
        <w:ind w:left="5220"/>
        <w:spacing w:after="0"/>
        <w:tabs>
          <w:tab w:leader="none" w:pos="6440" w:val="left"/>
        </w:tabs>
        <w:rPr>
          <w:sz w:val="20"/>
          <w:szCs w:val="20"/>
          <w:color w:val="auto"/>
        </w:rPr>
      </w:pPr>
      <w:r>
        <w:rPr>
          <w:rFonts w:ascii="Arial" w:cs="Arial" w:eastAsia="Arial" w:hAnsi="Arial"/>
          <w:sz w:val="16"/>
          <w:szCs w:val="16"/>
          <w:color w:val="auto"/>
        </w:rPr>
        <w:t>1,173,614</w:t>
      </w:r>
      <w:r>
        <w:rPr>
          <w:sz w:val="20"/>
          <w:szCs w:val="20"/>
          <w:color w:val="auto"/>
        </w:rPr>
        <w:tab/>
      </w:r>
      <w:r>
        <w:rPr>
          <w:rFonts w:ascii="Arial" w:cs="Arial" w:eastAsia="Arial" w:hAnsi="Arial"/>
          <w:sz w:val="16"/>
          <w:szCs w:val="16"/>
          <w:color w:val="auto"/>
        </w:rPr>
        <w:t>1,108,585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-116205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5360"/>
        <w:spacing w:after="0"/>
        <w:tabs>
          <w:tab w:leader="none" w:pos="6660" w:val="left"/>
        </w:tabs>
        <w:rPr>
          <w:sz w:val="20"/>
          <w:szCs w:val="20"/>
          <w:color w:val="auto"/>
        </w:rPr>
      </w:pPr>
      <w:r>
        <w:rPr>
          <w:rFonts w:ascii="Arial" w:cs="Arial" w:eastAsia="Arial" w:hAnsi="Arial"/>
          <w:sz w:val="16"/>
          <w:szCs w:val="16"/>
          <w:color w:val="auto"/>
        </w:rPr>
        <w:t>255,428</w:t>
      </w:r>
      <w:r>
        <w:rPr>
          <w:sz w:val="20"/>
          <w:szCs w:val="20"/>
          <w:color w:val="auto"/>
        </w:rPr>
        <w:tab/>
      </w:r>
      <w:r>
        <w:rPr>
          <w:rFonts w:ascii="Arial" w:cs="Arial" w:eastAsia="Arial" w:hAnsi="Arial"/>
          <w:sz w:val="16"/>
          <w:szCs w:val="16"/>
          <w:color w:val="auto"/>
        </w:rPr>
        <w:t>80,820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29210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 w:lineRule="exact"/>
        <w:rPr>
          <w:sz w:val="20"/>
          <w:szCs w:val="20"/>
          <w:color w:val="auto"/>
        </w:rPr>
      </w:pPr>
    </w:p>
    <w:p>
      <w:pPr>
        <w:ind w:left="5220"/>
        <w:spacing w:after="0"/>
        <w:tabs>
          <w:tab w:leader="none" w:pos="6340" w:val="left"/>
        </w:tabs>
        <w:rPr>
          <w:sz w:val="20"/>
          <w:szCs w:val="20"/>
          <w:color w:val="auto"/>
        </w:rPr>
      </w:pPr>
      <w:r>
        <w:rPr>
          <w:rFonts w:ascii="Arial" w:cs="Arial" w:eastAsia="Arial" w:hAnsi="Arial"/>
          <w:sz w:val="16"/>
          <w:szCs w:val="16"/>
          <w:color w:val="auto"/>
        </w:rPr>
        <w:t>8,808,891</w:t>
      </w:r>
      <w:r>
        <w:rPr>
          <w:sz w:val="20"/>
          <w:szCs w:val="20"/>
          <w:color w:val="auto"/>
        </w:rPr>
        <w:tab/>
      </w:r>
      <w:r>
        <w:rPr>
          <w:rFonts w:ascii="Arial" w:cs="Arial" w:eastAsia="Arial" w:hAnsi="Arial"/>
          <w:sz w:val="16"/>
          <w:szCs w:val="16"/>
          <w:color w:val="auto"/>
        </w:rPr>
        <w:t>10,175,863</w:t>
      </w:r>
    </w:p>
    <w:p>
      <w:pPr>
        <w:spacing w:after="0" w:line="59" w:lineRule="exact"/>
        <w:rPr>
          <w:sz w:val="20"/>
          <w:szCs w:val="20"/>
          <w:color w:val="auto"/>
        </w:rPr>
      </w:pPr>
    </w:p>
    <w:p>
      <w:pPr>
        <w:ind w:left="5360"/>
        <w:spacing w:after="0"/>
        <w:tabs>
          <w:tab w:leader="none" w:pos="6560" w:val="left"/>
        </w:tabs>
        <w:rPr>
          <w:sz w:val="20"/>
          <w:szCs w:val="20"/>
          <w:color w:val="auto"/>
        </w:rPr>
      </w:pPr>
      <w:r>
        <w:rPr>
          <w:rFonts w:ascii="Arial" w:cs="Arial" w:eastAsia="Arial" w:hAnsi="Arial"/>
          <w:sz w:val="16"/>
          <w:szCs w:val="16"/>
          <w:color w:val="auto"/>
        </w:rPr>
        <w:t>167,305</w:t>
      </w:r>
      <w:r>
        <w:rPr>
          <w:sz w:val="20"/>
          <w:szCs w:val="20"/>
          <w:color w:val="auto"/>
        </w:rPr>
        <w:tab/>
      </w:r>
      <w:r>
        <w:rPr>
          <w:rFonts w:ascii="Arial" w:cs="Arial" w:eastAsia="Arial" w:hAnsi="Arial"/>
          <w:sz w:val="16"/>
          <w:szCs w:val="16"/>
          <w:color w:val="auto"/>
        </w:rPr>
        <w:t>173,649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29210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5" w:lineRule="exact"/>
        <w:rPr>
          <w:sz w:val="20"/>
          <w:szCs w:val="20"/>
          <w:color w:val="auto"/>
        </w:rPr>
      </w:pPr>
    </w:p>
    <w:p>
      <w:pPr>
        <w:ind w:left="5360"/>
        <w:spacing w:after="0"/>
        <w:tabs>
          <w:tab w:leader="none" w:pos="6560" w:val="left"/>
        </w:tabs>
        <w:rPr>
          <w:sz w:val="20"/>
          <w:szCs w:val="20"/>
          <w:color w:val="auto"/>
        </w:rPr>
      </w:pPr>
      <w:r>
        <w:rPr>
          <w:rFonts w:ascii="Arial" w:cs="Arial" w:eastAsia="Arial" w:hAnsi="Arial"/>
          <w:sz w:val="16"/>
          <w:szCs w:val="16"/>
          <w:color w:val="auto"/>
        </w:rPr>
        <w:t>638,766</w:t>
      </w:r>
      <w:r>
        <w:rPr>
          <w:sz w:val="20"/>
          <w:szCs w:val="20"/>
          <w:color w:val="auto"/>
        </w:rPr>
        <w:tab/>
      </w:r>
      <w:r>
        <w:rPr>
          <w:rFonts w:ascii="Arial" w:cs="Arial" w:eastAsia="Arial" w:hAnsi="Arial"/>
          <w:sz w:val="16"/>
          <w:szCs w:val="16"/>
          <w:color w:val="auto"/>
        </w:rPr>
        <w:t>772,394</w:t>
      </w:r>
    </w:p>
    <w:p>
      <w:pPr>
        <w:spacing w:after="0" w:line="46" w:lineRule="exact"/>
        <w:rPr>
          <w:sz w:val="20"/>
          <w:szCs w:val="20"/>
          <w:color w:val="auto"/>
        </w:rPr>
      </w:pPr>
    </w:p>
    <w:p>
      <w:pPr>
        <w:ind w:left="5360"/>
        <w:spacing w:after="0"/>
        <w:tabs>
          <w:tab w:leader="none" w:pos="6560" w:val="left"/>
        </w:tabs>
        <w:rPr>
          <w:sz w:val="20"/>
          <w:szCs w:val="20"/>
          <w:color w:val="auto"/>
        </w:rPr>
      </w:pPr>
      <w:r>
        <w:rPr>
          <w:rFonts w:ascii="Arial" w:cs="Arial" w:eastAsia="Arial" w:hAnsi="Arial"/>
          <w:sz w:val="16"/>
          <w:szCs w:val="16"/>
          <w:color w:val="auto"/>
        </w:rPr>
        <w:t>143,730</w:t>
      </w:r>
      <w:r>
        <w:rPr>
          <w:sz w:val="20"/>
          <w:szCs w:val="20"/>
          <w:color w:val="auto"/>
        </w:rPr>
        <w:tab/>
      </w:r>
      <w:r>
        <w:rPr>
          <w:rFonts w:ascii="Arial" w:cs="Arial" w:eastAsia="Arial" w:hAnsi="Arial"/>
          <w:sz w:val="16"/>
          <w:szCs w:val="16"/>
          <w:color w:val="auto"/>
        </w:rPr>
        <w:t>351,804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-116205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5540"/>
        <w:spacing w:after="0"/>
        <w:tabs>
          <w:tab w:leader="none" w:pos="6740" w:val="left"/>
        </w:tabs>
        <w:rPr>
          <w:sz w:val="20"/>
          <w:szCs w:val="20"/>
          <w:color w:val="auto"/>
        </w:rPr>
      </w:pPr>
      <w:r>
        <w:rPr>
          <w:rFonts w:ascii="Arial" w:cs="Arial" w:eastAsia="Arial" w:hAnsi="Arial"/>
          <w:sz w:val="16"/>
          <w:szCs w:val="16"/>
          <w:color w:val="auto"/>
        </w:rPr>
        <w:t>5,049</w:t>
      </w:r>
      <w:r>
        <w:rPr>
          <w:sz w:val="20"/>
          <w:szCs w:val="20"/>
          <w:color w:val="auto"/>
        </w:rPr>
        <w:tab/>
      </w:r>
      <w:r>
        <w:rPr>
          <w:rFonts w:ascii="Arial" w:cs="Arial" w:eastAsia="Arial" w:hAnsi="Arial"/>
          <w:sz w:val="16"/>
          <w:szCs w:val="16"/>
          <w:color w:val="auto"/>
        </w:rPr>
        <w:t>5,049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29210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 w:lineRule="exact"/>
        <w:rPr>
          <w:sz w:val="20"/>
          <w:szCs w:val="20"/>
          <w:color w:val="auto"/>
        </w:rPr>
      </w:pPr>
    </w:p>
    <w:p>
      <w:pPr>
        <w:ind w:left="5360"/>
        <w:spacing w:after="0"/>
        <w:tabs>
          <w:tab w:leader="none" w:pos="6440" w:val="left"/>
        </w:tabs>
        <w:rPr>
          <w:sz w:val="20"/>
          <w:szCs w:val="20"/>
          <w:color w:val="auto"/>
        </w:rPr>
      </w:pPr>
      <w:r>
        <w:rPr>
          <w:rFonts w:ascii="Arial" w:cs="Arial" w:eastAsia="Arial" w:hAnsi="Arial"/>
          <w:sz w:val="16"/>
          <w:szCs w:val="16"/>
          <w:color w:val="auto"/>
        </w:rPr>
        <w:t>787,545</w:t>
      </w:r>
      <w:r>
        <w:rPr>
          <w:sz w:val="20"/>
          <w:szCs w:val="20"/>
          <w:color w:val="auto"/>
        </w:rPr>
        <w:tab/>
      </w:r>
      <w:r>
        <w:rPr>
          <w:rFonts w:ascii="Arial" w:cs="Arial" w:eastAsia="Arial" w:hAnsi="Arial"/>
          <w:sz w:val="16"/>
          <w:szCs w:val="16"/>
          <w:color w:val="auto"/>
        </w:rPr>
        <w:t>1,129,247</w:t>
      </w:r>
    </w:p>
    <w:p>
      <w:pPr>
        <w:spacing w:after="0" w:line="86" w:lineRule="exact"/>
        <w:rPr>
          <w:sz w:val="20"/>
          <w:szCs w:val="20"/>
          <w:color w:val="auto"/>
        </w:rPr>
      </w:pPr>
    </w:p>
    <w:p>
      <w:pPr>
        <w:jc w:val="both"/>
        <w:ind w:left="4940"/>
        <w:spacing w:after="0"/>
        <w:tabs>
          <w:tab w:leader="none" w:pos="5200" w:val="left"/>
          <w:tab w:leader="none" w:pos="6140" w:val="left"/>
        </w:tabs>
        <w:rPr>
          <w:sz w:val="20"/>
          <w:szCs w:val="20"/>
          <w:color w:val="auto"/>
        </w:rPr>
      </w:pPr>
      <w:r>
        <w:rPr>
          <w:rFonts w:ascii="Arial" w:cs="Arial" w:eastAsia="Arial" w:hAnsi="Arial"/>
          <w:sz w:val="18"/>
          <w:szCs w:val="18"/>
          <w:color w:val="auto"/>
        </w:rPr>
        <w:t>$</w:t>
        <w:tab/>
        <w:t>9,763,741</w:t>
      </w:r>
      <w:r>
        <w:rPr>
          <w:sz w:val="20"/>
          <w:szCs w:val="20"/>
          <w:color w:val="auto"/>
        </w:rPr>
        <w:tab/>
      </w:r>
      <w:r>
        <w:rPr>
          <w:rFonts w:ascii="Arial" w:cs="Arial" w:eastAsia="Arial" w:hAnsi="Arial"/>
          <w:sz w:val="16"/>
          <w:szCs w:val="16"/>
          <w:color w:val="auto"/>
        </w:rPr>
        <w:t>$  11,478,759</w:t>
      </w:r>
    </w:p>
    <w:p>
      <w:pPr>
        <w:spacing w:after="0" w:line="23" w:lineRule="exact"/>
        <w:rPr>
          <w:sz w:val="20"/>
          <w:szCs w:val="20"/>
          <w:color w:val="auto"/>
        </w:rPr>
      </w:pPr>
    </w:p>
    <w:p>
      <w:pPr>
        <w:sectPr>
          <w:pgSz w:w="11900" w:h="16838" w:orient="portrait"/>
          <w:cols w:equalWidth="0" w:num="2">
            <w:col w:w="3420" w:space="720"/>
            <w:col w:w="728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90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9000" w:type="dxa"/>
            <w:vAlign w:val="bottom"/>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457,289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369,214</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288,268</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1,177,136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2,495,059</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127,458</w:t>
            </w:r>
          </w:p>
        </w:tc>
      </w:tr>
      <w:tr>
        <w:trPr>
          <w:trHeight w:val="237"/>
        </w:trPr>
        <w:tc>
          <w:tcPr>
            <w:tcW w:w="90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507,160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386,581</w:t>
            </w:r>
          </w:p>
        </w:tc>
      </w:tr>
      <w:tr>
        <w:trPr>
          <w:trHeight w:val="236"/>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00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issued and outstanding at December 31, 2017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$0.001 par value, 500,000,000 shares authorized, 9,772,694 and 9,906,289 shares issued and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at December 31, 2017 and 2016,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2,294,416</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35,287,464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33,766,950</w:t>
            </w:r>
          </w:p>
        </w:tc>
      </w:tr>
      <w:tr>
        <w:trPr>
          <w:trHeight w:val="250"/>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(30,363,122)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(28,259,093)</w:t>
            </w:r>
          </w:p>
        </w:tc>
      </w:tr>
      <w:tr>
        <w:trPr>
          <w:trHeight w:val="210"/>
        </w:trPr>
        <w:tc>
          <w:tcPr>
            <w:tcW w:w="9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7,812,179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9,763,741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11,478,759</w:t>
            </w:r>
          </w:p>
        </w:tc>
      </w:tr>
      <w:tr>
        <w:trPr>
          <w:trHeight w:val="21"/>
        </w:trPr>
        <w:tc>
          <w:tcPr>
            <w:tcW w:w="9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year ended</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440" w:type="dxa"/>
            <w:vAlign w:val="bottom"/>
            <w:gridSpan w:val="4"/>
          </w:tcPr>
          <w:p>
            <w:pPr>
              <w:ind w:left="1220"/>
              <w:spacing w:after="0"/>
              <w:rPr>
                <w:sz w:val="20"/>
                <w:szCs w:val="20"/>
                <w:color w:val="auto"/>
              </w:rPr>
            </w:pPr>
            <w:r>
              <w:rPr>
                <w:rFonts w:ascii="Arial" w:cs="Arial" w:eastAsia="Arial" w:hAnsi="Arial"/>
                <w:sz w:val="18"/>
                <w:szCs w:val="18"/>
                <w:color w:val="auto"/>
              </w:rPr>
              <w:t>December 31,</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8,431,208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6,209,051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Revenue – related party</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3,696,214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1,542,411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REVENUE</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12,127,422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6,174,614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3,411,396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902,389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324,551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6,855,834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5,076,993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8,082,774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5,921,578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(2,129,966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(1,581,512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25,937</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OTHER INCOME</w:t>
            </w:r>
          </w:p>
        </w:tc>
        <w:tc>
          <w:tcPr>
            <w:tcW w:w="1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25,937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(2,104,029)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(1,539,203)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(2,104,029</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(1,539,203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SHARES OUTSTANDING: BASIC &amp; DILUTIVE</w:t>
            </w: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vMerge w:val="continue"/>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9,819,753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9,902,639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BASIC &amp; DILUTIVE</w:t>
            </w: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Preferred</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Preferred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Common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Deferred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Stock</w:t>
            </w: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Stock</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Accumulated</w:t>
            </w:r>
          </w:p>
        </w:tc>
        <w:tc>
          <w:tcPr>
            <w:tcW w:w="1160" w:type="dxa"/>
            <w:vAlign w:val="bottom"/>
            <w:gridSpan w:val="4"/>
          </w:tcPr>
          <w:p>
            <w:pPr>
              <w:ind w:left="60"/>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Shares</w:t>
            </w:r>
          </w:p>
        </w:tc>
        <w:tc>
          <w:tcPr>
            <w:tcW w:w="660" w:type="dxa"/>
            <w:vAlign w:val="bottom"/>
          </w:tcPr>
          <w:p>
            <w:pPr>
              <w:jc w:val="right"/>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Amount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Warrants</w:t>
            </w:r>
          </w:p>
        </w:tc>
        <w:tc>
          <w:tcPr>
            <w:tcW w:w="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Payable</w:t>
            </w:r>
          </w:p>
        </w:tc>
        <w:tc>
          <w:tcPr>
            <w:tcW w:w="1160" w:type="dxa"/>
            <w:vAlign w:val="bottom"/>
            <w:gridSpan w:val="3"/>
          </w:tcPr>
          <w:p>
            <w:pPr>
              <w:spacing w:after="0"/>
              <w:rPr>
                <w:sz w:val="20"/>
                <w:szCs w:val="20"/>
                <w:color w:val="auto"/>
              </w:rPr>
            </w:pPr>
            <w:r>
              <w:rPr>
                <w:rFonts w:ascii="Arial" w:cs="Arial" w:eastAsia="Arial" w:hAnsi="Arial"/>
                <w:sz w:val="18"/>
                <w:szCs w:val="18"/>
                <w:color w:val="auto"/>
                <w:w w:val="98"/>
              </w:rPr>
              <w:t>Compensation</w:t>
            </w:r>
          </w:p>
        </w:tc>
        <w:tc>
          <w:tcPr>
            <w:tcW w:w="8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5"/>
              </w:rPr>
              <w:t>December 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96"/>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9,676,974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$ 2,329,508</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$ 32,204,853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1,132,148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(26,719,890)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to employees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384,126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9"/>
              </w:rPr>
              <w:t>for services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51,359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cash</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for options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for</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109,967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Issue shares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for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94,483</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(94,500)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redeemed for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437,733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(1,037,648)</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Expiration of</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(35,092)</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35,092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consulting</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13,800</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line="201" w:lineRule="exact"/>
              <w:rPr>
                <w:sz w:val="20"/>
                <w:szCs w:val="20"/>
                <w:color w:val="auto"/>
              </w:rPr>
            </w:pPr>
            <w:r>
              <w:rPr>
                <w:rFonts w:ascii="Arial" w:cs="Arial" w:eastAsia="Arial" w:hAnsi="Arial"/>
                <w:sz w:val="18"/>
                <w:szCs w:val="18"/>
                <w:color w:val="auto"/>
              </w:rPr>
              <w:t>Net loss for</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20" w:type="dxa"/>
            <w:vAlign w:val="bottom"/>
            <w:gridSpan w:val="2"/>
          </w:tcPr>
          <w:p>
            <w:pPr>
              <w:spacing w:after="0"/>
              <w:rPr>
                <w:sz w:val="20"/>
                <w:szCs w:val="20"/>
                <w:color w:val="auto"/>
              </w:rPr>
            </w:pPr>
            <w:r>
              <w:rPr>
                <w:rFonts w:ascii="Arial" w:cs="Arial" w:eastAsia="Arial" w:hAnsi="Arial"/>
                <w:sz w:val="18"/>
                <w:szCs w:val="18"/>
                <w:color w:val="auto"/>
              </w:rPr>
              <w:t>the year</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(1,539,203)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(1,539,203)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w:t>
            </w: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5"/>
              </w:rPr>
              <w:t>December 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6"/>
              <w:spacing w:after="0"/>
              <w:rPr>
                <w:sz w:val="20"/>
                <w:szCs w:val="20"/>
                <w:color w:val="auto"/>
              </w:rPr>
            </w:pPr>
            <w:r>
              <w:rPr>
                <w:rFonts w:ascii="Arial" w:cs="Arial" w:eastAsia="Arial" w:hAnsi="Arial"/>
                <w:sz w:val="15"/>
                <w:szCs w:val="15"/>
                <w:color w:val="auto"/>
                <w:w w:val="71"/>
              </w:rPr>
              <w:t>$</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9,906,289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$ 2,294,416</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33,766,950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60"/>
              <w:spacing w:after="0" w:line="271" w:lineRule="exact"/>
              <w:rPr>
                <w:sz w:val="20"/>
                <w:szCs w:val="20"/>
                <w:color w:val="auto"/>
              </w:rPr>
            </w:pPr>
            <w:r>
              <w:rPr>
                <w:rFonts w:ascii="Arial" w:cs="Arial" w:eastAsia="Arial" w:hAnsi="Arial"/>
                <w:sz w:val="16"/>
                <w:szCs w:val="16"/>
                <w:color w:val="auto"/>
              </w:rPr>
              <w:t>$ (28,259,093</w:t>
            </w:r>
            <w:r>
              <w:rPr>
                <w:rFonts w:ascii="Arial" w:cs="Arial" w:eastAsia="Arial" w:hAnsi="Arial"/>
                <w:sz w:val="31"/>
                <w:szCs w:val="31"/>
                <w:color w:val="auto"/>
                <w:vertAlign w:val="superscript"/>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7,812,179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Preferred</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Common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Stock</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Accumulated</w:t>
            </w:r>
          </w:p>
        </w:tc>
        <w:tc>
          <w:tcPr>
            <w:tcW w:w="1120" w:type="dxa"/>
            <w:vAlign w:val="bottom"/>
            <w:gridSpan w:val="3"/>
          </w:tcPr>
          <w:p>
            <w:pPr>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Amount</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Warrants</w:t>
            </w: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2,294,416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$ 33,766,950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(28,259,093)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Issuance of stock options to</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815,014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87,350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options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Shares redeemed for cash</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(389,834)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Expiration of Warrants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(1,007,992)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1,007,992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(2,104,029)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(2,104,0290)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December 31, 2017</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9,772,694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9,773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1,286,424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35,287,464</w:t>
            </w:r>
          </w:p>
        </w:tc>
        <w:tc>
          <w:tcPr>
            <w:tcW w:w="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6"/>
              </w:rPr>
              <w:t>$ (30,363,122</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6,220,539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r>
      <w:tr>
        <w:trPr>
          <w:trHeight w:val="216"/>
        </w:trPr>
        <w:tc>
          <w:tcPr>
            <w:tcW w:w="7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year ended</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year ended</w:t>
            </w:r>
          </w:p>
        </w:tc>
      </w:tr>
      <w:tr>
        <w:trPr>
          <w:trHeight w:val="216"/>
        </w:trPr>
        <w:tc>
          <w:tcPr>
            <w:tcW w:w="7200" w:type="dxa"/>
            <w:vAlign w:val="bottom"/>
          </w:tcPr>
          <w:p>
            <w:pPr>
              <w:spacing w:after="0"/>
              <w:rPr>
                <w:sz w:val="18"/>
                <w:szCs w:val="18"/>
                <w:color w:val="auto"/>
              </w:rPr>
            </w:pPr>
          </w:p>
        </w:tc>
        <w:tc>
          <w:tcPr>
            <w:tcW w:w="3120" w:type="dxa"/>
            <w:vAlign w:val="bottom"/>
            <w:gridSpan w:val="4"/>
          </w:tcPr>
          <w:p>
            <w:pPr>
              <w:ind w:left="1900"/>
              <w:spacing w:after="0"/>
              <w:rPr>
                <w:sz w:val="20"/>
                <w:szCs w:val="20"/>
                <w:color w:val="auto"/>
              </w:rPr>
            </w:pPr>
            <w:r>
              <w:rPr>
                <w:rFonts w:ascii="Arial" w:cs="Arial" w:eastAsia="Arial" w:hAnsi="Arial"/>
                <w:sz w:val="18"/>
                <w:szCs w:val="18"/>
                <w:color w:val="auto"/>
              </w:rPr>
              <w:t>December 31,</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r>
      <w:tr>
        <w:trPr>
          <w:trHeight w:val="237"/>
        </w:trPr>
        <w:tc>
          <w:tcPr>
            <w:tcW w:w="7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for the period</w:t>
            </w:r>
          </w:p>
        </w:tc>
        <w:tc>
          <w:tcPr>
            <w:tcW w:w="20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(2,104,029)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(1,539,203)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324,551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235,284</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65,738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issued for services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815,014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384,126</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87,375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175,175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(305,465)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514,514</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related party</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(727,460)</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(174,608)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(10,197)</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(205,977)</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(1,317,923)</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177,254</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320,212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89,655</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665,679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281,285</w:t>
            </w: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120,579</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159,579</w:t>
            </w:r>
          </w:p>
        </w:tc>
      </w:tr>
      <w:tr>
        <w:trPr>
          <w:trHeight w:val="210"/>
        </w:trPr>
        <w:tc>
          <w:tcPr>
            <w:tcW w:w="7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9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(1,479,831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(465,965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(42,243)</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(178,434)</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(7,268)</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(163,836)</w:t>
            </w:r>
          </w:p>
        </w:tc>
      </w:tr>
      <w:tr>
        <w:trPr>
          <w:trHeight w:val="23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20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449,500</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Redemption of common stock</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(390,000)</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(806,915)</w:t>
            </w:r>
          </w:p>
        </w:tc>
      </w:tr>
      <w:tr>
        <w:trPr>
          <w:trHeight w:val="23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20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 CASH AND CASH EQUIVALENTS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89"/>
              </w:rPr>
              <w:t>(1,912,074)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1"/>
              </w:rPr>
              <w:t>(1,172,918)</w:t>
            </w:r>
          </w:p>
        </w:tc>
        <w:tc>
          <w:tcPr>
            <w:tcW w:w="100" w:type="dxa"/>
            <w:vAlign w:val="bottom"/>
          </w:tcPr>
          <w:p>
            <w:pPr>
              <w:spacing w:after="0"/>
              <w:rPr>
                <w:sz w:val="17"/>
                <w:szCs w:val="17"/>
                <w:color w:val="auto"/>
              </w:rPr>
            </w:pPr>
          </w:p>
        </w:tc>
      </w:tr>
      <w:tr>
        <w:trPr>
          <w:trHeight w:val="25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7,034,647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8,207,565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0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5,122,573</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7,034,647</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20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206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a leading provider of digital health messaging via electronic health records (EHRs), providing a direct channel for pharmaceutical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2017 and 2016. The allowance for doubtful accounts was $0 as of both December 31,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are stated at cost and are being amortized over their estimated useful lives of seventeen years for patents and three to four years for software and websites using the straight-line method.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content delivery activities in which the Company delivers financial or brand messaging through a distribution network of ePrescribers and Electronic Health Record technology providers (channel partners), or from reselling services that complement the business for other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setup fees that are required for integrating client offerings and campaigns into the rule-based content delivery system and network upon completion of the setup when the client’s campaign is ready to launch within the system. 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the network, or $0.37 per financial message distributed through our network. The contractual amount due to the channel partners is recorded as an expense at the time the eCoupon is distributed.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1.47% - 1.81%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0.86%-1.15%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3.5 – 5 years</w:t>
            </w: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65%-78%</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 - 99%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OptimizeRx’s stock options have characteristics significantly different from those of traded options, and changes in the subjective input assumptions could materially affect the fair value estimate.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The number of common shares potentially issuable upon the exercise of certain options and warrants that were excluded from the diluted loss per common share calculation was approximately 163,067, because they are anti-dilutive, as a result of a net loss for the year ended December 31, 2017. As described in Notes 11 and 12, the Company had options and warrants outstanding as indicated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1,368,750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348,194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amends the existing accounting standards for revenue recognition. ASU 2014-09 is based on principles that govern the recognition of revenue at an amount an entity expects to be entitled when products are transferred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FASB has issued the following standards related to ASU 2014-09: ASU No. 2016-08, Revenue from Contracts with Customers (Topic 606):</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Principal versus Agent Considerations (“ASU 2016-08”); ASU No. 2016-10, Revenue from Contracts with Customers (Topic 606): Identifying Performance Obligations and Licensing (“ASU 2016-10”); ASU No. 2016-12, Revenue from Contracts with Customers (Topic 606): Narrow-Scope Improvements and Practical Expedients (“ASU 2016-12”); and ASU No. 2016-20, Technical Corrections and Improvements to Topic 606, Revenue from Contracts with Customers (“ASU 2016-20”). The Company must adopt ASU 2016-08, ASU 2016-10, ASU 2016-12 and ASU 2016-20 with ASU 2014-09 (collectively, the “new revenue standards”).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revenue standards may be applied retrospectively to each prior period presented or retrospectively with the cumulative effect recognized as of the date of adoption. The Company will adopt the new revenue standards in its first quarter of 2018. The new revenue standards are not expected to have a material impact on the amount and timing of revenue recognized in the Company’s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2017 and 2016:</w:t>
      </w:r>
    </w:p>
    <w:p>
      <w:pPr>
        <w:spacing w:after="0" w:line="239" w:lineRule="exact"/>
        <w:rPr>
          <w:sz w:val="20"/>
          <w:szCs w:val="20"/>
          <w:color w:val="auto"/>
        </w:rPr>
      </w:pPr>
    </w:p>
    <w:p>
      <w:pPr>
        <w:jc w:val="both"/>
        <w:ind w:left="9720"/>
        <w:spacing w:after="0"/>
        <w:tabs>
          <w:tab w:leader="none" w:pos="1072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EHR access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owned equipment recorded at cost which consisted of the following as of December 31, 2017 and 2016:</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311" w:hanging="311"/>
        <w:spacing w:after="0"/>
        <w:tabs>
          <w:tab w:leader="none" w:pos="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43,764   $  43,608</w:t>
      </w:r>
    </w:p>
    <w:p>
      <w:pPr>
        <w:spacing w:after="0" w:line="23" w:lineRule="exact"/>
        <w:rPr>
          <w:sz w:val="20"/>
          <w:szCs w:val="20"/>
          <w:color w:val="auto"/>
        </w:rPr>
      </w:pPr>
    </w:p>
    <w:p>
      <w:pPr>
        <w:jc w:val="both"/>
        <w:ind w:left="411"/>
        <w:spacing w:after="0"/>
        <w:tabs>
          <w:tab w:leader="none" w:pos="1391" w:val="left"/>
        </w:tabs>
        <w:rPr>
          <w:sz w:val="20"/>
          <w:szCs w:val="20"/>
          <w:color w:val="auto"/>
        </w:rPr>
      </w:pPr>
      <w:r>
        <w:rPr>
          <w:rFonts w:ascii="Arial" w:cs="Arial" w:eastAsia="Arial" w:hAnsi="Arial"/>
          <w:sz w:val="18"/>
          <w:szCs w:val="18"/>
          <w:color w:val="auto"/>
        </w:rPr>
        <w:t>8,539</w:t>
      </w:r>
      <w:r>
        <w:rPr>
          <w:sz w:val="20"/>
          <w:szCs w:val="20"/>
          <w:color w:val="auto"/>
        </w:rPr>
        <w:tab/>
      </w:r>
      <w:r>
        <w:rPr>
          <w:rFonts w:ascii="Arial" w:cs="Arial" w:eastAsia="Arial" w:hAnsi="Arial"/>
          <w:sz w:val="18"/>
          <w:szCs w:val="18"/>
          <w:color w:val="auto"/>
        </w:rPr>
        <w:t>7,212</w:t>
      </w:r>
    </w:p>
    <w:p>
      <w:pPr>
        <w:spacing w:after="0" w:line="9" w:lineRule="exact"/>
        <w:rPr>
          <w:sz w:val="20"/>
          <w:szCs w:val="20"/>
          <w:color w:val="auto"/>
        </w:rPr>
      </w:pPr>
    </w:p>
    <w:p>
      <w:pPr>
        <w:jc w:val="both"/>
        <w:ind w:left="231"/>
        <w:spacing w:after="0"/>
        <w:tabs>
          <w:tab w:leader="none" w:pos="1751" w:val="left"/>
        </w:tabs>
        <w:rPr>
          <w:sz w:val="20"/>
          <w:szCs w:val="20"/>
          <w:color w:val="auto"/>
        </w:rPr>
      </w:pPr>
      <w:r>
        <w:rPr>
          <w:rFonts w:ascii="Arial" w:cs="Arial" w:eastAsia="Arial" w:hAnsi="Arial"/>
          <w:sz w:val="18"/>
          <w:szCs w:val="18"/>
          <w:color w:val="auto"/>
        </w:rPr>
        <w:t>203,125</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right"/>
        <w:ind w:left="-9" w:right="100" w:firstLine="759"/>
        <w:spacing w:after="0" w:line="411" w:lineRule="auto"/>
        <w:tabs>
          <w:tab w:leader="none" w:pos="13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30,000 </w:t>
      </w:r>
      <w:r>
        <w:rPr>
          <w:rFonts w:ascii="Arial" w:cs="Arial" w:eastAsia="Arial" w:hAnsi="Arial"/>
          <w:sz w:val="16"/>
          <w:szCs w:val="16"/>
          <w:u w:val="single" w:color="auto"/>
          <w:color w:val="auto"/>
        </w:rPr>
        <w:t>$  255,428   $  80,820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1576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31"/>
        <w:spacing w:after="0"/>
        <w:tabs>
          <w:tab w:leader="none" w:pos="1231"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3" w:lineRule="exact"/>
        <w:rPr>
          <w:sz w:val="20"/>
          <w:szCs w:val="20"/>
          <w:color w:val="auto"/>
        </w:rPr>
      </w:pPr>
    </w:p>
    <w:p>
      <w:pPr>
        <w:sectPr>
          <w:pgSz w:w="11900" w:h="16838" w:orient="portrait"/>
          <w:cols w:equalWidth="0" w:num="2">
            <w:col w:w="8769" w:space="720"/>
            <w:col w:w="1931"/>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66,433</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9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158,502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132,905</w:t>
            </w:r>
          </w:p>
        </w:tc>
      </w:tr>
      <w:tr>
        <w:trPr>
          <w:trHeight w:val="216"/>
        </w:trPr>
        <w:tc>
          <w:tcPr>
            <w:tcW w:w="9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241,581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199,338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4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(25,689)</w:t>
            </w:r>
          </w:p>
        </w:tc>
      </w:tr>
      <w:tr>
        <w:trPr>
          <w:trHeight w:val="250"/>
        </w:trPr>
        <w:tc>
          <w:tcPr>
            <w:tcW w:w="9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$48,587 and $22,414 for the years ended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its technology, which consisted of the following as of December 31,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OptimizeRx consumer web-based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320" w:type="dxa"/>
            <w:vAlign w:val="bottom"/>
          </w:tcPr>
          <w:p>
            <w:pPr>
              <w:spacing w:after="0"/>
              <w:rPr>
                <w:sz w:val="20"/>
                <w:szCs w:val="20"/>
                <w:color w:val="auto"/>
              </w:rPr>
            </w:pPr>
            <w:r>
              <w:rPr>
                <w:rFonts w:ascii="Arial" w:cs="Arial" w:eastAsia="Arial" w:hAnsi="Arial"/>
                <w:sz w:val="18"/>
                <w:szCs w:val="18"/>
                <w:color w:val="auto"/>
              </w:rPr>
              <w:t>OptimizeRx EHR integrated technology</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1,304,230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1,304,230</w:t>
            </w:r>
          </w:p>
        </w:tc>
        <w:tc>
          <w:tcPr>
            <w:tcW w:w="0" w:type="dxa"/>
            <w:vAlign w:val="bottom"/>
          </w:tcPr>
          <w:p>
            <w:pPr>
              <w:spacing w:after="0"/>
              <w:rPr>
                <w:sz w:val="1"/>
                <w:szCs w:val="1"/>
                <w:color w:val="auto"/>
              </w:rPr>
            </w:pPr>
          </w:p>
        </w:tc>
      </w:tr>
      <w:tr>
        <w:trPr>
          <w:trHeight w:val="216"/>
        </w:trPr>
        <w:tc>
          <w:tcPr>
            <w:tcW w:w="9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1,458,362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1,458,363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(1,314,632)</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(1,106,559)</w:t>
            </w:r>
          </w:p>
        </w:tc>
        <w:tc>
          <w:tcPr>
            <w:tcW w:w="0" w:type="dxa"/>
            <w:vAlign w:val="bottom"/>
          </w:tcPr>
          <w:p>
            <w:pPr>
              <w:spacing w:after="0"/>
              <w:rPr>
                <w:sz w:val="1"/>
                <w:szCs w:val="1"/>
                <w:color w:val="auto"/>
              </w:rPr>
            </w:pPr>
          </w:p>
        </w:tc>
      </w:tr>
      <w:tr>
        <w:trPr>
          <w:trHeight w:val="27"/>
        </w:trPr>
        <w:tc>
          <w:tcPr>
            <w:tcW w:w="93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1"/>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periods of up to five years. The consumer web-based technology has no carrying value at either December 31, 2016 or 2017. Amortization expense for the technology costs was $208,074 and $152,502 for the years ended December 31, 2017 and 2016, respectively. Amortization expense related to these assets is expected to be $91,039 in 2018 and $52,691 in 2019 to completely amortize the December 31, 2017 carrying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26, 2010, the Company acquired the technical contributions and assignment of all exclusive rights to and for a key patent from the former CEO of the Company in exchange for 100,000 shares of common stock, valued at $570,000 and 66,667 stock options, valued at $360,000.</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2017 and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172,457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r>
      <w:tr>
        <w:trPr>
          <w:trHeight w:val="25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65,738</w:t>
            </w:r>
          </w:p>
        </w:tc>
        <w:tc>
          <w:tcPr>
            <w:tcW w:w="80" w:type="dxa"/>
            <w:vAlign w:val="bottom"/>
            <w:shd w:val="clear" w:color="auto" w:fill="CCEEFF"/>
          </w:tcPr>
          <w:p>
            <w:pPr>
              <w:spacing w:after="0"/>
              <w:rPr>
                <w:sz w:val="21"/>
                <w:szCs w:val="21"/>
                <w:color w:val="auto"/>
              </w:rPr>
            </w:pPr>
          </w:p>
        </w:tc>
      </w:tr>
      <w:tr>
        <w:trPr>
          <w:trHeight w:val="203"/>
        </w:trPr>
        <w:tc>
          <w:tcPr>
            <w:tcW w:w="94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1,102,457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1,168,165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(463,691)</w:t>
            </w: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(395,801)</w:t>
            </w:r>
          </w:p>
        </w:tc>
      </w:tr>
      <w:tr>
        <w:trPr>
          <w:trHeight w:val="237"/>
        </w:trPr>
        <w:tc>
          <w:tcPr>
            <w:tcW w:w="94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638,766</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772,394</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$67,890 and $67,758 for the years ended December 31, 2017 and 2016, respectively. We expect our amortization expense related to these patents to be $67,890 for each of the years from 2018 through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$507,160 and $386,581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2010, the Company acquired the technical contributions and assignment of all exclusive rights to and for a key patent in process at the time from a former CEO in exchange for 100,000 shares of common stock to be granted at the discretion of the seller and 66,667 stock options, valued at $360,000, which expired in April 2015. The shares were valued on the grant date at $570,000 and were recorded as a payable to the related party. In 2016, the obligation to issue those shares was redeemed for a payment of $363,000 in cash.</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2015, WPP, plc made a strategic investment in the Company and is a shareholder that owns approximately 20% of the shares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NOTE 8 – RELATED PARTY TRANSACTIONS (continued)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2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4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3,554,168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2,613,942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3,696,214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1,542,411</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1,173,614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1,108,585</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33,249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447,670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PREFERRED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10,000,000 shares of preferred stock, $.001 par value per share, authorized as of December 31, 2017. Of those shares, 1,000 were designated as Series A and Series B. There were no shares outstanding at any time during the periods covered by these financial statements. The Series A and B designations were transaction specific in 2008 and 2010 and were redeemed in 2014. When outstanding, the shares had a liquidation preference and bore dividends at a rate of 10%, payable in cash or stock, but are no longer applicable. The Company intends to remove the designations in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500,000,000 shares of common stock, $.001 par value per share, authorized as of December 31, 2017. There were 9,772,694 and 9,906,289 shares of common stock issued and outstanding at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2017, the Company purchased and cancelled 166,666 shares held by the previous CEO at a price of $2.34 per share for a total payment of $390,000.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issued 8,071 shares in connection with the exercise of employee stock options by former employees. The options were exercised on a net settled basis and no cash proceeds were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Director Compensation plan covering its independent non-employee Directors. A total of 25,000 and 16,667 shares were granted and issued in the years ended December 31, 2017 and 2016, respectively in connection with this compensation plan. These shares were valued at $87,375 and $51,375,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we issued 128,063 shares of common stock to an unrelated party in a private transaction, the proceeds of which were used to redeem shares of common stock payable to an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2016, the Company issued 33,333 shares of common stock, valued at $110,000, to Shadron Stastney in connection with the settlement of litigation.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34,585 shares of common stock in 2016 in connection with the cashless exercise of stock options granted in prior years that were about to expire in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2015, the Company agreed to grant 65,868 fully vested shares of its common stock to two executive officers as bonuses. These shares were not issued at the time, but were recorded as stock payable. The obligation to issue these shares was redeemed for cash in 2016 for a total payment of $232,602.</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the Company entered into a new capital markets advisory agreement covering a one-year period, which called for 30,000 shares of common stock to be issued as compensation. The first 15,000 shares were issued in September 2015 and valued at $41,400. These shares were amortized over a six-month period. The agreement was cancelled in 2016 and the remaining 15,000 shares were not issued.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2014, the Company agreed to grant 112,500 shares of common stock to two executive officers at the time as bonuses based on their efforts to recapitalize the Company. Stock-based compensation related to these bonuses of $570,375 was recorded during the year ended December 31, 2014. These shares were not issued at the time and were recorded as stock payable. The obligation to issue these shares was redeemed in 2016 for cash payments of $397,038. Also in 2014, as part of a capital raise, the Company agreed to grant 66,667 shares of common stock to three executive officers at the time. The shares were part of an equity raise and the issuance was recorded as part of equity issuance costs, so no expense was recorded. In 2016, a total of 50,000 of those shares were redeemed for a cash payment of $177,275 and the remaining 16,667 shares were issued to a former executive officer.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of the Company approved a one for three reverse stock split that became effective May 14, 2018. The effect of this reverse stock split has been retroactively reflected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in June 2013. A total of 500,000 shares were initially reserved for issuance under the Plan. The Plan was amended in 2016 to increase the authorized shares to 1,333,333 shares and again in 2018 to increase the authorized shares to 1,833,333. A total of 1,368,750 options were outstanding at December 31, 2016. In addition, a total of 245,035 restricted shares were granted in 2014 and 2015, but not issued at the time. A total 228,338 of these shares were redeemed for cash in 2016, and 16,667 of these shares were issued in 2016. As of December 31, 2017, the Company has no remaining restricted shares owed. The Company had no remaining shares available to grant under the Plan at December 31, 2017.</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Prior to establishment of the Plan, the Board granted options under terms similar to those described in the preceding paragraphs. A total of 8,333 options were outstanding at December 31, 2016 that were granted prior to the establishment of the 2013 Plan, but those options expired in 2017.</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2017 and 2016, was $815,014 and $384,126,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remaining</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Aggregate</w:t>
            </w:r>
          </w:p>
        </w:tc>
      </w:tr>
      <w:tr>
        <w:trPr>
          <w:trHeight w:val="216"/>
        </w:trPr>
        <w:tc>
          <w:tcPr>
            <w:tcW w:w="74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exercise</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contractual</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intrinsic</w:t>
            </w:r>
          </w:p>
        </w:tc>
      </w:tr>
      <w:tr>
        <w:trPr>
          <w:trHeight w:val="237"/>
        </w:trPr>
        <w:tc>
          <w:tcPr>
            <w:tcW w:w="74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life (years)</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value $</w:t>
            </w:r>
          </w:p>
        </w:tc>
      </w:tr>
      <w:tr>
        <w:trPr>
          <w:trHeight w:val="216"/>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 - 2016</w:t>
            </w:r>
          </w:p>
        </w:tc>
        <w:tc>
          <w:tcPr>
            <w:tcW w:w="840" w:type="dxa"/>
            <w:vAlign w:val="bottom"/>
          </w:tcPr>
          <w:p>
            <w:pPr>
              <w:jc w:val="right"/>
              <w:spacing w:after="0"/>
              <w:rPr>
                <w:sz w:val="20"/>
                <w:szCs w:val="20"/>
                <w:color w:val="auto"/>
              </w:rPr>
            </w:pPr>
            <w:r>
              <w:rPr>
                <w:rFonts w:ascii="Arial" w:cs="Arial" w:eastAsia="Arial" w:hAnsi="Arial"/>
                <w:sz w:val="18"/>
                <w:szCs w:val="18"/>
                <w:color w:val="auto"/>
              </w:rPr>
              <w:t>680,000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Exercised - 2016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Expired – 2016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(16,667)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 – 2017</w:t>
            </w:r>
          </w:p>
        </w:tc>
        <w:tc>
          <w:tcPr>
            <w:tcW w:w="840" w:type="dxa"/>
            <w:vAlign w:val="bottom"/>
          </w:tcPr>
          <w:p>
            <w:pPr>
              <w:jc w:val="right"/>
              <w:spacing w:after="0"/>
              <w:rPr>
                <w:sz w:val="20"/>
                <w:szCs w:val="20"/>
                <w:color w:val="auto"/>
              </w:rPr>
            </w:pPr>
            <w:r>
              <w:rPr>
                <w:rFonts w:ascii="Arial" w:cs="Arial" w:eastAsia="Arial" w:hAnsi="Arial"/>
                <w:sz w:val="18"/>
                <w:szCs w:val="18"/>
                <w:color w:val="auto"/>
              </w:rPr>
              <w:t>480,417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Exercised – 2017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Expired – 2017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1,368,750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$ 2,173,700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spacing w:after="0"/>
              <w:rPr>
                <w:sz w:val="20"/>
                <w:szCs w:val="20"/>
                <w:color w:val="auto"/>
              </w:rPr>
            </w:pPr>
            <w:r>
              <w:rPr>
                <w:rFonts w:ascii="Arial" w:cs="Arial" w:eastAsia="Arial" w:hAnsi="Arial"/>
                <w:sz w:val="18"/>
                <w:szCs w:val="18"/>
                <w:color w:val="auto"/>
              </w:rPr>
              <w:t>Exercisable, December 31, 2017</w:t>
            </w:r>
          </w:p>
        </w:tc>
        <w:tc>
          <w:tcPr>
            <w:tcW w:w="840" w:type="dxa"/>
            <w:vAlign w:val="bottom"/>
          </w:tcPr>
          <w:p>
            <w:pPr>
              <w:jc w:val="right"/>
              <w:spacing w:after="0"/>
              <w:rPr>
                <w:sz w:val="20"/>
                <w:szCs w:val="20"/>
                <w:color w:val="auto"/>
              </w:rPr>
            </w:pPr>
            <w:r>
              <w:rPr>
                <w:rFonts w:ascii="Arial" w:cs="Arial" w:eastAsia="Arial" w:hAnsi="Arial"/>
                <w:sz w:val="18"/>
                <w:szCs w:val="18"/>
                <w:color w:val="auto"/>
              </w:rPr>
              <w:t>630,417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$ 1,035,900</w:t>
            </w:r>
          </w:p>
        </w:tc>
        <w:tc>
          <w:tcPr>
            <w:tcW w:w="80" w:type="dxa"/>
            <w:vAlign w:val="bottom"/>
          </w:tcPr>
          <w:p>
            <w:pPr>
              <w:spacing w:after="0"/>
              <w:rPr>
                <w:sz w:val="20"/>
                <w:szCs w:val="20"/>
                <w:color w:val="auto"/>
              </w:rPr>
            </w:pPr>
          </w:p>
        </w:tc>
      </w:tr>
      <w:tr>
        <w:trPr>
          <w:trHeight w:val="21"/>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options outstanding at December 31, 2016, 406,667 were exercisable with a weighted average contractual life of 1.1 years and the remaining 633,333 were non-vested.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expiration date and exercise price of the options outstanding at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2"/>
          </w:tcPr>
          <w:p>
            <w:pPr>
              <w:ind w:left="1260"/>
              <w:spacing w:after="0"/>
              <w:rPr>
                <w:sz w:val="20"/>
                <w:szCs w:val="20"/>
                <w:color w:val="auto"/>
              </w:rPr>
            </w:pPr>
            <w:r>
              <w:rPr>
                <w:rFonts w:ascii="Arial" w:cs="Arial" w:eastAsia="Arial" w:hAnsi="Arial"/>
                <w:sz w:val="18"/>
                <w:szCs w:val="18"/>
                <w:color w:val="auto"/>
              </w:rPr>
              <w:t>Number of Options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520" w:type="dxa"/>
            <w:vAlign w:val="bottom"/>
          </w:tcPr>
          <w:p>
            <w:pPr>
              <w:jc w:val="right"/>
              <w:ind w:right="1110"/>
              <w:spacing w:after="0"/>
              <w:rPr>
                <w:sz w:val="20"/>
                <w:szCs w:val="20"/>
                <w:color w:val="auto"/>
              </w:rPr>
            </w:pPr>
            <w:r>
              <w:rPr>
                <w:rFonts w:ascii="Arial" w:cs="Arial" w:eastAsia="Arial" w:hAnsi="Arial"/>
                <w:sz w:val="18"/>
                <w:szCs w:val="18"/>
                <w:color w:val="auto"/>
              </w:rPr>
              <w:t>Expiration Date</w:t>
            </w:r>
          </w:p>
        </w:tc>
      </w:tr>
      <w:tr>
        <w:trPr>
          <w:trHeight w:val="216"/>
        </w:trPr>
        <w:tc>
          <w:tcPr>
            <w:tcW w:w="39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200,000</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03/31/22</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87"/>
              </w:rPr>
              <w:t>50,000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Arial" w:cs="Arial" w:eastAsia="Arial" w:hAnsi="Arial"/>
                <w:sz w:val="18"/>
                <w:szCs w:val="18"/>
                <w:color w:val="auto"/>
              </w:rPr>
              <w:t>10/30/18</w:t>
            </w:r>
          </w:p>
        </w:tc>
      </w:tr>
      <w:tr>
        <w:trPr>
          <w:trHeight w:val="216"/>
        </w:trPr>
        <w:tc>
          <w:tcPr>
            <w:tcW w:w="3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378,333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03/03/19</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92"/>
              </w:rPr>
              <w:t>500,000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Arial" w:cs="Arial" w:eastAsia="Arial" w:hAnsi="Arial"/>
                <w:sz w:val="18"/>
                <w:szCs w:val="18"/>
                <w:color w:val="auto"/>
              </w:rPr>
              <w:t>02/22/21</w:t>
            </w:r>
          </w:p>
        </w:tc>
      </w:tr>
      <w:tr>
        <w:trPr>
          <w:trHeight w:val="216"/>
        </w:trPr>
        <w:tc>
          <w:tcPr>
            <w:tcW w:w="3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166,667</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07/28/21</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88"/>
              </w:rPr>
              <w:t>6,667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Arial" w:cs="Arial" w:eastAsia="Arial" w:hAnsi="Arial"/>
                <w:sz w:val="18"/>
                <w:szCs w:val="18"/>
                <w:color w:val="auto"/>
              </w:rPr>
              <w:t>11/01/22</w:t>
            </w:r>
          </w:p>
        </w:tc>
      </w:tr>
      <w:tr>
        <w:trPr>
          <w:trHeight w:val="216"/>
        </w:trPr>
        <w:tc>
          <w:tcPr>
            <w:tcW w:w="3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33,333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03/03/19</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87"/>
              </w:rPr>
              <w:t>10,417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3520" w:type="dxa"/>
            <w:vAlign w:val="bottom"/>
          </w:tcPr>
          <w:p>
            <w:pPr>
              <w:jc w:val="right"/>
              <w:ind w:right="1310"/>
              <w:spacing w:after="0"/>
              <w:rPr>
                <w:sz w:val="20"/>
                <w:szCs w:val="20"/>
                <w:color w:val="auto"/>
              </w:rPr>
            </w:pPr>
            <w:r>
              <w:rPr>
                <w:rFonts w:ascii="Arial" w:cs="Arial" w:eastAsia="Arial" w:hAnsi="Arial"/>
                <w:sz w:val="18"/>
                <w:szCs w:val="18"/>
                <w:color w:val="auto"/>
              </w:rPr>
              <w:t>12/31/22</w:t>
            </w:r>
          </w:p>
        </w:tc>
      </w:tr>
      <w:tr>
        <w:trPr>
          <w:trHeight w:val="216"/>
        </w:trPr>
        <w:tc>
          <w:tcPr>
            <w:tcW w:w="3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01/29/19</w:t>
            </w:r>
          </w:p>
        </w:tc>
      </w:tr>
      <w:tr>
        <w:trPr>
          <w:trHeight w:val="655"/>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color w:val="auto"/>
              </w:rPr>
              <w:t>F-22</w:t>
            </w: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to purchase common stock, primarily in connection with capital raising activities. As discussed in Note 10, in connection with the strategic investment by WPP, in 2015 the Company issued warrants to purchase 80,148 shares of common stock with an exercise price of $2.3625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with an intrinsic value of $485,678, outstanding as of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2"/>
          </w:tcPr>
          <w:p>
            <w:pPr>
              <w:ind w:left="520"/>
              <w:spacing w:after="0"/>
              <w:rPr>
                <w:sz w:val="20"/>
                <w:szCs w:val="20"/>
                <w:color w:val="auto"/>
              </w:rPr>
            </w:pPr>
            <w:r>
              <w:rPr>
                <w:rFonts w:ascii="Arial" w:cs="Arial" w:eastAsia="Arial" w:hAnsi="Arial"/>
                <w:sz w:val="18"/>
                <w:szCs w:val="18"/>
                <w:color w:val="auto"/>
              </w:rPr>
              <w:t>Number of Shares Underlying Warrants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520" w:type="dxa"/>
            <w:vAlign w:val="bottom"/>
          </w:tcPr>
          <w:p>
            <w:pPr>
              <w:jc w:val="right"/>
              <w:ind w:right="1110"/>
              <w:spacing w:after="0"/>
              <w:rPr>
                <w:sz w:val="20"/>
                <w:szCs w:val="20"/>
                <w:color w:val="auto"/>
              </w:rPr>
            </w:pPr>
            <w:r>
              <w:rPr>
                <w:rFonts w:ascii="Arial" w:cs="Arial" w:eastAsia="Arial" w:hAnsi="Arial"/>
                <w:sz w:val="18"/>
                <w:szCs w:val="18"/>
                <w:color w:val="auto"/>
              </w:rPr>
              <w:t>Expiration Date</w:t>
            </w:r>
          </w:p>
        </w:tc>
      </w:tr>
      <w:tr>
        <w:trPr>
          <w:trHeight w:val="216"/>
        </w:trPr>
        <w:tc>
          <w:tcPr>
            <w:tcW w:w="3900" w:type="dxa"/>
            <w:vAlign w:val="bottom"/>
            <w:tcBorders>
              <w:top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rPr>
              <w:t>268,046</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03/17/2019</w:t>
            </w:r>
          </w:p>
        </w:tc>
      </w:tr>
      <w:tr>
        <w:trPr>
          <w:trHeight w:val="230"/>
        </w:trPr>
        <w:tc>
          <w:tcPr>
            <w:tcW w:w="3900" w:type="dxa"/>
            <w:vAlign w:val="bottom"/>
          </w:tcPr>
          <w:p>
            <w:pPr>
              <w:jc w:val="right"/>
              <w:ind w:right="1570"/>
              <w:spacing w:after="0"/>
              <w:rPr>
                <w:sz w:val="20"/>
                <w:szCs w:val="20"/>
                <w:color w:val="auto"/>
              </w:rPr>
            </w:pPr>
            <w:r>
              <w:rPr>
                <w:rFonts w:ascii="Arial" w:cs="Arial" w:eastAsia="Arial" w:hAnsi="Arial"/>
                <w:sz w:val="18"/>
                <w:szCs w:val="18"/>
                <w:color w:val="auto"/>
              </w:rPr>
              <w:t>80,148</w:t>
            </w:r>
          </w:p>
        </w:tc>
        <w:tc>
          <w:tcPr>
            <w:tcW w:w="120" w:type="dxa"/>
            <w:vAlign w:val="bottom"/>
          </w:tcPr>
          <w:p>
            <w:pPr>
              <w:spacing w:after="0"/>
              <w:rPr>
                <w:sz w:val="20"/>
                <w:szCs w:val="20"/>
                <w:color w:val="auto"/>
              </w:rPr>
            </w:pPr>
          </w:p>
        </w:tc>
        <w:tc>
          <w:tcPr>
            <w:tcW w:w="3760" w:type="dxa"/>
            <w:vAlign w:val="bottom"/>
          </w:tcPr>
          <w:p>
            <w:pPr>
              <w:jc w:val="right"/>
              <w:ind w:right="1450"/>
              <w:spacing w:after="0"/>
              <w:rPr>
                <w:sz w:val="20"/>
                <w:szCs w:val="20"/>
                <w:color w:val="auto"/>
              </w:rPr>
            </w:pPr>
            <w:r>
              <w:rPr>
                <w:rFonts w:ascii="Arial" w:cs="Arial" w:eastAsia="Arial" w:hAnsi="Arial"/>
                <w:sz w:val="18"/>
                <w:szCs w:val="18"/>
                <w:color w:val="auto"/>
              </w:rPr>
              <w:t>$2.3625</w:t>
            </w:r>
          </w:p>
        </w:tc>
        <w:tc>
          <w:tcPr>
            <w:tcW w:w="120" w:type="dxa"/>
            <w:vAlign w:val="bottom"/>
          </w:tcPr>
          <w:p>
            <w:pPr>
              <w:spacing w:after="0"/>
              <w:rPr>
                <w:sz w:val="20"/>
                <w:szCs w:val="20"/>
                <w:color w:val="auto"/>
              </w:rPr>
            </w:pPr>
          </w:p>
        </w:tc>
        <w:tc>
          <w:tcPr>
            <w:tcW w:w="3520" w:type="dxa"/>
            <w:vAlign w:val="bottom"/>
          </w:tcPr>
          <w:p>
            <w:pPr>
              <w:jc w:val="right"/>
              <w:ind w:right="1210"/>
              <w:spacing w:after="0"/>
              <w:rPr>
                <w:sz w:val="20"/>
                <w:szCs w:val="20"/>
                <w:color w:val="auto"/>
              </w:rPr>
            </w:pPr>
            <w:r>
              <w:rPr>
                <w:rFonts w:ascii="Arial" w:cs="Arial" w:eastAsia="Arial" w:hAnsi="Arial"/>
                <w:sz w:val="18"/>
                <w:szCs w:val="18"/>
                <w:color w:val="auto"/>
              </w:rPr>
              <w:t>09/24/2020</w:t>
            </w:r>
          </w:p>
        </w:tc>
      </w:tr>
    </w:tbl>
    <w:p>
      <w:pPr>
        <w:spacing w:after="0" w:line="187"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6"/>
          <w:szCs w:val="16"/>
          <w:color w:val="auto"/>
        </w:rPr>
        <w:t>The Company had the following warrant activity during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Outstanding,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Number of</w:t>
            </w:r>
          </w:p>
        </w:tc>
        <w:tc>
          <w:tcPr>
            <w:tcW w:w="20" w:type="dxa"/>
            <w:vAlign w:val="bottom"/>
          </w:tcPr>
          <w:p>
            <w:pPr>
              <w:spacing w:after="0"/>
              <w:rPr>
                <w:sz w:val="18"/>
                <w:szCs w:val="18"/>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Weighted</w:t>
            </w:r>
          </w:p>
        </w:tc>
      </w:tr>
      <w:tr>
        <w:trPr>
          <w:trHeight w:val="216"/>
        </w:trPr>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average</w:t>
            </w:r>
          </w:p>
        </w:tc>
      </w:tr>
      <w:tr>
        <w:trPr>
          <w:trHeight w:val="216"/>
        </w:trPr>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Underlying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7"/>
        </w:trPr>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Warrants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price</w:t>
            </w:r>
          </w:p>
        </w:tc>
      </w:tr>
      <w:tr>
        <w:trPr>
          <w:trHeight w:val="202"/>
        </w:trPr>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698,194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4.95</w:t>
            </w:r>
          </w:p>
        </w:tc>
        <w:tc>
          <w:tcPr>
            <w:tcW w:w="20" w:type="dxa"/>
            <w:vAlign w:val="bottom"/>
          </w:tcPr>
          <w:p>
            <w:pPr>
              <w:spacing w:after="0"/>
              <w:rPr>
                <w:sz w:val="17"/>
                <w:szCs w:val="17"/>
                <w:color w:val="auto"/>
              </w:rPr>
            </w:pPr>
          </w:p>
        </w:tc>
      </w:tr>
      <w:tr>
        <w:trPr>
          <w:trHeight w:val="216"/>
        </w:trPr>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(16,667)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r>
      <w:tr>
        <w:trPr>
          <w:trHeight w:val="202"/>
        </w:trPr>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681,527</w:t>
            </w:r>
          </w:p>
        </w:tc>
        <w:tc>
          <w:tcPr>
            <w:tcW w:w="20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5.01</w:t>
            </w:r>
          </w:p>
        </w:tc>
      </w:tr>
      <w:tr>
        <w:trPr>
          <w:trHeight w:val="216"/>
        </w:trPr>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(333,333)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r>
      <w:tr>
        <w:trPr>
          <w:trHeight w:val="250"/>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348,194</w:t>
            </w: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720"/>
            <w:col w:w="1940"/>
          </w:cols>
          <w:pgMar w:left="240" w:top="22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one customer that individually accounted for approximately 12% of revenue in 2017 and a different customer that individually accounted for approximately 12% of revenue in 2016. No other customers accounted for more than 10% of revenue in either year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the Company had net operating loss carry forwards of approximately $12.2 million that expire from 2027 through 2037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8" w:name="page69"/>
    <w:bookmarkEnd w:id="6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Federal income tax consists of the following for the years ended December 31, 2017 and 2016:</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benefit attributable to:</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Permanent and timing differences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provision for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0078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232" w:lineRule="exact"/>
        <w:rPr>
          <w:sz w:val="20"/>
          <w:szCs w:val="20"/>
          <w:color w:val="auto"/>
        </w:rPr>
      </w:pPr>
    </w:p>
    <w:p>
      <w:pPr>
        <w:ind w:left="300" w:hanging="299"/>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715,000   $ 523,000</w:t>
      </w:r>
    </w:p>
    <w:p>
      <w:pPr>
        <w:spacing w:after="0" w:line="23"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(280,000)</w:t>
      </w:r>
      <w:r>
        <w:rPr>
          <w:rFonts w:ascii="Arial" w:cs="Arial" w:eastAsia="Arial" w:hAnsi="Arial"/>
          <w:sz w:val="16"/>
          <w:szCs w:val="16"/>
          <w:color w:val="auto"/>
        </w:rPr>
        <w:t>133,000</w:t>
      </w:r>
    </w:p>
    <w:p>
      <w:pPr>
        <w:spacing w:after="0" w:line="9"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18"/>
          <w:szCs w:val="18"/>
          <w:color w:val="auto"/>
        </w:rPr>
        <w:t>(1,600,000)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80"/>
        <w:spacing w:after="0"/>
        <w:tabs>
          <w:tab w:leader="none" w:pos="1220" w:val="left"/>
        </w:tabs>
        <w:rPr>
          <w:sz w:val="20"/>
          <w:szCs w:val="20"/>
          <w:color w:val="auto"/>
        </w:rPr>
      </w:pPr>
      <w:r>
        <w:rPr>
          <w:rFonts w:ascii="Arial" w:cs="Arial" w:eastAsia="Arial" w:hAnsi="Arial"/>
          <w:sz w:val="16"/>
          <w:szCs w:val="16"/>
          <w:color w:val="auto"/>
        </w:rPr>
        <w:t>1,165,000</w:t>
      </w:r>
      <w:r>
        <w:rPr>
          <w:sz w:val="20"/>
          <w:szCs w:val="20"/>
          <w:color w:val="auto"/>
        </w:rPr>
        <w:tab/>
      </w:r>
      <w:r>
        <w:rPr>
          <w:rFonts w:ascii="Arial" w:cs="Arial" w:eastAsia="Arial" w:hAnsi="Arial"/>
          <w:sz w:val="16"/>
          <w:szCs w:val="16"/>
          <w:color w:val="auto"/>
        </w:rPr>
        <w:t>(656,000)</w:t>
      </w:r>
    </w:p>
    <w:p>
      <w:pPr>
        <w:spacing w:after="0" w:line="85" w:lineRule="exact"/>
        <w:rPr>
          <w:sz w:val="20"/>
          <w:szCs w:val="20"/>
          <w:color w:val="auto"/>
        </w:rPr>
      </w:pPr>
    </w:p>
    <w:p>
      <w:pPr>
        <w:spacing w:after="0"/>
        <w:tabs>
          <w:tab w:leader="none" w:pos="820" w:val="left"/>
          <w:tab w:leader="none" w:pos="108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2007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2000"/>
          </w:cols>
          <w:pgMar w:left="240" w:top="226" w:right="239" w:bottom="1440" w:gutter="0" w:footer="0" w:header="0"/>
          <w:type w:val="continuous"/>
        </w:sectPr>
      </w:pP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tax effect at the expected rate of 34%, as of December 31, 2016, and 21% as of December 31, 2017, of significant items comprising our net deferred tax amount is as follows as of December 31, 2017 and 2016:</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6193"/>
        <w:spacing w:after="0"/>
        <w:rPr>
          <w:sz w:val="20"/>
          <w:szCs w:val="20"/>
          <w:color w:val="auto"/>
        </w:rPr>
      </w:pPr>
      <w:r>
        <w:rPr>
          <w:rFonts w:ascii="Arial" w:cs="Arial" w:eastAsia="Arial" w:hAnsi="Arial"/>
          <w:sz w:val="16"/>
          <w:szCs w:val="16"/>
          <w:color w:val="auto"/>
        </w:rPr>
        <w:t>Deferred tax asset attributable to:</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operating loss carryover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67"/>
        <w:spacing w:after="0"/>
        <w:tabs>
          <w:tab w:leader="none" w:pos="1346"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693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232" w:lineRule="exact"/>
        <w:rPr>
          <w:sz w:val="20"/>
          <w:szCs w:val="20"/>
          <w:color w:val="auto"/>
        </w:rPr>
      </w:pPr>
    </w:p>
    <w:p>
      <w:pPr>
        <w:ind w:left="167" w:hanging="167"/>
        <w:spacing w:after="0"/>
        <w:tabs>
          <w:tab w:leader="none" w:pos="167" w:val="left"/>
        </w:tabs>
        <w:numPr>
          <w:ilvl w:val="0"/>
          <w:numId w:val="34"/>
        </w:numPr>
        <w:rPr>
          <w:rFonts w:ascii="Arial" w:cs="Arial" w:eastAsia="Arial" w:hAnsi="Arial"/>
          <w:sz w:val="17"/>
          <w:szCs w:val="17"/>
          <w:color w:val="auto"/>
        </w:rPr>
      </w:pPr>
      <w:r>
        <w:rPr>
          <w:rFonts w:ascii="Arial" w:cs="Arial" w:eastAsia="Arial" w:hAnsi="Arial"/>
          <w:sz w:val="17"/>
          <w:szCs w:val="17"/>
          <w:color w:val="auto"/>
        </w:rPr>
        <w:t>2,551,000   $ 3,648,000</w:t>
      </w:r>
    </w:p>
    <w:p>
      <w:pPr>
        <w:spacing w:after="0" w:line="34" w:lineRule="exact"/>
        <w:rPr>
          <w:rFonts w:ascii="Arial" w:cs="Arial" w:eastAsia="Arial" w:hAnsi="Arial"/>
          <w:sz w:val="17"/>
          <w:szCs w:val="17"/>
          <w:color w:val="auto"/>
        </w:rPr>
      </w:pPr>
    </w:p>
    <w:p>
      <w:pPr>
        <w:ind w:left="387"/>
        <w:spacing w:after="0"/>
        <w:rPr>
          <w:rFonts w:ascii="Arial" w:cs="Arial" w:eastAsia="Arial" w:hAnsi="Arial"/>
          <w:sz w:val="17"/>
          <w:szCs w:val="17"/>
          <w:color w:val="auto"/>
        </w:rPr>
      </w:pPr>
      <w:r>
        <w:rPr>
          <w:rFonts w:ascii="Arial" w:cs="Arial" w:eastAsia="Arial" w:hAnsi="Arial"/>
          <w:sz w:val="18"/>
          <w:szCs w:val="18"/>
          <w:color w:val="auto"/>
        </w:rPr>
        <w:t>98,000</w:t>
      </w:r>
      <w:r>
        <w:rPr>
          <w:rFonts w:ascii="Arial" w:cs="Arial" w:eastAsia="Arial" w:hAnsi="Arial"/>
          <w:sz w:val="16"/>
          <w:szCs w:val="16"/>
          <w:color w:val="auto"/>
        </w:rPr>
        <w:t>126,000</w:t>
      </w:r>
    </w:p>
    <w:p>
      <w:pPr>
        <w:spacing w:after="0" w:line="9" w:lineRule="exact"/>
        <w:rPr>
          <w:sz w:val="20"/>
          <w:szCs w:val="20"/>
          <w:color w:val="auto"/>
        </w:rPr>
      </w:pPr>
    </w:p>
    <w:p>
      <w:pPr>
        <w:ind w:left="307"/>
        <w:spacing w:after="0"/>
        <w:tabs>
          <w:tab w:leader="none" w:pos="1386" w:val="left"/>
        </w:tabs>
        <w:rPr>
          <w:sz w:val="20"/>
          <w:szCs w:val="20"/>
          <w:color w:val="auto"/>
        </w:rPr>
      </w:pPr>
      <w:r>
        <w:rPr>
          <w:rFonts w:ascii="Arial" w:cs="Arial" w:eastAsia="Arial" w:hAnsi="Arial"/>
          <w:sz w:val="18"/>
          <w:szCs w:val="18"/>
          <w:color w:val="auto"/>
        </w:rPr>
        <w:t>372,000</w:t>
      </w:r>
      <w:r>
        <w:rPr>
          <w:sz w:val="20"/>
          <w:szCs w:val="20"/>
          <w:color w:val="auto"/>
        </w:rPr>
        <w:tab/>
      </w:r>
      <w:r>
        <w:rPr>
          <w:rFonts w:ascii="Arial" w:cs="Arial" w:eastAsia="Arial" w:hAnsi="Arial"/>
          <w:sz w:val="18"/>
          <w:szCs w:val="18"/>
          <w:color w:val="auto"/>
        </w:rPr>
        <w:t>339,000</w:t>
      </w:r>
    </w:p>
    <w:p>
      <w:pPr>
        <w:spacing w:after="0" w:line="9" w:lineRule="exact"/>
        <w:rPr>
          <w:sz w:val="20"/>
          <w:szCs w:val="20"/>
          <w:color w:val="auto"/>
        </w:rPr>
      </w:pPr>
    </w:p>
    <w:p>
      <w:pPr>
        <w:ind w:left="1507" w:hanging="675"/>
        <w:spacing w:after="0"/>
        <w:tabs>
          <w:tab w:leader="none" w:pos="15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73,000</w:t>
      </w:r>
    </w:p>
    <w:p>
      <w:pPr>
        <w:spacing w:after="0" w:line="9" w:lineRule="exact"/>
        <w:rPr>
          <w:rFonts w:ascii="Arial" w:cs="Arial" w:eastAsia="Arial" w:hAnsi="Arial"/>
          <w:sz w:val="18"/>
          <w:szCs w:val="18"/>
          <w:color w:val="auto"/>
        </w:rPr>
      </w:pPr>
    </w:p>
    <w:p>
      <w:pPr>
        <w:ind w:left="107"/>
        <w:spacing w:after="0"/>
        <w:rPr>
          <w:rFonts w:ascii="Arial" w:cs="Arial" w:eastAsia="Arial" w:hAnsi="Arial"/>
          <w:sz w:val="18"/>
          <w:szCs w:val="18"/>
          <w:color w:val="auto"/>
        </w:rPr>
      </w:pPr>
      <w:r>
        <w:rPr>
          <w:rFonts w:ascii="Arial" w:cs="Arial" w:eastAsia="Arial" w:hAnsi="Arial"/>
          <w:sz w:val="17"/>
          <w:szCs w:val="17"/>
          <w:u w:val="single" w:color="auto"/>
          <w:color w:val="auto"/>
        </w:rPr>
        <w:t>(3,021,000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(4,186,000</w:t>
      </w:r>
      <w:r>
        <w:rPr>
          <w:rFonts w:ascii="Arial" w:cs="Arial" w:eastAsia="Arial" w:hAnsi="Arial"/>
          <w:sz w:val="17"/>
          <w:szCs w:val="17"/>
          <w:color w:val="auto"/>
        </w:rPr>
        <w:t>)</w:t>
      </w:r>
    </w:p>
    <w:p>
      <w:pPr>
        <w:spacing w:after="0" w:line="74" w:lineRule="exact"/>
        <w:rPr>
          <w:sz w:val="20"/>
          <w:szCs w:val="20"/>
          <w:color w:val="auto"/>
        </w:rPr>
      </w:pPr>
    </w:p>
    <w:p>
      <w:pPr>
        <w:ind w:left="7"/>
        <w:spacing w:after="0"/>
        <w:tabs>
          <w:tab w:leader="none" w:pos="806" w:val="left"/>
          <w:tab w:leader="none" w:pos="1086" w:val="left"/>
          <w:tab w:leader="none" w:pos="19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693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6936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93" w:space="720"/>
            <w:col w:w="2107"/>
          </w:cols>
          <w:pgMar w:left="240" w:top="226" w:right="239" w:bottom="1440" w:gutter="0" w:footer="0" w:header="0"/>
          <w:type w:val="continuous"/>
        </w:sectPr>
      </w:pP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initially signed the lease for its current office space located in Rochester Michigan on December 1, 2011. That lease expired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least termination payment of $7,300 will be due at the end of the initial 3-year term.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month to month leases on shared office spaces in Cambridge Massachusetts and Nashville, Tennessee, payable at rates of $2,700 per month and $1,370 per month,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20" w:type="dxa"/>
            <w:vAlign w:val="bottom"/>
          </w:tcPr>
          <w:p>
            <w:pPr>
              <w:spacing w:after="0"/>
              <w:rPr>
                <w:sz w:val="20"/>
                <w:szCs w:val="20"/>
                <w:color w:val="auto"/>
              </w:rPr>
            </w:pPr>
            <w:r>
              <w:rPr>
                <w:rFonts w:ascii="Arial" w:cs="Arial" w:eastAsia="Arial" w:hAnsi="Arial"/>
                <w:sz w:val="18"/>
                <w:szCs w:val="18"/>
                <w:color w:val="auto"/>
              </w:rPr>
              <w:t>Minimum annual rent payments are as follows for the remaining term of the leases: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520" w:type="dxa"/>
            <w:vAlign w:val="bottom"/>
            <w:shd w:val="clear" w:color="auto" w:fill="CCEEFF"/>
          </w:tcPr>
          <w:p>
            <w:pPr>
              <w:jc w:val="right"/>
              <w:ind w:right="989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75,772</w:t>
            </w:r>
          </w:p>
        </w:tc>
      </w:tr>
      <w:tr>
        <w:trPr>
          <w:trHeight w:val="237"/>
        </w:trPr>
        <w:tc>
          <w:tcPr>
            <w:tcW w:w="10520" w:type="dxa"/>
            <w:vAlign w:val="bottom"/>
            <w:tcBorders>
              <w:bottom w:val="single" w:sz="8" w:color="CCEEFF"/>
            </w:tcBorders>
          </w:tcPr>
          <w:p>
            <w:pPr>
              <w:jc w:val="right"/>
              <w:ind w:right="989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100" w:type="dxa"/>
            <w:vAlign w:val="bottom"/>
            <w:tcBorders>
              <w:bottom w:val="single" w:sz="8" w:color="CCEEFF"/>
            </w:tcBorders>
          </w:tcPr>
          <w:p>
            <w:pPr>
              <w:spacing w:after="0"/>
              <w:rPr>
                <w:sz w:val="20"/>
                <w:szCs w:val="20"/>
                <w:color w:val="auto"/>
              </w:rPr>
            </w:pPr>
          </w:p>
        </w:tc>
      </w:tr>
      <w:tr>
        <w:trPr>
          <w:trHeight w:val="250"/>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commitment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145,996</w:t>
            </w:r>
          </w:p>
        </w:tc>
      </w:tr>
      <w:tr>
        <w:trPr>
          <w:trHeight w:val="21"/>
        </w:trPr>
        <w:tc>
          <w:tcPr>
            <w:tcW w:w="10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originally was due when the e-Coupon functionality was launched on a widespread basis in the Touchworks platform, which occurred February 28, 2017. A payment of $325,000 was made at the time and the remaining amount due was extended until October,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Hosting agreement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an agreement with a third party to host and administer its software through March 31, 2018 at a rate of $24,230 per month for a total of $72,690 for the three-month period. That agreement was terminated in December 2017 with an effective date of March 31, 2018 in conjunction with moving to a more cost-effective solution and in connection with that termination, the Company will make additional payments of $220,440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16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$137,858 and $64,690 recorded in 2017 and 2016, respectively, for company contributions to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the Company’s Board of Directors amended the 2013 Equity Compensation Plan to increase the number of shares authorized under the plan to 1,833,333. At the same time, the Company granted 130,000 shares of restricted common stock to officers and options to purchase 106,667 shares of common stock with an exercise price of $4.20 to non-officers, both of which vest only if the Company achieves certain stretch revenue goals in either 2019 or 2020. In addition, the Company accelerated vesting to 2018 on 100,000 existing options that previously vested in 2021.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30, 2017, KLJ &amp; Associates LLP resigned as our independent registered accounting firm. We engaged Sadler, Gibb &amp; Associates, LLC as our independent registered accounting firm effective August 30, 2017. The decision to change accountants was approved by our board of directors. For more information on the change in accountants, please see our Form 8-K filed with the Securities and Exchange Commission on September 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40" w:type="dxa"/>
            <w:vAlign w:val="bottom"/>
          </w:tcPr>
          <w:p>
            <w:pPr>
              <w:jc w:val="center"/>
              <w:ind w:left="310"/>
              <w:spacing w:after="0"/>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40" w:type="dxa"/>
            <w:vAlign w:val="bottom"/>
          </w:tcPr>
          <w:p>
            <w:pPr>
              <w:jc w:val="center"/>
              <w:ind w:left="310"/>
              <w:spacing w:after="0"/>
              <w:rPr>
                <w:sz w:val="20"/>
                <w:szCs w:val="20"/>
                <w:color w:val="auto"/>
              </w:rPr>
            </w:pPr>
            <w:r>
              <w:rPr>
                <w:rFonts w:ascii="Arial" w:cs="Arial" w:eastAsia="Arial" w:hAnsi="Arial"/>
                <w:sz w:val="18"/>
                <w:szCs w:val="18"/>
                <w:b w:val="1"/>
                <w:bCs w:val="1"/>
                <w:color w:val="auto"/>
              </w:rPr>
              <w:t>INFORMATION NOT REQUIRED IN PROSPECTUS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13.</w:t>
            </w:r>
          </w:p>
        </w:tc>
        <w:tc>
          <w:tcPr>
            <w:tcW w:w="9340" w:type="dxa"/>
            <w:vAlign w:val="bottom"/>
          </w:tcPr>
          <w:p>
            <w:pPr>
              <w:ind w:left="200"/>
              <w:spacing w:after="0"/>
              <w:rPr>
                <w:sz w:val="20"/>
                <w:szCs w:val="20"/>
                <w:color w:val="auto"/>
              </w:rPr>
            </w:pPr>
            <w:r>
              <w:rPr>
                <w:rFonts w:ascii="Arial" w:cs="Arial" w:eastAsia="Arial" w:hAnsi="Arial"/>
                <w:sz w:val="18"/>
                <w:szCs w:val="18"/>
                <w:b w:val="1"/>
                <w:bCs w:val="1"/>
                <w:color w:val="auto"/>
              </w:rPr>
              <w:t>Other Expenses of Issuance and Distribution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60" w:type="dxa"/>
            <w:vAlign w:val="bottom"/>
            <w:tcBorders>
              <w:bottom w:val="single" w:sz="8" w:color="CCEEFF"/>
            </w:tcBorders>
            <w:gridSpan w:val="2"/>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9340" w:type="dxa"/>
            <w:vAlign w:val="bottom"/>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8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issued 6,250 shares of restricted Common Stock to our outside Directors as part of our director compensation package for services rendered in Q4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May 2018, we sold to accredited investors an aggregate of 1,666,669 shares of our Common Stock, for gross proceeds of approximately $9,000,000.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00"/>
          </w:cols>
          <w:pgMar w:left="240" w:top="226" w:right="2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17145</wp:posOffset>
            </wp:positionV>
            <wp:extent cx="72466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20"/>
        <w:spacing w:after="0" w:line="217"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30"/>
            <w:szCs w:val="30"/>
            <w:u w:val="single" w:color="auto"/>
            <w:color w:val="0000EE"/>
            <w:vertAlign w:val="superscript"/>
          </w:rPr>
          <w:t>1</w:t>
        </w:r>
      </w:hyperlink>
    </w:p>
    <w:p>
      <w:pPr>
        <w:ind w:left="120"/>
        <w:spacing w:after="0" w:line="185"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Certificate of Designation, filed on September 5, 2008 with the Secretary of State of the State of Nevada by the Company</w:t>
        </w:r>
        <w:r>
          <w:rPr>
            <w:rFonts w:ascii="Arial" w:cs="Arial" w:eastAsia="Arial" w:hAnsi="Arial"/>
            <w:sz w:val="29"/>
            <w:szCs w:val="29"/>
            <w:u w:val="single" w:color="auto"/>
            <w:color w:val="0000EE"/>
            <w:vertAlign w:val="superscript"/>
          </w:rPr>
          <w:t>1</w:t>
        </w:r>
      </w:hyperlink>
    </w:p>
    <w:p>
      <w:pPr>
        <w:ind w:left="120"/>
        <w:spacing w:after="0" w:line="185"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Certificate of Designation, filed on June 3, 2010 with the Secretary of State of the State of Nevada by the Company</w:t>
        </w:r>
        <w:r>
          <w:rPr>
            <w:rFonts w:ascii="Arial" w:cs="Arial" w:eastAsia="Arial" w:hAnsi="Arial"/>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Opinion of The Doney Law firm with Consent to use</w:t>
        </w:r>
        <w:r>
          <w:rPr>
            <w:rFonts w:ascii="Arial" w:cs="Arial" w:eastAsia="Arial" w:hAnsi="Arial"/>
            <w:sz w:val="29"/>
            <w:szCs w:val="29"/>
            <w:u w:val="single" w:color="auto"/>
            <w:color w:val="0000EE"/>
            <w:vertAlign w:val="superscript"/>
          </w:rPr>
          <w:t>13</w:t>
        </w:r>
      </w:hyperlink>
    </w:p>
    <w:p>
      <w:pPr>
        <w:ind w:left="120"/>
        <w:spacing w:after="0" w:line="184" w:lineRule="auto"/>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Separation Agreement, dated September 20, 2013</w:t>
        </w:r>
        <w:r>
          <w:rPr>
            <w:rFonts w:ascii="Arial" w:cs="Arial" w:eastAsia="Arial" w:hAnsi="Arial"/>
            <w:sz w:val="29"/>
            <w:szCs w:val="29"/>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Securities Purchase Agreement</w:t>
        </w:r>
        <w:r>
          <w:rPr>
            <w:rFonts w:ascii="Arial" w:cs="Arial" w:eastAsia="Arial" w:hAnsi="Arial"/>
            <w:sz w:val="29"/>
            <w:szCs w:val="29"/>
            <w:u w:val="single" w:color="auto"/>
            <w:color w:val="0000EE"/>
            <w:vertAlign w:val="superscript"/>
          </w:rPr>
          <w:t>5</w:t>
        </w:r>
      </w:hyperlink>
    </w:p>
    <w:p>
      <w:pPr>
        <w:ind w:left="120"/>
        <w:spacing w:after="0" w:line="185"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Registration Rights Agreement</w:t>
        </w:r>
        <w:r>
          <w:rPr>
            <w:rFonts w:ascii="Arial" w:cs="Arial" w:eastAsia="Arial" w:hAnsi="Arial"/>
            <w:sz w:val="29"/>
            <w:szCs w:val="29"/>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Investor Agreement</w:t>
        </w:r>
        <w:r>
          <w:rPr>
            <w:rFonts w:ascii="Arial" w:cs="Arial" w:eastAsia="Arial" w:hAnsi="Arial"/>
            <w:sz w:val="29"/>
            <w:szCs w:val="29"/>
            <w:u w:val="single" w:color="auto"/>
            <w:color w:val="0000EE"/>
            <w:vertAlign w:val="superscript"/>
          </w:rPr>
          <w:t>5</w:t>
        </w:r>
      </w:hyperlink>
    </w:p>
    <w:p>
      <w:pPr>
        <w:ind w:left="120"/>
        <w:spacing w:after="0" w:line="185"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Warrant Agreement</w:t>
        </w:r>
        <w:r>
          <w:rPr>
            <w:rFonts w:ascii="Arial" w:cs="Arial" w:eastAsia="Arial" w:hAnsi="Arial"/>
            <w:sz w:val="29"/>
            <w:szCs w:val="2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Warrant Agreement</w:t>
        </w:r>
        <w:r>
          <w:rPr>
            <w:rFonts w:ascii="Arial" w:cs="Arial" w:eastAsia="Arial" w:hAnsi="Arial"/>
            <w:sz w:val="29"/>
            <w:szCs w:val="29"/>
            <w:u w:val="single" w:color="auto"/>
            <w:color w:val="0000EE"/>
            <w:vertAlign w:val="superscript"/>
          </w:rPr>
          <w:t>6</w:t>
        </w:r>
      </w:hyperlink>
    </w:p>
    <w:p>
      <w:pPr>
        <w:ind w:left="120"/>
        <w:spacing w:after="0" w:line="184"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Stock Purchase Agreement, dated September 24, 2015</w:t>
        </w:r>
        <w:r>
          <w:rPr>
            <w:rFonts w:ascii="Arial" w:cs="Arial" w:eastAsia="Arial" w:hAnsi="Arial"/>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Investor Rights Agreement, dated September 24, 2015</w:t>
        </w:r>
        <w:r>
          <w:rPr>
            <w:rFonts w:ascii="Arial" w:cs="Arial" w:eastAsia="Arial" w:hAnsi="Arial"/>
            <w:sz w:val="29"/>
            <w:szCs w:val="29"/>
            <w:u w:val="single" w:color="auto"/>
            <w:color w:val="0000EE"/>
            <w:vertAlign w:val="superscript"/>
          </w:rPr>
          <w:t>7</w:t>
        </w:r>
      </w:hyperlink>
    </w:p>
    <w:p>
      <w:pPr>
        <w:ind w:left="120"/>
        <w:spacing w:after="0" w:line="185" w:lineRule="auto"/>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Indemnity Agreement, dated September 24, 2015</w:t>
        </w:r>
        <w:r>
          <w:rPr>
            <w:rFonts w:ascii="Arial" w:cs="Arial" w:eastAsia="Arial" w:hAnsi="Arial"/>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Employment Agreement between the Company and James Brooks, dated December 4, 2015</w:t>
        </w:r>
        <w:r>
          <w:rPr>
            <w:rFonts w:ascii="Arial" w:cs="Arial" w:eastAsia="Arial" w:hAnsi="Arial"/>
            <w:sz w:val="29"/>
            <w:szCs w:val="29"/>
            <w:u w:val="single" w:color="auto"/>
            <w:color w:val="0000EE"/>
            <w:vertAlign w:val="superscript"/>
          </w:rPr>
          <w:t>8</w:t>
        </w:r>
      </w:hyperlink>
    </w:p>
    <w:p>
      <w:pPr>
        <w:ind w:left="120"/>
        <w:spacing w:after="0" w:line="185" w:lineRule="auto"/>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Employment Agreement between the Company and William Febbo, dated February 12, 2016</w:t>
        </w:r>
        <w:r>
          <w:rPr>
            <w:rFonts w:ascii="Arial" w:cs="Arial" w:eastAsia="Arial" w:hAnsi="Arial"/>
            <w:sz w:val="29"/>
            <w:szCs w:val="29"/>
            <w:u w:val="single" w:color="auto"/>
            <w:color w:val="0000EE"/>
            <w:vertAlign w:val="superscript"/>
          </w:rPr>
          <w:t>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20"/>
        <w:spacing w:after="0" w:line="205"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Separation Agreement, Corporate Consulting Agreement and Confidentiality Agreement between the Company and David Harrell dated May</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5, 2016</w:t>
        </w:r>
        <w:r>
          <w:rPr>
            <w:rFonts w:ascii="Arial" w:cs="Arial" w:eastAsia="Arial" w:hAnsi="Arial"/>
            <w:sz w:val="30"/>
            <w:szCs w:val="30"/>
            <w:u w:val="single" w:color="auto"/>
            <w:color w:val="0000EE"/>
            <w:vertAlign w:val="superscript"/>
          </w:rPr>
          <w:t>10</w:t>
        </w:r>
      </w:hyperlink>
    </w:p>
    <w:p>
      <w:pPr>
        <w:ind w:left="120"/>
        <w:spacing w:after="0" w:line="185"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Employment Agreement with Brian Dillon, dated June 22, 2016</w:t>
        </w:r>
        <w:r>
          <w:rPr>
            <w:rFonts w:ascii="Arial" w:cs="Arial" w:eastAsia="Arial" w:hAnsi="Arial"/>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Employment Agreement with Douglas Baker, dated June 27, 2016</w:t>
        </w:r>
        <w:r>
          <w:rPr>
            <w:rFonts w:ascii="Arial" w:cs="Arial" w:eastAsia="Arial" w:hAnsi="Arial"/>
            <w:sz w:val="29"/>
            <w:szCs w:val="29"/>
            <w:u w:val="single" w:color="auto"/>
            <w:color w:val="0000EE"/>
            <w:vertAlign w:val="superscript"/>
          </w:rPr>
          <w:t>11</w:t>
        </w:r>
      </w:hyperlink>
    </w:p>
    <w:p>
      <w:pPr>
        <w:ind w:left="120"/>
        <w:spacing w:after="0" w:line="184" w:lineRule="auto"/>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Employment Agreement with Terry Hamilton, dated June 27, 2016</w:t>
        </w:r>
        <w:r>
          <w:rPr>
            <w:rFonts w:ascii="Arial" w:cs="Arial" w:eastAsia="Arial" w:hAnsi="Arial"/>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Purchase Agreement, dated May 2, 2018</w:t>
        </w:r>
        <w:r>
          <w:rPr>
            <w:rFonts w:ascii="Arial" w:cs="Arial" w:eastAsia="Arial" w:hAnsi="Arial"/>
            <w:sz w:val="29"/>
            <w:szCs w:val="29"/>
            <w:u w:val="single" w:color="auto"/>
            <w:color w:val="0000EE"/>
            <w:vertAlign w:val="superscript"/>
          </w:rPr>
          <w:t>12</w:t>
        </w:r>
      </w:hyperlink>
    </w:p>
    <w:p>
      <w:pPr>
        <w:ind w:left="120"/>
        <w:spacing w:after="0" w:line="185"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Registration Rights Agreement, dated May 2, 2018</w:t>
        </w:r>
        <w:r>
          <w:rPr>
            <w:rFonts w:ascii="Arial" w:cs="Arial" w:eastAsia="Arial" w:hAnsi="Arial"/>
            <w:sz w:val="29"/>
            <w:szCs w:val="29"/>
            <w:u w:val="single" w:color="auto"/>
            <w:color w:val="0000EE"/>
            <w:vertAlign w:val="superscript"/>
          </w:rPr>
          <w:t>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List of Subsidiaries</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Consent of KLJ &amp; Associates**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Consent of Sadler, Gibb &amp;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-130810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40" w:space="400"/>
            <w:col w:w="10360"/>
          </w:cols>
          <w:pgMar w:left="240" w:top="226" w:right="259" w:bottom="1440" w:gutter="0" w:footer="0" w:header="0"/>
          <w:type w:val="continuous"/>
        </w:sectPr>
      </w:pPr>
    </w:p>
    <w:p>
      <w:pPr>
        <w:ind w:left="340" w:hanging="332"/>
        <w:spacing w:after="0"/>
        <w:tabs>
          <w:tab w:leader="none" w:pos="34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June 11, 2010.</w:t>
      </w:r>
    </w:p>
    <w:p>
      <w:pPr>
        <w:ind w:left="340" w:hanging="332"/>
        <w:spacing w:after="0" w:line="181"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340" w:hanging="332"/>
        <w:spacing w:after="0" w:line="181"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30, 2015.</w:t>
      </w: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8, 2016.</w:t>
      </w:r>
    </w:p>
    <w:p>
      <w:pPr>
        <w:ind w:left="340" w:hanging="332"/>
        <w:spacing w:after="0" w:line="181"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19, 2016.</w:t>
      </w: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10-Q, filed by the Company with the Securities and Exchange Commission on May 9, 2016.</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June 27, 2016.</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10-Q, filed by the Company with the Securities and Exchange Commission on May 2, 2018.</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S-1, filed by the Company with the Securities and Exchange Commission on May 22,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firstLine="980"/>
        <w:spacing w:after="0" w:line="273" w:lineRule="auto"/>
        <w:tabs>
          <w:tab w:leader="none" w:pos="124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980"/>
        <w:spacing w:after="0" w:line="277" w:lineRule="auto"/>
        <w:tabs>
          <w:tab w:leader="none" w:pos="13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77" w:lineRule="auto"/>
        <w:tabs>
          <w:tab w:leader="none" w:pos="9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619"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firstLine="645"/>
        <w:spacing w:after="0" w:line="287" w:lineRule="auto"/>
        <w:tabs>
          <w:tab w:leader="none" w:pos="160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2" w:lineRule="exact"/>
        <w:rPr>
          <w:rFonts w:ascii="Arial" w:cs="Arial" w:eastAsia="Arial" w:hAnsi="Arial"/>
          <w:sz w:val="16"/>
          <w:szCs w:val="16"/>
          <w:color w:val="auto"/>
        </w:rPr>
      </w:pPr>
    </w:p>
    <w:p>
      <w:pPr>
        <w:jc w:val="both"/>
        <w:ind w:firstLine="656"/>
        <w:spacing w:after="0" w:line="272" w:lineRule="auto"/>
        <w:tabs>
          <w:tab w:leader="none" w:pos="9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sz w:val="20"/>
          <w:szCs w:val="20"/>
          <w:color w:val="auto"/>
        </w:rPr>
      </w:pPr>
    </w:p>
    <w:p>
      <w:pPr>
        <w:jc w:val="both"/>
        <w:ind w:firstLine="656"/>
        <w:spacing w:after="0" w:line="271" w:lineRule="auto"/>
        <w:tabs>
          <w:tab w:leader="none" w:pos="894"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420"/>
          </w:cols>
          <w:pgMar w:left="240" w:top="226" w:right="2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June 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James Lang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Patrick Spangler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Archambault</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Bryan Archambault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and 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June 6, 2018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29840" cy="771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252984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8, 2017, with respect to the consolidated financial statements of OptimizeRx Corporation in its registration statement Form S-1. We also consent to the reference of our firm under the caption “interest of named experts and counsel” in the registration statement.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6, 2018</w:t>
      </w:r>
    </w:p>
    <w:p>
      <w:pPr>
        <w:sectPr>
          <w:pgSz w:w="11900" w:h="16838" w:orient="portrait"/>
          <w:cols w:equalWidth="0" w:num="1">
            <w:col w:w="11420"/>
          </w:cols>
          <w:pgMar w:left="240" w:top="11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55165" cy="951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195516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with the Public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Oversight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of our report dual dated March 7, 2018 and May 17, 2018, with respect to the consolidated financial statements of OptimizeRx Corp., in its registration statement on Form S-1/A relating to the registration of 1,666,669 shares of common stock, to be filed on or about June 5, 2018. We also consent to the reference of our firm under the caption “interests of named experts and counsel”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6657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17665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51145" cy="557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351145" cy="55753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2"/>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o"/>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bullet"/>
      <w:start w:val="1"/>
    </w:lvl>
  </w:abstractNum>
  <w:abstractNum w:abstractNumId="38">
    <w:nsid w:val="2CD89A32"/>
    <w:multiLevelType w:val="hybridMultilevel"/>
    <w:lvl w:ilvl="0">
      <w:lvlJc w:val="left"/>
      <w:lvlText w:val="2"/>
      <w:numFmt w:val="bullet"/>
      <w:start w:val="1"/>
    </w:lvl>
  </w:abstractNum>
  <w:abstractNum w:abstractNumId="39">
    <w:nsid w:val="57E4CCAF"/>
    <w:multiLevelType w:val="hybridMultilevel"/>
    <w:lvl w:ilvl="0">
      <w:lvlJc w:val="left"/>
      <w:lvlText w:val="3"/>
      <w:numFmt w:val="bullet"/>
      <w:start w:val="1"/>
    </w:lvl>
  </w:abstractNum>
  <w:abstractNum w:abstractNumId="40">
    <w:nsid w:val="7A6D8D3C"/>
    <w:multiLevelType w:val="hybridMultilevel"/>
    <w:lvl w:ilvl="0">
      <w:lvlJc w:val="left"/>
      <w:lvlText w:val="4"/>
      <w:numFmt w:val="bullet"/>
      <w:start w:val="1"/>
    </w:lvl>
  </w:abstractNum>
  <w:abstractNum w:abstractNumId="41">
    <w:nsid w:val="4B588F54"/>
    <w:multiLevelType w:val="hybridMultilevel"/>
    <w:lvl w:ilvl="0">
      <w:lvlJc w:val="left"/>
      <w:lvlText w:val="5"/>
      <w:numFmt w:val="bullet"/>
      <w:start w:val="1"/>
    </w:lvl>
  </w:abstractNum>
  <w:abstractNum w:abstractNumId="42">
    <w:nsid w:val="542289EC"/>
    <w:multiLevelType w:val="hybridMultilevel"/>
    <w:lvl w:ilvl="0">
      <w:lvlJc w:val="left"/>
      <w:lvlText w:val="6"/>
      <w:numFmt w:val="bullet"/>
      <w:start w:val="1"/>
    </w:lvl>
  </w:abstractNum>
  <w:abstractNum w:abstractNumId="43">
    <w:nsid w:val="6DE91B18"/>
    <w:multiLevelType w:val="hybridMultilevel"/>
    <w:lvl w:ilvl="0">
      <w:lvlJc w:val="left"/>
      <w:lvlText w:val="7"/>
      <w:numFmt w:val="bullet"/>
      <w:start w:val="1"/>
    </w:lvl>
  </w:abstractNum>
  <w:abstractNum w:abstractNumId="44">
    <w:nsid w:val="38437FDB"/>
    <w:multiLevelType w:val="hybridMultilevel"/>
    <w:lvl w:ilvl="0">
      <w:lvlJc w:val="left"/>
      <w:lvlText w:val="8"/>
      <w:numFmt w:val="bullet"/>
      <w:start w:val="1"/>
    </w:lvl>
  </w:abstractNum>
  <w:abstractNum w:abstractNumId="45">
    <w:nsid w:val="7644A45C"/>
    <w:multiLevelType w:val="hybridMultilevel"/>
    <w:lvl w:ilvl="0">
      <w:lvlJc w:val="left"/>
      <w:lvlText w:val="9"/>
      <w:numFmt w:val="bullet"/>
      <w:start w:val="1"/>
    </w:lvl>
  </w:abstractNum>
  <w:abstractNum w:abstractNumId="46">
    <w:nsid w:val="32FFF902"/>
    <w:multiLevelType w:val="hybridMultilevel"/>
    <w:lvl w:ilvl="0">
      <w:lvlJc w:val="left"/>
      <w:lvlText w:val="%1"/>
      <w:numFmt w:val="decimal"/>
      <w:start w:val="10"/>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Roman"/>
      <w:start w:val="1"/>
    </w:lvl>
    <w:lvl w:ilvl="1">
      <w:lvlJc w:val="left"/>
      <w:lvlText w:val="(%2)"/>
      <w:numFmt w:val="upperLetter"/>
      <w:start w:val="1"/>
    </w:lvl>
  </w:abstractNum>
  <w:abstractNum w:abstractNumId="49">
    <w:nsid w:val="749ABB4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20" Type="http://schemas.openxmlformats.org/officeDocument/2006/relationships/image" Target="media/image109.png"/><Relationship Id="rId123" Type="http://schemas.openxmlformats.org/officeDocument/2006/relationships/image" Target="media/image110.png"/><Relationship Id="rId126" Type="http://schemas.openxmlformats.org/officeDocument/2006/relationships/image" Target="media/image111.png"/><Relationship Id="rId129" Type="http://schemas.openxmlformats.org/officeDocument/2006/relationships/image" Target="media/image112.png"/><Relationship Id="rId132" Type="http://schemas.openxmlformats.org/officeDocument/2006/relationships/image" Target="media/image113.png"/><Relationship Id="rId135" Type="http://schemas.openxmlformats.org/officeDocument/2006/relationships/image" Target="media/image114.png"/><Relationship Id="rId138" Type="http://schemas.openxmlformats.org/officeDocument/2006/relationships/image" Target="media/image115.png"/><Relationship Id="rId141" Type="http://schemas.openxmlformats.org/officeDocument/2006/relationships/image" Target="media/image116.png"/><Relationship Id="rId144" Type="http://schemas.openxmlformats.org/officeDocument/2006/relationships/image" Target="media/image117.png"/><Relationship Id="rId147"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jpeg"/><Relationship Id="rId156" Type="http://schemas.openxmlformats.org/officeDocument/2006/relationships/image" Target="media/image126.jpeg"/><Relationship Id="rId157" Type="http://schemas.openxmlformats.org/officeDocument/2006/relationships/image" Target="media/image127.jpeg"/><Relationship Id="rId158" Type="http://schemas.openxmlformats.org/officeDocument/2006/relationships/image" Target="media/image128.jpeg"/><Relationship Id="rId115" Type="http://schemas.openxmlformats.org/officeDocument/2006/relationships/hyperlink" Target="http://www.sec.gov/Archives/edgar/data/1448431/000136110608000414/optimizerx_s1-ex0301.htm" TargetMode="External"/><Relationship Id="rId116" Type="http://schemas.openxmlformats.org/officeDocument/2006/relationships/hyperlink" Target="http://www.sec.gov/Archives/edgar/data/1448431/000125529410000605/ex3_1.htm" TargetMode="External"/><Relationship Id="rId118" Type="http://schemas.openxmlformats.org/officeDocument/2006/relationships/hyperlink" Target="http://www.sec.gov/Archives/edgar/data/1448431/000136110608000414/optimizerx_s1-ex0401.htm" TargetMode="External"/><Relationship Id="rId119" Type="http://schemas.openxmlformats.org/officeDocument/2006/relationships/hyperlink" Target="http://www.sec.gov/Archives/edgar/data/1448431/000125529410000492/ex4_1.htm" TargetMode="External"/><Relationship Id="rId121" Type="http://schemas.openxmlformats.org/officeDocument/2006/relationships/hyperlink" Target="http://www.sec.gov/Archives/edgar/data/1448431/000121390018006700/fs12018ex5-1_optimizerxcorp.htm" TargetMode="External"/><Relationship Id="rId122" Type="http://schemas.openxmlformats.org/officeDocument/2006/relationships/hyperlink" Target="http://www.sec.gov/Archives/edgar/data/1448431/000125529413000753/ex10_1.htm" TargetMode="External"/><Relationship Id="rId124" Type="http://schemas.openxmlformats.org/officeDocument/2006/relationships/hyperlink" Target="http://www.sec.gov/Archives/edgar/data/1448431/000125529414000204/ex10_1.htm" TargetMode="External"/><Relationship Id="rId125" Type="http://schemas.openxmlformats.org/officeDocument/2006/relationships/hyperlink" Target="http://www.sec.gov/Archives/edgar/data/1448431/000125529414000204/ex10_2.htm" TargetMode="External"/><Relationship Id="rId127" Type="http://schemas.openxmlformats.org/officeDocument/2006/relationships/hyperlink" Target="http://www.sec.gov/Archives/edgar/data/1448431/000125529414000204/ex10_3.htm" TargetMode="External"/><Relationship Id="rId128" Type="http://schemas.openxmlformats.org/officeDocument/2006/relationships/hyperlink" Target="http://www.sec.gov/Archives/edgar/data/1448431/000125529414000402/ex10_19.htm" TargetMode="External"/><Relationship Id="rId130" Type="http://schemas.openxmlformats.org/officeDocument/2006/relationships/hyperlink" Target="http://www.sec.gov/Archives/edgar/data/1448431/000125529414000402/ex10_20.htm" TargetMode="External"/><Relationship Id="rId131" Type="http://schemas.openxmlformats.org/officeDocument/2006/relationships/hyperlink" Target="http://www.sec.gov/Archives/edgar/data/1448431/000121390015007373/f8k092415ex10i_optimizerx.htm" TargetMode="External"/><Relationship Id="rId133" Type="http://schemas.openxmlformats.org/officeDocument/2006/relationships/hyperlink" Target="http://www.sec.gov/Archives/edgar/data/1448431/000121390015007373/f8k092415ex10ii_optimizerx.htm" TargetMode="External"/><Relationship Id="rId134" Type="http://schemas.openxmlformats.org/officeDocument/2006/relationships/hyperlink" Target="http://www.sec.gov/Archives/edgar/data/1448431/000121390015007373/f8k092415ex10iii_optimizerx.htm" TargetMode="External"/><Relationship Id="rId136" Type="http://schemas.openxmlformats.org/officeDocument/2006/relationships/hyperlink" Target="http://www.sec.gov/Archives/edgar/data/1448431/000121390016010017/f8k010416ex10i_optimizerx.htm" TargetMode="External"/><Relationship Id="rId137" Type="http://schemas.openxmlformats.org/officeDocument/2006/relationships/hyperlink" Target="http://www.sec.gov/Archives/edgar/data/1448431/000121390016011106/f8k021216ex10i_optimizerx.htm" TargetMode="External"/><Relationship Id="rId139" Type="http://schemas.openxmlformats.org/officeDocument/2006/relationships/hyperlink" Target="http://www.sec.gov/Archives/edgar/data/1448431/000121390016013077/f10q0316ex10i_optimizerx.htm" TargetMode="External"/><Relationship Id="rId140" Type="http://schemas.openxmlformats.org/officeDocument/2006/relationships/hyperlink" Target="http://www.sec.gov/Archives/edgar/data/1448431/000121390016014498/f8k062216ex10i_optimizerx.htm" TargetMode="External"/><Relationship Id="rId142" Type="http://schemas.openxmlformats.org/officeDocument/2006/relationships/hyperlink" Target="http://www.sec.gov/Archives/edgar/data/1448431/000121390016014498/f8k062216ex10ii_optimizerx.htm" TargetMode="External"/><Relationship Id="rId143" Type="http://schemas.openxmlformats.org/officeDocument/2006/relationships/hyperlink" Target="http://www.sec.gov/Archives/edgar/data/1448431/000121390016014498/f8k062216ex10iii_optimizerx.htm" TargetMode="External"/><Relationship Id="rId145" Type="http://schemas.openxmlformats.org/officeDocument/2006/relationships/hyperlink" Target="http://www.sec.gov/Archives/edgar/data/1448431/000121390018005414/f10q0318ex10-1_optimizerx.htm" TargetMode="External"/><Relationship Id="rId146" Type="http://schemas.openxmlformats.org/officeDocument/2006/relationships/hyperlink" Target="http://www.sec.gov/Archives/edgar/data/1448431/000121390018005414/f10q0318ex10-2_optimizerx.htm" TargetMode="External"/><Relationship Id="rId148" Type="http://schemas.openxmlformats.org/officeDocument/2006/relationships/hyperlink" Target="http://www.sec.gov/Archives/edgar/data/1448431/000136110608000414/optimizerx_s1-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2019-12-07T14:31:51Z</dcterms:created>
  <dcterms:modified xsi:type="dcterms:W3CDTF">2019-12-07T14:31:51Z</dcterms:modified>
</cp:coreProperties>
</file>