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tbl>
      <w:tblPr>
        <w:tblLayout w:type="fixed"/>
        <w:tblInd w:w="0" w:type="dxa"/>
        <w:tblCellMar>
          <w:top w:w="0" w:type="dxa"/>
          <w:left w:w="0" w:type="dxa"/>
          <w:bottom w:w="0" w:type="dxa"/>
          <w:right w:w="0" w:type="dxa"/>
        </w:tblCellMar>
      </w:tblPr>
      <w:tr>
        <w:trPr>
          <w:trHeight w:val="216"/>
        </w:trPr>
        <w:tc>
          <w:tcPr>
            <w:tcW w:w="5100" w:type="dxa"/>
            <w:vAlign w:val="bottom"/>
          </w:tcPr>
          <w:p>
            <w:pPr>
              <w:spacing w:after="0"/>
              <w:rPr>
                <w:sz w:val="20"/>
                <w:szCs w:val="20"/>
                <w:color w:val="auto"/>
              </w:rPr>
            </w:pPr>
            <w:r>
              <w:rPr>
                <w:rFonts w:ascii="Arial" w:cs="Arial" w:eastAsia="Arial" w:hAnsi="Arial"/>
                <w:sz w:val="18"/>
                <w:szCs w:val="18"/>
                <w:color w:val="auto"/>
              </w:rPr>
              <w:t>PROSPECTUS</w:t>
            </w:r>
          </w:p>
        </w:tc>
        <w:tc>
          <w:tcPr>
            <w:tcW w:w="6320" w:type="dxa"/>
            <w:vAlign w:val="bottom"/>
          </w:tcPr>
          <w:p>
            <w:pPr>
              <w:jc w:val="right"/>
              <w:spacing w:after="0"/>
              <w:rPr>
                <w:sz w:val="20"/>
                <w:szCs w:val="20"/>
                <w:color w:val="auto"/>
              </w:rPr>
            </w:pPr>
            <w:r>
              <w:rPr>
                <w:rFonts w:ascii="Arial" w:cs="Arial" w:eastAsia="Arial" w:hAnsi="Arial"/>
                <w:sz w:val="18"/>
                <w:szCs w:val="18"/>
                <w:color w:val="auto"/>
              </w:rPr>
              <w:t>Filed Pursuant to Rule 424(b)(3)</w:t>
            </w:r>
          </w:p>
        </w:tc>
      </w:tr>
      <w:tr>
        <w:trPr>
          <w:trHeight w:val="237"/>
        </w:trPr>
        <w:tc>
          <w:tcPr>
            <w:tcW w:w="5100" w:type="dxa"/>
            <w:vAlign w:val="bottom"/>
            <w:tcBorders>
              <w:bottom w:val="single" w:sz="8" w:color="auto"/>
            </w:tcBorders>
          </w:tcPr>
          <w:p>
            <w:pPr>
              <w:spacing w:after="0"/>
              <w:rPr>
                <w:sz w:val="20"/>
                <w:szCs w:val="20"/>
                <w:color w:val="auto"/>
              </w:rPr>
            </w:pPr>
          </w:p>
        </w:tc>
        <w:tc>
          <w:tcPr>
            <w:tcW w:w="63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Registration No. 333 -155280</w:t>
            </w:r>
          </w:p>
        </w:tc>
      </w:tr>
    </w:tbl>
    <w:p>
      <w:pPr>
        <w:spacing w:after="0" w:line="200" w:lineRule="exact"/>
        <w:rPr>
          <w:sz w:val="24"/>
          <w:szCs w:val="24"/>
          <w:color w:val="auto"/>
        </w:rPr>
      </w:pPr>
    </w:p>
    <w:p>
      <w:pPr>
        <w:spacing w:after="0" w:line="268"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OPTIMIZERX CORPORATION</w:t>
      </w:r>
    </w:p>
    <w:p>
      <w:pPr>
        <w:spacing w:after="0" w:line="279"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2,230,000 SHARES OF COMMON STOCK</w:t>
      </w:r>
    </w:p>
    <w:p>
      <w:pPr>
        <w:spacing w:after="0" w:line="283" w:lineRule="exact"/>
        <w:rPr>
          <w:sz w:val="24"/>
          <w:szCs w:val="24"/>
          <w:color w:val="auto"/>
        </w:rPr>
      </w:pPr>
    </w:p>
    <w:p>
      <w:pPr>
        <w:jc w:val="both"/>
        <w:spacing w:after="0" w:line="270" w:lineRule="auto"/>
        <w:rPr>
          <w:sz w:val="20"/>
          <w:szCs w:val="20"/>
          <w:color w:val="auto"/>
        </w:rPr>
      </w:pPr>
      <w:r>
        <w:rPr>
          <w:rFonts w:ascii="Arial" w:cs="Arial" w:eastAsia="Arial" w:hAnsi="Arial"/>
          <w:sz w:val="17"/>
          <w:szCs w:val="17"/>
          <w:color w:val="auto"/>
        </w:rPr>
        <w:t>This prospectus relates to the sale of up to 2,230,000 shares of common stock, issuable upon conversion of Series A Preferred Stock and exercise of the Series A Warrants, by the selling stockholders, all of whom were issued securities in connection with our September 8, 2008 private placement of securities convertible or exercisable into up to 9,500,000 shares of common stock. This is the initial registration of shares of our common stock. The 2,230,000 shares of common stock covered by this prospectus does not include any shares issuable as dividends on the Series A Preferred Stock. We will not receive any of the proceeds from the sale of those shares being sold by the selling security holders. The resale of the shares or the sale of new shares is not being underwritten. The selling security holders may sell or distribute the shares, from time to time, depending on market conditions and other factors, through underwriters, dealers, brokers or other agents, or directly to one or more purchasers. The selling stockholders will offer their shares at $4.00 per share until our shares are quoted on the OTC Bulletin Board and, assuming we secure this qualification, thereafter at prevailing market prices or privately negotiated prices. Pursuant to the registration rights granted by us to the selling security holders, we are obligated to register the shares held by the selling security holders. We are paying substantially all expenses incidental to registration of the shares.</w:t>
      </w:r>
    </w:p>
    <w:p>
      <w:pPr>
        <w:spacing w:after="0" w:line="232" w:lineRule="exact"/>
        <w:rPr>
          <w:sz w:val="24"/>
          <w:szCs w:val="24"/>
          <w:color w:val="auto"/>
        </w:rPr>
      </w:pPr>
    </w:p>
    <w:p>
      <w:pPr>
        <w:jc w:val="both"/>
        <w:spacing w:after="0" w:line="264" w:lineRule="auto"/>
        <w:rPr>
          <w:sz w:val="20"/>
          <w:szCs w:val="20"/>
          <w:color w:val="auto"/>
        </w:rPr>
      </w:pPr>
      <w:r>
        <w:rPr>
          <w:rFonts w:ascii="Arial" w:cs="Arial" w:eastAsia="Arial" w:hAnsi="Arial"/>
          <w:sz w:val="18"/>
          <w:szCs w:val="18"/>
          <w:color w:val="auto"/>
        </w:rPr>
        <w:t>As of the date of this prospectus, there is no established trading market in our common stock and we cannot assure you that an established trading market will develop. Our common stock is listed on the Pink Sheets (the “Pink Sheets”) under the symbol “OPRX.” The last reported sales price per share of our common stock as reported by the Pink Sheets on January 29, 2009, was $4.30.</w:t>
      </w:r>
    </w:p>
    <w:p>
      <w:pPr>
        <w:spacing w:after="0" w:line="235" w:lineRule="exact"/>
        <w:rPr>
          <w:sz w:val="24"/>
          <w:szCs w:val="24"/>
          <w:color w:val="auto"/>
        </w:rPr>
      </w:pPr>
    </w:p>
    <w:p>
      <w:pPr>
        <w:spacing w:after="0"/>
        <w:rPr>
          <w:sz w:val="20"/>
          <w:szCs w:val="20"/>
          <w:color w:val="auto"/>
        </w:rPr>
      </w:pPr>
      <w:r>
        <w:rPr>
          <w:rFonts w:ascii="Arial" w:cs="Arial" w:eastAsia="Arial" w:hAnsi="Arial"/>
          <w:sz w:val="18"/>
          <w:szCs w:val="18"/>
          <w:color w:val="auto"/>
        </w:rPr>
        <w:t>Our principal executive offices are located at 407 Sixth Street, Rochester, MI 48307, and our telephone number is (248) 651-6558.</w:t>
      </w:r>
    </w:p>
    <w:p>
      <w:pPr>
        <w:spacing w:after="0" w:line="275" w:lineRule="exact"/>
        <w:rPr>
          <w:sz w:val="24"/>
          <w:szCs w:val="24"/>
          <w:color w:val="auto"/>
        </w:rPr>
      </w:pPr>
    </w:p>
    <w:p>
      <w:pPr>
        <w:jc w:val="center"/>
        <w:spacing w:after="0" w:line="282" w:lineRule="auto"/>
        <w:rPr>
          <w:sz w:val="20"/>
          <w:szCs w:val="20"/>
          <w:color w:val="auto"/>
        </w:rPr>
      </w:pPr>
      <w:r>
        <w:rPr>
          <w:rFonts w:ascii="Arial" w:cs="Arial" w:eastAsia="Arial" w:hAnsi="Arial"/>
          <w:sz w:val="18"/>
          <w:szCs w:val="18"/>
          <w:b w:val="1"/>
          <w:bCs w:val="1"/>
          <w:color w:val="auto"/>
        </w:rPr>
        <w:t>Your investment involves a high degree of risk. See “Risk Factors” starting on page 7 for certain information you should consider before you purchase the shares.</w:t>
      </w:r>
    </w:p>
    <w:p>
      <w:pPr>
        <w:spacing w:after="0" w:line="216" w:lineRule="exact"/>
        <w:rPr>
          <w:sz w:val="24"/>
          <w:szCs w:val="24"/>
          <w:color w:val="auto"/>
        </w:rPr>
      </w:pPr>
    </w:p>
    <w:p>
      <w:pPr>
        <w:jc w:val="both"/>
        <w:spacing w:after="0" w:line="266" w:lineRule="auto"/>
        <w:rPr>
          <w:sz w:val="20"/>
          <w:szCs w:val="20"/>
          <w:color w:val="auto"/>
        </w:rPr>
      </w:pPr>
      <w:r>
        <w:rPr>
          <w:rFonts w:ascii="Arial" w:cs="Arial" w:eastAsia="Arial" w:hAnsi="Arial"/>
          <w:sz w:val="18"/>
          <w:szCs w:val="18"/>
          <w:b w:val="1"/>
          <w:bCs w:val="1"/>
          <w:color w:val="auto"/>
        </w:rPr>
        <w:t>NEITHER THE SECURITIES AND EXCHANGE COMMISSION NOR ANY STATE SECURITIES COMMISSION HAS APPROVED OR DISAPPROVED OF THESE SECURITIES OR DETERMINED IF THIS PROSPECTUS IS TRUTHFUL OR COMPLETE. ANY REPRESENTATION TO THE CONTRARY IS A CRIMINAL OFFENSE.</w:t>
      </w:r>
    </w:p>
    <w:p>
      <w:pPr>
        <w:spacing w:after="0" w:line="230"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The date of this prospectus is February 12, 2009.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566420</wp:posOffset>
            </wp:positionV>
            <wp:extent cx="7246620"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503" w:right="239" w:bottom="1440" w:gutter="0" w:footer="0" w:header="0"/>
        </w:sectPr>
      </w:pPr>
    </w:p>
    <w:bookmarkStart w:id="1" w:name="page2"/>
    <w:bookmarkEnd w:id="1"/>
    <w:tbl>
      <w:tblPr>
        <w:tblLayout w:type="fixed"/>
        <w:tblInd w:w="0" w:type="dxa"/>
        <w:tblCellMar>
          <w:top w:w="0" w:type="dxa"/>
          <w:left w:w="0" w:type="dxa"/>
          <w:bottom w:w="0" w:type="dxa"/>
          <w:right w:w="0" w:type="dxa"/>
        </w:tblCellMar>
      </w:tblPr>
      <w:tr>
        <w:trPr>
          <w:trHeight w:val="234"/>
        </w:trPr>
        <w:tc>
          <w:tcPr>
            <w:tcW w:w="20" w:type="dxa"/>
            <w:vAlign w:val="bottom"/>
          </w:tcPr>
          <w:p>
            <w:pPr>
              <w:spacing w:after="0"/>
              <w:rPr>
                <w:sz w:val="20"/>
                <w:szCs w:val="20"/>
                <w:color w:val="auto"/>
              </w:rPr>
            </w:pPr>
          </w:p>
        </w:tc>
        <w:tc>
          <w:tcPr>
            <w:tcW w:w="10680" w:type="dxa"/>
            <w:vAlign w:val="bottom"/>
          </w:tcPr>
          <w:p>
            <w:pPr>
              <w:ind w:left="4740"/>
              <w:spacing w:after="0"/>
              <w:rPr>
                <w:sz w:val="20"/>
                <w:szCs w:val="20"/>
                <w:color w:val="auto"/>
              </w:rPr>
            </w:pPr>
            <w:r>
              <w:rPr>
                <w:rFonts w:ascii="Arial" w:cs="Arial" w:eastAsia="Arial" w:hAnsi="Arial"/>
                <w:sz w:val="18"/>
                <w:szCs w:val="18"/>
                <w:b w:val="1"/>
                <w:bCs w:val="1"/>
                <w:color w:val="auto"/>
              </w:rPr>
              <w:t>TABLE OF CONTENTS</w:t>
            </w:r>
          </w:p>
        </w:tc>
        <w:tc>
          <w:tcPr>
            <w:tcW w:w="720" w:type="dxa"/>
            <w:vAlign w:val="bottom"/>
          </w:tcPr>
          <w:p>
            <w:pPr>
              <w:spacing w:after="0"/>
              <w:rPr>
                <w:sz w:val="20"/>
                <w:szCs w:val="20"/>
                <w:color w:val="auto"/>
              </w:rPr>
            </w:pPr>
          </w:p>
        </w:tc>
      </w:tr>
      <w:tr>
        <w:trPr>
          <w:trHeight w:val="493"/>
        </w:trPr>
        <w:tc>
          <w:tcPr>
            <w:tcW w:w="20" w:type="dxa"/>
            <w:vAlign w:val="bottom"/>
          </w:tcPr>
          <w:p>
            <w:pPr>
              <w:spacing w:after="0"/>
              <w:rPr>
                <w:sz w:val="24"/>
                <w:szCs w:val="24"/>
                <w:color w:val="auto"/>
              </w:rPr>
            </w:pPr>
          </w:p>
        </w:tc>
        <w:tc>
          <w:tcPr>
            <w:tcW w:w="10680" w:type="dxa"/>
            <w:vAlign w:val="bottom"/>
          </w:tcPr>
          <w:p>
            <w:pPr>
              <w:spacing w:after="0"/>
              <w:rPr>
                <w:sz w:val="24"/>
                <w:szCs w:val="24"/>
                <w:color w:val="auto"/>
              </w:rPr>
            </w:pPr>
          </w:p>
        </w:tc>
        <w:tc>
          <w:tcPr>
            <w:tcW w:w="72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80"/>
              </w:rPr>
              <w:t>Page</w:t>
            </w:r>
          </w:p>
        </w:tc>
      </w:tr>
      <w:tr>
        <w:trPr>
          <w:trHeight w:val="216"/>
        </w:trPr>
        <w:tc>
          <w:tcPr>
            <w:tcW w:w="20" w:type="dxa"/>
            <w:vAlign w:val="bottom"/>
          </w:tcPr>
          <w:p>
            <w:pPr>
              <w:spacing w:after="0"/>
              <w:rPr>
                <w:sz w:val="18"/>
                <w:szCs w:val="18"/>
                <w:color w:val="auto"/>
              </w:rPr>
            </w:pPr>
          </w:p>
        </w:tc>
        <w:tc>
          <w:tcPr>
            <w:tcW w:w="10680" w:type="dxa"/>
            <w:vAlign w:val="bottom"/>
            <w:shd w:val="clear" w:color="auto" w:fill="EEEEEE"/>
          </w:tcPr>
          <w:p>
            <w:pPr>
              <w:spacing w:after="0"/>
              <w:rPr>
                <w:sz w:val="20"/>
                <w:szCs w:val="20"/>
                <w:color w:val="auto"/>
              </w:rPr>
            </w:pPr>
            <w:r>
              <w:rPr>
                <w:rFonts w:ascii="Arial" w:cs="Arial" w:eastAsia="Arial" w:hAnsi="Arial"/>
                <w:sz w:val="18"/>
                <w:szCs w:val="18"/>
                <w:color w:val="auto"/>
              </w:rPr>
              <w:t>Prospectus Summary</w:t>
            </w:r>
          </w:p>
        </w:tc>
        <w:tc>
          <w:tcPr>
            <w:tcW w:w="720" w:type="dxa"/>
            <w:vAlign w:val="bottom"/>
            <w:shd w:val="clear" w:color="auto" w:fill="EEEEEE"/>
          </w:tcPr>
          <w:p>
            <w:pPr>
              <w:jc w:val="center"/>
              <w:spacing w:after="0"/>
              <w:rPr>
                <w:sz w:val="20"/>
                <w:szCs w:val="20"/>
                <w:color w:val="auto"/>
              </w:rPr>
            </w:pPr>
            <w:r>
              <w:rPr>
                <w:rFonts w:ascii="Arial" w:cs="Arial" w:eastAsia="Arial" w:hAnsi="Arial"/>
                <w:sz w:val="18"/>
                <w:szCs w:val="18"/>
                <w:color w:val="auto"/>
                <w:w w:val="79"/>
              </w:rPr>
              <w:t>3</w:t>
            </w:r>
          </w:p>
        </w:tc>
      </w:tr>
      <w:tr>
        <w:trPr>
          <w:trHeight w:val="216"/>
        </w:trPr>
        <w:tc>
          <w:tcPr>
            <w:tcW w:w="20" w:type="dxa"/>
            <w:vAlign w:val="bottom"/>
          </w:tcPr>
          <w:p>
            <w:pPr>
              <w:spacing w:after="0"/>
              <w:rPr>
                <w:sz w:val="18"/>
                <w:szCs w:val="18"/>
                <w:color w:val="auto"/>
              </w:rPr>
            </w:pPr>
          </w:p>
        </w:tc>
        <w:tc>
          <w:tcPr>
            <w:tcW w:w="10680" w:type="dxa"/>
            <w:vAlign w:val="bottom"/>
          </w:tcPr>
          <w:p>
            <w:pPr>
              <w:spacing w:after="0"/>
              <w:rPr>
                <w:sz w:val="20"/>
                <w:szCs w:val="20"/>
                <w:color w:val="auto"/>
              </w:rPr>
            </w:pPr>
            <w:r>
              <w:rPr>
                <w:rFonts w:ascii="Arial" w:cs="Arial" w:eastAsia="Arial" w:hAnsi="Arial"/>
                <w:sz w:val="18"/>
                <w:szCs w:val="18"/>
                <w:color w:val="auto"/>
              </w:rPr>
              <w:t>Risk Factors</w:t>
            </w:r>
          </w:p>
        </w:tc>
        <w:tc>
          <w:tcPr>
            <w:tcW w:w="720" w:type="dxa"/>
            <w:vAlign w:val="bottom"/>
          </w:tcPr>
          <w:p>
            <w:pPr>
              <w:jc w:val="center"/>
              <w:spacing w:after="0"/>
              <w:rPr>
                <w:sz w:val="20"/>
                <w:szCs w:val="20"/>
                <w:color w:val="auto"/>
              </w:rPr>
            </w:pPr>
            <w:r>
              <w:rPr>
                <w:rFonts w:ascii="Arial" w:cs="Arial" w:eastAsia="Arial" w:hAnsi="Arial"/>
                <w:sz w:val="18"/>
                <w:szCs w:val="18"/>
                <w:color w:val="auto"/>
                <w:w w:val="79"/>
              </w:rPr>
              <w:t>5</w:t>
            </w:r>
          </w:p>
        </w:tc>
      </w:tr>
      <w:tr>
        <w:trPr>
          <w:trHeight w:val="216"/>
        </w:trPr>
        <w:tc>
          <w:tcPr>
            <w:tcW w:w="20" w:type="dxa"/>
            <w:vAlign w:val="bottom"/>
          </w:tcPr>
          <w:p>
            <w:pPr>
              <w:spacing w:after="0"/>
              <w:rPr>
                <w:sz w:val="18"/>
                <w:szCs w:val="18"/>
                <w:color w:val="auto"/>
              </w:rPr>
            </w:pPr>
          </w:p>
        </w:tc>
        <w:tc>
          <w:tcPr>
            <w:tcW w:w="10680" w:type="dxa"/>
            <w:vAlign w:val="bottom"/>
            <w:shd w:val="clear" w:color="auto" w:fill="EEEEEE"/>
          </w:tcPr>
          <w:p>
            <w:pPr>
              <w:spacing w:after="0"/>
              <w:rPr>
                <w:sz w:val="20"/>
                <w:szCs w:val="20"/>
                <w:color w:val="auto"/>
              </w:rPr>
            </w:pPr>
            <w:r>
              <w:rPr>
                <w:rFonts w:ascii="Arial" w:cs="Arial" w:eastAsia="Arial" w:hAnsi="Arial"/>
                <w:sz w:val="18"/>
                <w:szCs w:val="18"/>
                <w:color w:val="auto"/>
              </w:rPr>
              <w:t>Cautionary Note Regarding Forward Looking Statements</w:t>
            </w:r>
          </w:p>
        </w:tc>
        <w:tc>
          <w:tcPr>
            <w:tcW w:w="720" w:type="dxa"/>
            <w:vAlign w:val="bottom"/>
            <w:shd w:val="clear" w:color="auto" w:fill="EEEEEE"/>
          </w:tcPr>
          <w:p>
            <w:pPr>
              <w:jc w:val="center"/>
              <w:spacing w:after="0"/>
              <w:rPr>
                <w:sz w:val="20"/>
                <w:szCs w:val="20"/>
                <w:color w:val="auto"/>
              </w:rPr>
            </w:pPr>
            <w:r>
              <w:rPr>
                <w:rFonts w:ascii="Arial" w:cs="Arial" w:eastAsia="Arial" w:hAnsi="Arial"/>
                <w:sz w:val="18"/>
                <w:szCs w:val="18"/>
                <w:color w:val="auto"/>
                <w:w w:val="89"/>
              </w:rPr>
              <w:t>16</w:t>
            </w:r>
          </w:p>
        </w:tc>
      </w:tr>
      <w:tr>
        <w:trPr>
          <w:trHeight w:val="216"/>
        </w:trPr>
        <w:tc>
          <w:tcPr>
            <w:tcW w:w="20" w:type="dxa"/>
            <w:vAlign w:val="bottom"/>
          </w:tcPr>
          <w:p>
            <w:pPr>
              <w:spacing w:after="0"/>
              <w:rPr>
                <w:sz w:val="18"/>
                <w:szCs w:val="18"/>
                <w:color w:val="auto"/>
              </w:rPr>
            </w:pPr>
          </w:p>
        </w:tc>
        <w:tc>
          <w:tcPr>
            <w:tcW w:w="10680" w:type="dxa"/>
            <w:vAlign w:val="bottom"/>
          </w:tcPr>
          <w:p>
            <w:pPr>
              <w:spacing w:after="0"/>
              <w:rPr>
                <w:sz w:val="20"/>
                <w:szCs w:val="20"/>
                <w:color w:val="auto"/>
              </w:rPr>
            </w:pPr>
            <w:r>
              <w:rPr>
                <w:rFonts w:ascii="Arial" w:cs="Arial" w:eastAsia="Arial" w:hAnsi="Arial"/>
                <w:sz w:val="18"/>
                <w:szCs w:val="18"/>
                <w:color w:val="auto"/>
              </w:rPr>
              <w:t>Use of Proceeds</w:t>
            </w:r>
          </w:p>
        </w:tc>
        <w:tc>
          <w:tcPr>
            <w:tcW w:w="720" w:type="dxa"/>
            <w:vAlign w:val="bottom"/>
          </w:tcPr>
          <w:p>
            <w:pPr>
              <w:jc w:val="center"/>
              <w:spacing w:after="0"/>
              <w:rPr>
                <w:sz w:val="20"/>
                <w:szCs w:val="20"/>
                <w:color w:val="auto"/>
              </w:rPr>
            </w:pPr>
            <w:r>
              <w:rPr>
                <w:rFonts w:ascii="Arial" w:cs="Arial" w:eastAsia="Arial" w:hAnsi="Arial"/>
                <w:sz w:val="18"/>
                <w:szCs w:val="18"/>
                <w:color w:val="auto"/>
                <w:w w:val="89"/>
              </w:rPr>
              <w:t>16</w:t>
            </w:r>
          </w:p>
        </w:tc>
      </w:tr>
      <w:tr>
        <w:trPr>
          <w:trHeight w:val="216"/>
        </w:trPr>
        <w:tc>
          <w:tcPr>
            <w:tcW w:w="20" w:type="dxa"/>
            <w:vAlign w:val="bottom"/>
          </w:tcPr>
          <w:p>
            <w:pPr>
              <w:spacing w:after="0"/>
              <w:rPr>
                <w:sz w:val="18"/>
                <w:szCs w:val="18"/>
                <w:color w:val="auto"/>
              </w:rPr>
            </w:pPr>
          </w:p>
        </w:tc>
        <w:tc>
          <w:tcPr>
            <w:tcW w:w="10680" w:type="dxa"/>
            <w:vAlign w:val="bottom"/>
            <w:shd w:val="clear" w:color="auto" w:fill="EEEEEE"/>
          </w:tcPr>
          <w:p>
            <w:pPr>
              <w:spacing w:after="0"/>
              <w:rPr>
                <w:sz w:val="20"/>
                <w:szCs w:val="20"/>
                <w:color w:val="auto"/>
              </w:rPr>
            </w:pPr>
            <w:r>
              <w:rPr>
                <w:rFonts w:ascii="Arial" w:cs="Arial" w:eastAsia="Arial" w:hAnsi="Arial"/>
                <w:sz w:val="18"/>
                <w:szCs w:val="18"/>
                <w:color w:val="auto"/>
              </w:rPr>
              <w:t>Determination of Offering Price</w:t>
            </w:r>
          </w:p>
        </w:tc>
        <w:tc>
          <w:tcPr>
            <w:tcW w:w="720" w:type="dxa"/>
            <w:vAlign w:val="bottom"/>
            <w:shd w:val="clear" w:color="auto" w:fill="EEEEEE"/>
          </w:tcPr>
          <w:p>
            <w:pPr>
              <w:jc w:val="center"/>
              <w:spacing w:after="0"/>
              <w:rPr>
                <w:sz w:val="20"/>
                <w:szCs w:val="20"/>
                <w:color w:val="auto"/>
              </w:rPr>
            </w:pPr>
            <w:r>
              <w:rPr>
                <w:rFonts w:ascii="Arial" w:cs="Arial" w:eastAsia="Arial" w:hAnsi="Arial"/>
                <w:sz w:val="18"/>
                <w:szCs w:val="18"/>
                <w:color w:val="auto"/>
                <w:w w:val="89"/>
              </w:rPr>
              <w:t>16</w:t>
            </w:r>
          </w:p>
        </w:tc>
      </w:tr>
      <w:tr>
        <w:trPr>
          <w:trHeight w:val="216"/>
        </w:trPr>
        <w:tc>
          <w:tcPr>
            <w:tcW w:w="20" w:type="dxa"/>
            <w:vAlign w:val="bottom"/>
          </w:tcPr>
          <w:p>
            <w:pPr>
              <w:spacing w:after="0"/>
              <w:rPr>
                <w:sz w:val="18"/>
                <w:szCs w:val="18"/>
                <w:color w:val="auto"/>
              </w:rPr>
            </w:pPr>
          </w:p>
        </w:tc>
        <w:tc>
          <w:tcPr>
            <w:tcW w:w="10680" w:type="dxa"/>
            <w:vAlign w:val="bottom"/>
          </w:tcPr>
          <w:p>
            <w:pPr>
              <w:spacing w:after="0"/>
              <w:rPr>
                <w:sz w:val="20"/>
                <w:szCs w:val="20"/>
                <w:color w:val="auto"/>
              </w:rPr>
            </w:pPr>
            <w:r>
              <w:rPr>
                <w:rFonts w:ascii="Arial" w:cs="Arial" w:eastAsia="Arial" w:hAnsi="Arial"/>
                <w:sz w:val="18"/>
                <w:szCs w:val="18"/>
                <w:color w:val="auto"/>
              </w:rPr>
              <w:t>Selling Stockholders</w:t>
            </w:r>
          </w:p>
        </w:tc>
        <w:tc>
          <w:tcPr>
            <w:tcW w:w="720" w:type="dxa"/>
            <w:vAlign w:val="bottom"/>
          </w:tcPr>
          <w:p>
            <w:pPr>
              <w:jc w:val="center"/>
              <w:spacing w:after="0"/>
              <w:rPr>
                <w:sz w:val="20"/>
                <w:szCs w:val="20"/>
                <w:color w:val="auto"/>
              </w:rPr>
            </w:pPr>
            <w:r>
              <w:rPr>
                <w:rFonts w:ascii="Arial" w:cs="Arial" w:eastAsia="Arial" w:hAnsi="Arial"/>
                <w:sz w:val="18"/>
                <w:szCs w:val="18"/>
                <w:color w:val="auto"/>
                <w:w w:val="89"/>
              </w:rPr>
              <w:t>17</w:t>
            </w:r>
          </w:p>
        </w:tc>
      </w:tr>
      <w:tr>
        <w:trPr>
          <w:trHeight w:val="216"/>
        </w:trPr>
        <w:tc>
          <w:tcPr>
            <w:tcW w:w="20" w:type="dxa"/>
            <w:vAlign w:val="bottom"/>
          </w:tcPr>
          <w:p>
            <w:pPr>
              <w:spacing w:after="0"/>
              <w:rPr>
                <w:sz w:val="18"/>
                <w:szCs w:val="18"/>
                <w:color w:val="auto"/>
              </w:rPr>
            </w:pPr>
          </w:p>
        </w:tc>
        <w:tc>
          <w:tcPr>
            <w:tcW w:w="10680" w:type="dxa"/>
            <w:vAlign w:val="bottom"/>
            <w:shd w:val="clear" w:color="auto" w:fill="EEEEEE"/>
          </w:tcPr>
          <w:p>
            <w:pPr>
              <w:spacing w:after="0"/>
              <w:rPr>
                <w:sz w:val="20"/>
                <w:szCs w:val="20"/>
                <w:color w:val="auto"/>
              </w:rPr>
            </w:pPr>
            <w:r>
              <w:rPr>
                <w:rFonts w:ascii="Arial" w:cs="Arial" w:eastAsia="Arial" w:hAnsi="Arial"/>
                <w:sz w:val="18"/>
                <w:szCs w:val="18"/>
                <w:color w:val="auto"/>
              </w:rPr>
              <w:t>Plan of Distribution</w:t>
            </w:r>
          </w:p>
        </w:tc>
        <w:tc>
          <w:tcPr>
            <w:tcW w:w="720" w:type="dxa"/>
            <w:vAlign w:val="bottom"/>
            <w:shd w:val="clear" w:color="auto" w:fill="EEEEEE"/>
          </w:tcPr>
          <w:p>
            <w:pPr>
              <w:jc w:val="center"/>
              <w:spacing w:after="0"/>
              <w:rPr>
                <w:sz w:val="20"/>
                <w:szCs w:val="20"/>
                <w:color w:val="auto"/>
              </w:rPr>
            </w:pPr>
            <w:r>
              <w:rPr>
                <w:rFonts w:ascii="Arial" w:cs="Arial" w:eastAsia="Arial" w:hAnsi="Arial"/>
                <w:sz w:val="18"/>
                <w:szCs w:val="18"/>
                <w:color w:val="auto"/>
                <w:w w:val="89"/>
              </w:rPr>
              <w:t>21</w:t>
            </w:r>
          </w:p>
        </w:tc>
      </w:tr>
      <w:tr>
        <w:trPr>
          <w:trHeight w:val="216"/>
        </w:trPr>
        <w:tc>
          <w:tcPr>
            <w:tcW w:w="20" w:type="dxa"/>
            <w:vAlign w:val="bottom"/>
          </w:tcPr>
          <w:p>
            <w:pPr>
              <w:spacing w:after="0"/>
              <w:rPr>
                <w:sz w:val="18"/>
                <w:szCs w:val="18"/>
                <w:color w:val="auto"/>
              </w:rPr>
            </w:pPr>
          </w:p>
        </w:tc>
        <w:tc>
          <w:tcPr>
            <w:tcW w:w="10680" w:type="dxa"/>
            <w:vAlign w:val="bottom"/>
          </w:tcPr>
          <w:p>
            <w:pPr>
              <w:spacing w:after="0"/>
              <w:rPr>
                <w:sz w:val="20"/>
                <w:szCs w:val="20"/>
                <w:color w:val="auto"/>
              </w:rPr>
            </w:pPr>
            <w:r>
              <w:rPr>
                <w:rFonts w:ascii="Arial" w:cs="Arial" w:eastAsia="Arial" w:hAnsi="Arial"/>
                <w:sz w:val="18"/>
                <w:szCs w:val="18"/>
                <w:color w:val="auto"/>
              </w:rPr>
              <w:t>Description of Securities</w:t>
            </w:r>
          </w:p>
        </w:tc>
        <w:tc>
          <w:tcPr>
            <w:tcW w:w="720" w:type="dxa"/>
            <w:vAlign w:val="bottom"/>
          </w:tcPr>
          <w:p>
            <w:pPr>
              <w:jc w:val="center"/>
              <w:spacing w:after="0"/>
              <w:rPr>
                <w:sz w:val="20"/>
                <w:szCs w:val="20"/>
                <w:color w:val="auto"/>
              </w:rPr>
            </w:pPr>
            <w:r>
              <w:rPr>
                <w:rFonts w:ascii="Arial" w:cs="Arial" w:eastAsia="Arial" w:hAnsi="Arial"/>
                <w:sz w:val="18"/>
                <w:szCs w:val="18"/>
                <w:color w:val="auto"/>
                <w:w w:val="89"/>
              </w:rPr>
              <w:t>23</w:t>
            </w:r>
          </w:p>
        </w:tc>
      </w:tr>
      <w:tr>
        <w:trPr>
          <w:trHeight w:val="216"/>
        </w:trPr>
        <w:tc>
          <w:tcPr>
            <w:tcW w:w="20" w:type="dxa"/>
            <w:vAlign w:val="bottom"/>
          </w:tcPr>
          <w:p>
            <w:pPr>
              <w:spacing w:after="0"/>
              <w:rPr>
                <w:sz w:val="18"/>
                <w:szCs w:val="18"/>
                <w:color w:val="auto"/>
              </w:rPr>
            </w:pPr>
          </w:p>
        </w:tc>
        <w:tc>
          <w:tcPr>
            <w:tcW w:w="10680" w:type="dxa"/>
            <w:vAlign w:val="bottom"/>
            <w:shd w:val="clear" w:color="auto" w:fill="EEEEEE"/>
          </w:tcPr>
          <w:p>
            <w:pPr>
              <w:spacing w:after="0"/>
              <w:rPr>
                <w:sz w:val="20"/>
                <w:szCs w:val="20"/>
                <w:color w:val="auto"/>
              </w:rPr>
            </w:pPr>
            <w:r>
              <w:rPr>
                <w:rFonts w:ascii="Arial" w:cs="Arial" w:eastAsia="Arial" w:hAnsi="Arial"/>
                <w:sz w:val="18"/>
                <w:szCs w:val="18"/>
                <w:color w:val="auto"/>
              </w:rPr>
              <w:t>Business</w:t>
            </w:r>
          </w:p>
        </w:tc>
        <w:tc>
          <w:tcPr>
            <w:tcW w:w="720" w:type="dxa"/>
            <w:vAlign w:val="bottom"/>
            <w:shd w:val="clear" w:color="auto" w:fill="EEEEEE"/>
          </w:tcPr>
          <w:p>
            <w:pPr>
              <w:jc w:val="center"/>
              <w:spacing w:after="0"/>
              <w:rPr>
                <w:sz w:val="20"/>
                <w:szCs w:val="20"/>
                <w:color w:val="auto"/>
              </w:rPr>
            </w:pPr>
            <w:r>
              <w:rPr>
                <w:rFonts w:ascii="Arial" w:cs="Arial" w:eastAsia="Arial" w:hAnsi="Arial"/>
                <w:sz w:val="18"/>
                <w:szCs w:val="18"/>
                <w:color w:val="auto"/>
                <w:w w:val="89"/>
              </w:rPr>
              <w:t>26</w:t>
            </w:r>
          </w:p>
        </w:tc>
      </w:tr>
      <w:tr>
        <w:trPr>
          <w:trHeight w:val="216"/>
        </w:trPr>
        <w:tc>
          <w:tcPr>
            <w:tcW w:w="20" w:type="dxa"/>
            <w:vAlign w:val="bottom"/>
          </w:tcPr>
          <w:p>
            <w:pPr>
              <w:spacing w:after="0"/>
              <w:rPr>
                <w:sz w:val="18"/>
                <w:szCs w:val="18"/>
                <w:color w:val="auto"/>
              </w:rPr>
            </w:pPr>
          </w:p>
        </w:tc>
        <w:tc>
          <w:tcPr>
            <w:tcW w:w="10680" w:type="dxa"/>
            <w:vAlign w:val="bottom"/>
          </w:tcPr>
          <w:p>
            <w:pPr>
              <w:spacing w:after="0"/>
              <w:rPr>
                <w:sz w:val="20"/>
                <w:szCs w:val="20"/>
                <w:color w:val="auto"/>
              </w:rPr>
            </w:pPr>
            <w:r>
              <w:rPr>
                <w:rFonts w:ascii="Arial" w:cs="Arial" w:eastAsia="Arial" w:hAnsi="Arial"/>
                <w:sz w:val="18"/>
                <w:szCs w:val="18"/>
                <w:color w:val="auto"/>
              </w:rPr>
              <w:t>Description of Property</w:t>
            </w:r>
          </w:p>
        </w:tc>
        <w:tc>
          <w:tcPr>
            <w:tcW w:w="720" w:type="dxa"/>
            <w:vAlign w:val="bottom"/>
          </w:tcPr>
          <w:p>
            <w:pPr>
              <w:jc w:val="center"/>
              <w:spacing w:after="0"/>
              <w:rPr>
                <w:sz w:val="20"/>
                <w:szCs w:val="20"/>
                <w:color w:val="auto"/>
              </w:rPr>
            </w:pPr>
            <w:r>
              <w:rPr>
                <w:rFonts w:ascii="Arial" w:cs="Arial" w:eastAsia="Arial" w:hAnsi="Arial"/>
                <w:sz w:val="18"/>
                <w:szCs w:val="18"/>
                <w:color w:val="auto"/>
                <w:w w:val="89"/>
              </w:rPr>
              <w:t>29</w:t>
            </w:r>
          </w:p>
        </w:tc>
      </w:tr>
      <w:tr>
        <w:trPr>
          <w:trHeight w:val="216"/>
        </w:trPr>
        <w:tc>
          <w:tcPr>
            <w:tcW w:w="20" w:type="dxa"/>
            <w:vAlign w:val="bottom"/>
          </w:tcPr>
          <w:p>
            <w:pPr>
              <w:spacing w:after="0"/>
              <w:rPr>
                <w:sz w:val="18"/>
                <w:szCs w:val="18"/>
                <w:color w:val="auto"/>
              </w:rPr>
            </w:pPr>
          </w:p>
        </w:tc>
        <w:tc>
          <w:tcPr>
            <w:tcW w:w="10680" w:type="dxa"/>
            <w:vAlign w:val="bottom"/>
            <w:shd w:val="clear" w:color="auto" w:fill="EEEEEE"/>
          </w:tcPr>
          <w:p>
            <w:pPr>
              <w:spacing w:after="0"/>
              <w:rPr>
                <w:sz w:val="20"/>
                <w:szCs w:val="20"/>
                <w:color w:val="auto"/>
              </w:rPr>
            </w:pPr>
            <w:r>
              <w:rPr>
                <w:rFonts w:ascii="Arial" w:cs="Arial" w:eastAsia="Arial" w:hAnsi="Arial"/>
                <w:sz w:val="18"/>
                <w:szCs w:val="18"/>
                <w:color w:val="auto"/>
              </w:rPr>
              <w:t>Legal Proceedings</w:t>
            </w:r>
          </w:p>
        </w:tc>
        <w:tc>
          <w:tcPr>
            <w:tcW w:w="720" w:type="dxa"/>
            <w:vAlign w:val="bottom"/>
            <w:shd w:val="clear" w:color="auto" w:fill="EEEEEE"/>
          </w:tcPr>
          <w:p>
            <w:pPr>
              <w:jc w:val="center"/>
              <w:spacing w:after="0"/>
              <w:rPr>
                <w:sz w:val="20"/>
                <w:szCs w:val="20"/>
                <w:color w:val="auto"/>
              </w:rPr>
            </w:pPr>
            <w:r>
              <w:rPr>
                <w:rFonts w:ascii="Arial" w:cs="Arial" w:eastAsia="Arial" w:hAnsi="Arial"/>
                <w:sz w:val="18"/>
                <w:szCs w:val="18"/>
                <w:color w:val="auto"/>
                <w:w w:val="89"/>
              </w:rPr>
              <w:t>29</w:t>
            </w:r>
          </w:p>
        </w:tc>
      </w:tr>
      <w:tr>
        <w:trPr>
          <w:trHeight w:val="216"/>
        </w:trPr>
        <w:tc>
          <w:tcPr>
            <w:tcW w:w="20" w:type="dxa"/>
            <w:vAlign w:val="bottom"/>
          </w:tcPr>
          <w:p>
            <w:pPr>
              <w:spacing w:after="0"/>
              <w:rPr>
                <w:sz w:val="18"/>
                <w:szCs w:val="18"/>
                <w:color w:val="auto"/>
              </w:rPr>
            </w:pPr>
          </w:p>
        </w:tc>
        <w:tc>
          <w:tcPr>
            <w:tcW w:w="10680" w:type="dxa"/>
            <w:vAlign w:val="bottom"/>
          </w:tcPr>
          <w:p>
            <w:pPr>
              <w:spacing w:after="0"/>
              <w:rPr>
                <w:sz w:val="20"/>
                <w:szCs w:val="20"/>
                <w:color w:val="auto"/>
              </w:rPr>
            </w:pPr>
            <w:r>
              <w:rPr>
                <w:rFonts w:ascii="Arial" w:cs="Arial" w:eastAsia="Arial" w:hAnsi="Arial"/>
                <w:sz w:val="18"/>
                <w:szCs w:val="18"/>
                <w:color w:val="auto"/>
              </w:rPr>
              <w:t>Market Price of and Dividends on Common Equity and Related Stockholder Matters</w:t>
            </w:r>
          </w:p>
        </w:tc>
        <w:tc>
          <w:tcPr>
            <w:tcW w:w="720" w:type="dxa"/>
            <w:vAlign w:val="bottom"/>
          </w:tcPr>
          <w:p>
            <w:pPr>
              <w:jc w:val="center"/>
              <w:spacing w:after="0"/>
              <w:rPr>
                <w:sz w:val="20"/>
                <w:szCs w:val="20"/>
                <w:color w:val="auto"/>
              </w:rPr>
            </w:pPr>
            <w:r>
              <w:rPr>
                <w:rFonts w:ascii="Arial" w:cs="Arial" w:eastAsia="Arial" w:hAnsi="Arial"/>
                <w:sz w:val="18"/>
                <w:szCs w:val="18"/>
                <w:color w:val="auto"/>
                <w:w w:val="89"/>
              </w:rPr>
              <w:t>29</w:t>
            </w:r>
          </w:p>
        </w:tc>
      </w:tr>
      <w:tr>
        <w:trPr>
          <w:trHeight w:val="216"/>
        </w:trPr>
        <w:tc>
          <w:tcPr>
            <w:tcW w:w="20" w:type="dxa"/>
            <w:vAlign w:val="bottom"/>
          </w:tcPr>
          <w:p>
            <w:pPr>
              <w:spacing w:after="0"/>
              <w:rPr>
                <w:sz w:val="18"/>
                <w:szCs w:val="18"/>
                <w:color w:val="auto"/>
              </w:rPr>
            </w:pPr>
          </w:p>
        </w:tc>
        <w:tc>
          <w:tcPr>
            <w:tcW w:w="10680" w:type="dxa"/>
            <w:vAlign w:val="bottom"/>
            <w:shd w:val="clear" w:color="auto" w:fill="EEEEEE"/>
          </w:tcPr>
          <w:p>
            <w:pPr>
              <w:spacing w:after="0"/>
              <w:rPr>
                <w:sz w:val="20"/>
                <w:szCs w:val="20"/>
                <w:color w:val="auto"/>
              </w:rPr>
            </w:pPr>
            <w:r>
              <w:rPr>
                <w:rFonts w:ascii="Arial" w:cs="Arial" w:eastAsia="Arial" w:hAnsi="Arial"/>
                <w:sz w:val="18"/>
                <w:szCs w:val="18"/>
                <w:color w:val="auto"/>
              </w:rPr>
              <w:t>Management's Discussion and Analysis or Plan of Operation</w:t>
            </w:r>
          </w:p>
        </w:tc>
        <w:tc>
          <w:tcPr>
            <w:tcW w:w="720" w:type="dxa"/>
            <w:vAlign w:val="bottom"/>
            <w:shd w:val="clear" w:color="auto" w:fill="EEEEEE"/>
          </w:tcPr>
          <w:p>
            <w:pPr>
              <w:jc w:val="center"/>
              <w:spacing w:after="0"/>
              <w:rPr>
                <w:sz w:val="20"/>
                <w:szCs w:val="20"/>
                <w:color w:val="auto"/>
              </w:rPr>
            </w:pPr>
            <w:r>
              <w:rPr>
                <w:rFonts w:ascii="Arial" w:cs="Arial" w:eastAsia="Arial" w:hAnsi="Arial"/>
                <w:sz w:val="18"/>
                <w:szCs w:val="18"/>
                <w:color w:val="auto"/>
                <w:w w:val="89"/>
              </w:rPr>
              <w:t>30</w:t>
            </w:r>
          </w:p>
        </w:tc>
      </w:tr>
      <w:tr>
        <w:trPr>
          <w:trHeight w:val="216"/>
        </w:trPr>
        <w:tc>
          <w:tcPr>
            <w:tcW w:w="20" w:type="dxa"/>
            <w:vAlign w:val="bottom"/>
          </w:tcPr>
          <w:p>
            <w:pPr>
              <w:spacing w:after="0"/>
              <w:rPr>
                <w:sz w:val="18"/>
                <w:szCs w:val="18"/>
                <w:color w:val="auto"/>
              </w:rPr>
            </w:pPr>
          </w:p>
        </w:tc>
        <w:tc>
          <w:tcPr>
            <w:tcW w:w="10680" w:type="dxa"/>
            <w:vAlign w:val="bottom"/>
          </w:tcPr>
          <w:p>
            <w:pPr>
              <w:spacing w:after="0"/>
              <w:rPr>
                <w:sz w:val="20"/>
                <w:szCs w:val="20"/>
                <w:color w:val="auto"/>
              </w:rPr>
            </w:pPr>
            <w:r>
              <w:rPr>
                <w:rFonts w:ascii="Arial" w:cs="Arial" w:eastAsia="Arial" w:hAnsi="Arial"/>
                <w:sz w:val="18"/>
                <w:szCs w:val="18"/>
                <w:color w:val="auto"/>
              </w:rPr>
              <w:t>Directors and Executive Officers</w:t>
            </w:r>
          </w:p>
        </w:tc>
        <w:tc>
          <w:tcPr>
            <w:tcW w:w="720" w:type="dxa"/>
            <w:vAlign w:val="bottom"/>
          </w:tcPr>
          <w:p>
            <w:pPr>
              <w:jc w:val="center"/>
              <w:spacing w:after="0"/>
              <w:rPr>
                <w:sz w:val="20"/>
                <w:szCs w:val="20"/>
                <w:color w:val="auto"/>
              </w:rPr>
            </w:pPr>
            <w:r>
              <w:rPr>
                <w:rFonts w:ascii="Arial" w:cs="Arial" w:eastAsia="Arial" w:hAnsi="Arial"/>
                <w:sz w:val="18"/>
                <w:szCs w:val="18"/>
                <w:color w:val="auto"/>
                <w:w w:val="89"/>
              </w:rPr>
              <w:t>33</w:t>
            </w:r>
          </w:p>
        </w:tc>
      </w:tr>
      <w:tr>
        <w:trPr>
          <w:trHeight w:val="216"/>
        </w:trPr>
        <w:tc>
          <w:tcPr>
            <w:tcW w:w="20" w:type="dxa"/>
            <w:vAlign w:val="bottom"/>
          </w:tcPr>
          <w:p>
            <w:pPr>
              <w:spacing w:after="0"/>
              <w:rPr>
                <w:sz w:val="18"/>
                <w:szCs w:val="18"/>
                <w:color w:val="auto"/>
              </w:rPr>
            </w:pPr>
          </w:p>
        </w:tc>
        <w:tc>
          <w:tcPr>
            <w:tcW w:w="10680" w:type="dxa"/>
            <w:vAlign w:val="bottom"/>
            <w:shd w:val="clear" w:color="auto" w:fill="EEEEEE"/>
          </w:tcPr>
          <w:p>
            <w:pPr>
              <w:spacing w:after="0"/>
              <w:rPr>
                <w:sz w:val="20"/>
                <w:szCs w:val="20"/>
                <w:color w:val="auto"/>
              </w:rPr>
            </w:pPr>
            <w:r>
              <w:rPr>
                <w:rFonts w:ascii="Arial" w:cs="Arial" w:eastAsia="Arial" w:hAnsi="Arial"/>
                <w:sz w:val="18"/>
                <w:szCs w:val="18"/>
                <w:color w:val="auto"/>
              </w:rPr>
              <w:t>Executive Compensation</w:t>
            </w:r>
          </w:p>
        </w:tc>
        <w:tc>
          <w:tcPr>
            <w:tcW w:w="720" w:type="dxa"/>
            <w:vAlign w:val="bottom"/>
            <w:shd w:val="clear" w:color="auto" w:fill="EEEEEE"/>
          </w:tcPr>
          <w:p>
            <w:pPr>
              <w:jc w:val="center"/>
              <w:spacing w:after="0"/>
              <w:rPr>
                <w:sz w:val="20"/>
                <w:szCs w:val="20"/>
                <w:color w:val="auto"/>
              </w:rPr>
            </w:pPr>
            <w:r>
              <w:rPr>
                <w:rFonts w:ascii="Arial" w:cs="Arial" w:eastAsia="Arial" w:hAnsi="Arial"/>
                <w:sz w:val="18"/>
                <w:szCs w:val="18"/>
                <w:color w:val="auto"/>
                <w:w w:val="89"/>
              </w:rPr>
              <w:t>35</w:t>
            </w:r>
          </w:p>
        </w:tc>
      </w:tr>
      <w:tr>
        <w:trPr>
          <w:trHeight w:val="216"/>
        </w:trPr>
        <w:tc>
          <w:tcPr>
            <w:tcW w:w="20" w:type="dxa"/>
            <w:vAlign w:val="bottom"/>
          </w:tcPr>
          <w:p>
            <w:pPr>
              <w:spacing w:after="0"/>
              <w:rPr>
                <w:sz w:val="18"/>
                <w:szCs w:val="18"/>
                <w:color w:val="auto"/>
              </w:rPr>
            </w:pPr>
          </w:p>
        </w:tc>
        <w:tc>
          <w:tcPr>
            <w:tcW w:w="10680" w:type="dxa"/>
            <w:vAlign w:val="bottom"/>
          </w:tcPr>
          <w:p>
            <w:pPr>
              <w:spacing w:after="0"/>
              <w:rPr>
                <w:sz w:val="20"/>
                <w:szCs w:val="20"/>
                <w:color w:val="auto"/>
              </w:rPr>
            </w:pPr>
            <w:r>
              <w:rPr>
                <w:rFonts w:ascii="Arial" w:cs="Arial" w:eastAsia="Arial" w:hAnsi="Arial"/>
                <w:sz w:val="18"/>
                <w:szCs w:val="18"/>
                <w:color w:val="auto"/>
              </w:rPr>
              <w:t>Security Ownership of Certain Beneficial Owners and Management</w:t>
            </w:r>
          </w:p>
        </w:tc>
        <w:tc>
          <w:tcPr>
            <w:tcW w:w="720" w:type="dxa"/>
            <w:vAlign w:val="bottom"/>
          </w:tcPr>
          <w:p>
            <w:pPr>
              <w:jc w:val="center"/>
              <w:spacing w:after="0"/>
              <w:rPr>
                <w:sz w:val="20"/>
                <w:szCs w:val="20"/>
                <w:color w:val="auto"/>
              </w:rPr>
            </w:pPr>
            <w:r>
              <w:rPr>
                <w:rFonts w:ascii="Arial" w:cs="Arial" w:eastAsia="Arial" w:hAnsi="Arial"/>
                <w:sz w:val="18"/>
                <w:szCs w:val="18"/>
                <w:color w:val="auto"/>
                <w:w w:val="89"/>
              </w:rPr>
              <w:t>37</w:t>
            </w:r>
          </w:p>
        </w:tc>
      </w:tr>
      <w:tr>
        <w:trPr>
          <w:trHeight w:val="216"/>
        </w:trPr>
        <w:tc>
          <w:tcPr>
            <w:tcW w:w="20" w:type="dxa"/>
            <w:vAlign w:val="bottom"/>
          </w:tcPr>
          <w:p>
            <w:pPr>
              <w:spacing w:after="0"/>
              <w:rPr>
                <w:sz w:val="18"/>
                <w:szCs w:val="18"/>
                <w:color w:val="auto"/>
              </w:rPr>
            </w:pPr>
          </w:p>
        </w:tc>
        <w:tc>
          <w:tcPr>
            <w:tcW w:w="10680" w:type="dxa"/>
            <w:vAlign w:val="bottom"/>
            <w:shd w:val="clear" w:color="auto" w:fill="EEEEEE"/>
          </w:tcPr>
          <w:p>
            <w:pPr>
              <w:spacing w:after="0"/>
              <w:rPr>
                <w:sz w:val="20"/>
                <w:szCs w:val="20"/>
                <w:color w:val="auto"/>
              </w:rPr>
            </w:pPr>
            <w:r>
              <w:rPr>
                <w:rFonts w:ascii="Arial" w:cs="Arial" w:eastAsia="Arial" w:hAnsi="Arial"/>
                <w:sz w:val="18"/>
                <w:szCs w:val="18"/>
                <w:color w:val="auto"/>
              </w:rPr>
              <w:t>Market for Common Equity and Related Stockholder Matters</w:t>
            </w:r>
          </w:p>
        </w:tc>
        <w:tc>
          <w:tcPr>
            <w:tcW w:w="720" w:type="dxa"/>
            <w:vAlign w:val="bottom"/>
            <w:shd w:val="clear" w:color="auto" w:fill="EEEEEE"/>
          </w:tcPr>
          <w:p>
            <w:pPr>
              <w:jc w:val="center"/>
              <w:spacing w:after="0"/>
              <w:rPr>
                <w:sz w:val="20"/>
                <w:szCs w:val="20"/>
                <w:color w:val="auto"/>
              </w:rPr>
            </w:pPr>
            <w:r>
              <w:rPr>
                <w:rFonts w:ascii="Arial" w:cs="Arial" w:eastAsia="Arial" w:hAnsi="Arial"/>
                <w:sz w:val="18"/>
                <w:szCs w:val="18"/>
                <w:color w:val="auto"/>
                <w:w w:val="89"/>
              </w:rPr>
              <w:t>39</w:t>
            </w:r>
          </w:p>
        </w:tc>
      </w:tr>
      <w:tr>
        <w:trPr>
          <w:trHeight w:val="216"/>
        </w:trPr>
        <w:tc>
          <w:tcPr>
            <w:tcW w:w="20" w:type="dxa"/>
            <w:vAlign w:val="bottom"/>
          </w:tcPr>
          <w:p>
            <w:pPr>
              <w:spacing w:after="0"/>
              <w:rPr>
                <w:sz w:val="18"/>
                <w:szCs w:val="18"/>
                <w:color w:val="auto"/>
              </w:rPr>
            </w:pPr>
          </w:p>
        </w:tc>
        <w:tc>
          <w:tcPr>
            <w:tcW w:w="10680" w:type="dxa"/>
            <w:vAlign w:val="bottom"/>
          </w:tcPr>
          <w:p>
            <w:pPr>
              <w:spacing w:after="0"/>
              <w:rPr>
                <w:sz w:val="20"/>
                <w:szCs w:val="20"/>
                <w:color w:val="auto"/>
              </w:rPr>
            </w:pPr>
            <w:r>
              <w:rPr>
                <w:rFonts w:ascii="Arial" w:cs="Arial" w:eastAsia="Arial" w:hAnsi="Arial"/>
                <w:sz w:val="18"/>
                <w:szCs w:val="18"/>
                <w:color w:val="auto"/>
              </w:rPr>
              <w:t>Transactions with Related Persons, Promoters and Certain Control Persons</w:t>
            </w:r>
          </w:p>
        </w:tc>
        <w:tc>
          <w:tcPr>
            <w:tcW w:w="720" w:type="dxa"/>
            <w:vAlign w:val="bottom"/>
          </w:tcPr>
          <w:p>
            <w:pPr>
              <w:jc w:val="center"/>
              <w:spacing w:after="0"/>
              <w:rPr>
                <w:sz w:val="20"/>
                <w:szCs w:val="20"/>
                <w:color w:val="auto"/>
              </w:rPr>
            </w:pPr>
            <w:r>
              <w:rPr>
                <w:rFonts w:ascii="Arial" w:cs="Arial" w:eastAsia="Arial" w:hAnsi="Arial"/>
                <w:sz w:val="18"/>
                <w:szCs w:val="18"/>
                <w:color w:val="auto"/>
                <w:w w:val="89"/>
              </w:rPr>
              <w:t>39</w:t>
            </w:r>
          </w:p>
        </w:tc>
      </w:tr>
      <w:tr>
        <w:trPr>
          <w:trHeight w:val="216"/>
        </w:trPr>
        <w:tc>
          <w:tcPr>
            <w:tcW w:w="20" w:type="dxa"/>
            <w:vAlign w:val="bottom"/>
          </w:tcPr>
          <w:p>
            <w:pPr>
              <w:spacing w:after="0"/>
              <w:rPr>
                <w:sz w:val="18"/>
                <w:szCs w:val="18"/>
                <w:color w:val="auto"/>
              </w:rPr>
            </w:pPr>
          </w:p>
        </w:tc>
        <w:tc>
          <w:tcPr>
            <w:tcW w:w="10680" w:type="dxa"/>
            <w:vAlign w:val="bottom"/>
            <w:shd w:val="clear" w:color="auto" w:fill="EEEEEE"/>
          </w:tcPr>
          <w:p>
            <w:pPr>
              <w:spacing w:after="0"/>
              <w:rPr>
                <w:sz w:val="20"/>
                <w:szCs w:val="20"/>
                <w:color w:val="auto"/>
              </w:rPr>
            </w:pPr>
            <w:r>
              <w:rPr>
                <w:rFonts w:ascii="Arial" w:cs="Arial" w:eastAsia="Arial" w:hAnsi="Arial"/>
                <w:sz w:val="18"/>
                <w:szCs w:val="18"/>
                <w:color w:val="auto"/>
              </w:rPr>
              <w:t>Legal Matters</w:t>
            </w:r>
          </w:p>
        </w:tc>
        <w:tc>
          <w:tcPr>
            <w:tcW w:w="720" w:type="dxa"/>
            <w:vAlign w:val="bottom"/>
            <w:shd w:val="clear" w:color="auto" w:fill="EEEEEE"/>
          </w:tcPr>
          <w:p>
            <w:pPr>
              <w:jc w:val="center"/>
              <w:spacing w:after="0"/>
              <w:rPr>
                <w:sz w:val="20"/>
                <w:szCs w:val="20"/>
                <w:color w:val="auto"/>
              </w:rPr>
            </w:pPr>
            <w:r>
              <w:rPr>
                <w:rFonts w:ascii="Arial" w:cs="Arial" w:eastAsia="Arial" w:hAnsi="Arial"/>
                <w:sz w:val="18"/>
                <w:szCs w:val="18"/>
                <w:color w:val="auto"/>
                <w:w w:val="89"/>
              </w:rPr>
              <w:t>40</w:t>
            </w:r>
          </w:p>
        </w:tc>
      </w:tr>
      <w:tr>
        <w:trPr>
          <w:trHeight w:val="216"/>
        </w:trPr>
        <w:tc>
          <w:tcPr>
            <w:tcW w:w="20" w:type="dxa"/>
            <w:vAlign w:val="bottom"/>
          </w:tcPr>
          <w:p>
            <w:pPr>
              <w:spacing w:after="0"/>
              <w:rPr>
                <w:sz w:val="18"/>
                <w:szCs w:val="18"/>
                <w:color w:val="auto"/>
              </w:rPr>
            </w:pPr>
          </w:p>
        </w:tc>
        <w:tc>
          <w:tcPr>
            <w:tcW w:w="10680" w:type="dxa"/>
            <w:vAlign w:val="bottom"/>
          </w:tcPr>
          <w:p>
            <w:pPr>
              <w:spacing w:after="0"/>
              <w:rPr>
                <w:sz w:val="20"/>
                <w:szCs w:val="20"/>
                <w:color w:val="auto"/>
              </w:rPr>
            </w:pPr>
            <w:r>
              <w:rPr>
                <w:rFonts w:ascii="Arial" w:cs="Arial" w:eastAsia="Arial" w:hAnsi="Arial"/>
                <w:sz w:val="18"/>
                <w:szCs w:val="18"/>
                <w:color w:val="auto"/>
              </w:rPr>
              <w:t>Experts</w:t>
            </w:r>
          </w:p>
        </w:tc>
        <w:tc>
          <w:tcPr>
            <w:tcW w:w="720" w:type="dxa"/>
            <w:vAlign w:val="bottom"/>
          </w:tcPr>
          <w:p>
            <w:pPr>
              <w:jc w:val="center"/>
              <w:spacing w:after="0"/>
              <w:rPr>
                <w:sz w:val="20"/>
                <w:szCs w:val="20"/>
                <w:color w:val="auto"/>
              </w:rPr>
            </w:pPr>
            <w:r>
              <w:rPr>
                <w:rFonts w:ascii="Arial" w:cs="Arial" w:eastAsia="Arial" w:hAnsi="Arial"/>
                <w:sz w:val="18"/>
                <w:szCs w:val="18"/>
                <w:color w:val="auto"/>
                <w:w w:val="89"/>
              </w:rPr>
              <w:t>40</w:t>
            </w:r>
          </w:p>
        </w:tc>
      </w:tr>
      <w:tr>
        <w:trPr>
          <w:trHeight w:val="216"/>
        </w:trPr>
        <w:tc>
          <w:tcPr>
            <w:tcW w:w="20" w:type="dxa"/>
            <w:vAlign w:val="bottom"/>
          </w:tcPr>
          <w:p>
            <w:pPr>
              <w:spacing w:after="0"/>
              <w:rPr>
                <w:sz w:val="18"/>
                <w:szCs w:val="18"/>
                <w:color w:val="auto"/>
              </w:rPr>
            </w:pPr>
          </w:p>
        </w:tc>
        <w:tc>
          <w:tcPr>
            <w:tcW w:w="10680" w:type="dxa"/>
            <w:vAlign w:val="bottom"/>
            <w:shd w:val="clear" w:color="auto" w:fill="EEEEEE"/>
          </w:tcPr>
          <w:p>
            <w:pPr>
              <w:spacing w:after="0"/>
              <w:rPr>
                <w:sz w:val="20"/>
                <w:szCs w:val="20"/>
                <w:color w:val="auto"/>
              </w:rPr>
            </w:pPr>
            <w:r>
              <w:rPr>
                <w:rFonts w:ascii="Arial" w:cs="Arial" w:eastAsia="Arial" w:hAnsi="Arial"/>
                <w:sz w:val="18"/>
                <w:szCs w:val="18"/>
                <w:color w:val="auto"/>
              </w:rPr>
              <w:t>Where You Can Find More Information</w:t>
            </w:r>
          </w:p>
        </w:tc>
        <w:tc>
          <w:tcPr>
            <w:tcW w:w="720" w:type="dxa"/>
            <w:vAlign w:val="bottom"/>
            <w:shd w:val="clear" w:color="auto" w:fill="EEEEEE"/>
          </w:tcPr>
          <w:p>
            <w:pPr>
              <w:jc w:val="center"/>
              <w:spacing w:after="0"/>
              <w:rPr>
                <w:sz w:val="20"/>
                <w:szCs w:val="20"/>
                <w:color w:val="auto"/>
              </w:rPr>
            </w:pPr>
            <w:r>
              <w:rPr>
                <w:rFonts w:ascii="Arial" w:cs="Arial" w:eastAsia="Arial" w:hAnsi="Arial"/>
                <w:sz w:val="18"/>
                <w:szCs w:val="18"/>
                <w:color w:val="auto"/>
                <w:w w:val="89"/>
              </w:rPr>
              <w:t>40</w:t>
            </w:r>
          </w:p>
        </w:tc>
      </w:tr>
      <w:tr>
        <w:trPr>
          <w:trHeight w:val="216"/>
        </w:trPr>
        <w:tc>
          <w:tcPr>
            <w:tcW w:w="20" w:type="dxa"/>
            <w:vAlign w:val="bottom"/>
          </w:tcPr>
          <w:p>
            <w:pPr>
              <w:spacing w:after="0"/>
              <w:rPr>
                <w:sz w:val="18"/>
                <w:szCs w:val="18"/>
                <w:color w:val="auto"/>
              </w:rPr>
            </w:pPr>
          </w:p>
        </w:tc>
        <w:tc>
          <w:tcPr>
            <w:tcW w:w="10680" w:type="dxa"/>
            <w:vAlign w:val="bottom"/>
          </w:tcPr>
          <w:p>
            <w:pPr>
              <w:spacing w:after="0"/>
              <w:rPr>
                <w:sz w:val="20"/>
                <w:szCs w:val="20"/>
                <w:color w:val="auto"/>
              </w:rPr>
            </w:pPr>
            <w:r>
              <w:rPr>
                <w:rFonts w:ascii="Arial" w:cs="Arial" w:eastAsia="Arial" w:hAnsi="Arial"/>
                <w:sz w:val="18"/>
                <w:szCs w:val="18"/>
                <w:color w:val="auto"/>
              </w:rPr>
              <w:t>Disclosure of Commission Position on Indemnification for Securities Act Liabilities</w:t>
            </w:r>
          </w:p>
        </w:tc>
        <w:tc>
          <w:tcPr>
            <w:tcW w:w="720" w:type="dxa"/>
            <w:vAlign w:val="bottom"/>
          </w:tcPr>
          <w:p>
            <w:pPr>
              <w:jc w:val="center"/>
              <w:spacing w:after="0"/>
              <w:rPr>
                <w:sz w:val="20"/>
                <w:szCs w:val="20"/>
                <w:color w:val="auto"/>
              </w:rPr>
            </w:pPr>
            <w:r>
              <w:rPr>
                <w:rFonts w:ascii="Arial" w:cs="Arial" w:eastAsia="Arial" w:hAnsi="Arial"/>
                <w:sz w:val="18"/>
                <w:szCs w:val="18"/>
                <w:color w:val="auto"/>
                <w:w w:val="89"/>
              </w:rPr>
              <w:t>40</w:t>
            </w:r>
          </w:p>
        </w:tc>
      </w:tr>
      <w:tr>
        <w:trPr>
          <w:trHeight w:val="216"/>
        </w:trPr>
        <w:tc>
          <w:tcPr>
            <w:tcW w:w="20" w:type="dxa"/>
            <w:vAlign w:val="bottom"/>
          </w:tcPr>
          <w:p>
            <w:pPr>
              <w:spacing w:after="0"/>
              <w:rPr>
                <w:sz w:val="18"/>
                <w:szCs w:val="18"/>
                <w:color w:val="auto"/>
              </w:rPr>
            </w:pPr>
          </w:p>
        </w:tc>
        <w:tc>
          <w:tcPr>
            <w:tcW w:w="10680" w:type="dxa"/>
            <w:vAlign w:val="bottom"/>
            <w:shd w:val="clear" w:color="auto" w:fill="EEEEEE"/>
          </w:tcPr>
          <w:p>
            <w:pPr>
              <w:spacing w:after="0"/>
              <w:rPr>
                <w:sz w:val="20"/>
                <w:szCs w:val="20"/>
                <w:color w:val="auto"/>
              </w:rPr>
            </w:pPr>
            <w:r>
              <w:rPr>
                <w:rFonts w:ascii="Arial" w:cs="Arial" w:eastAsia="Arial" w:hAnsi="Arial"/>
                <w:sz w:val="18"/>
                <w:szCs w:val="18"/>
                <w:color w:val="auto"/>
              </w:rPr>
              <w:t>Index to Consolidated Financial Statements</w:t>
            </w:r>
          </w:p>
        </w:tc>
        <w:tc>
          <w:tcPr>
            <w:tcW w:w="720" w:type="dxa"/>
            <w:vAlign w:val="bottom"/>
            <w:shd w:val="clear" w:color="auto" w:fill="EEEEEE"/>
          </w:tcPr>
          <w:p>
            <w:pPr>
              <w:jc w:val="center"/>
              <w:spacing w:after="0"/>
              <w:rPr>
                <w:sz w:val="20"/>
                <w:szCs w:val="20"/>
                <w:color w:val="auto"/>
              </w:rPr>
            </w:pPr>
            <w:r>
              <w:rPr>
                <w:rFonts w:ascii="Arial" w:cs="Arial" w:eastAsia="Arial" w:hAnsi="Arial"/>
                <w:sz w:val="18"/>
                <w:szCs w:val="18"/>
                <w:color w:val="auto"/>
                <w:w w:val="88"/>
              </w:rPr>
              <w:t>F-1</w:t>
            </w:r>
          </w:p>
        </w:tc>
      </w:tr>
      <w:tr>
        <w:trPr>
          <w:trHeight w:val="216"/>
        </w:trPr>
        <w:tc>
          <w:tcPr>
            <w:tcW w:w="20" w:type="dxa"/>
            <w:vAlign w:val="bottom"/>
          </w:tcPr>
          <w:p>
            <w:pPr>
              <w:spacing w:after="0"/>
              <w:rPr>
                <w:sz w:val="18"/>
                <w:szCs w:val="18"/>
                <w:color w:val="auto"/>
              </w:rPr>
            </w:pPr>
          </w:p>
        </w:tc>
        <w:tc>
          <w:tcPr>
            <w:tcW w:w="10680" w:type="dxa"/>
            <w:vAlign w:val="bottom"/>
          </w:tcPr>
          <w:p>
            <w:pPr>
              <w:spacing w:after="0"/>
              <w:rPr>
                <w:sz w:val="20"/>
                <w:szCs w:val="20"/>
                <w:color w:val="auto"/>
              </w:rPr>
            </w:pPr>
            <w:r>
              <w:rPr>
                <w:rFonts w:ascii="Arial" w:cs="Arial" w:eastAsia="Arial" w:hAnsi="Arial"/>
                <w:sz w:val="18"/>
                <w:szCs w:val="18"/>
                <w:color w:val="auto"/>
              </w:rPr>
              <w:t>Other Expenses of Issuance and Distribution</w:t>
            </w:r>
          </w:p>
        </w:tc>
        <w:tc>
          <w:tcPr>
            <w:tcW w:w="720" w:type="dxa"/>
            <w:vAlign w:val="bottom"/>
          </w:tcPr>
          <w:p>
            <w:pPr>
              <w:jc w:val="center"/>
              <w:spacing w:after="0"/>
              <w:rPr>
                <w:sz w:val="20"/>
                <w:szCs w:val="20"/>
                <w:color w:val="auto"/>
              </w:rPr>
            </w:pPr>
            <w:r>
              <w:rPr>
                <w:rFonts w:ascii="Arial" w:cs="Arial" w:eastAsia="Arial" w:hAnsi="Arial"/>
                <w:sz w:val="18"/>
                <w:szCs w:val="18"/>
                <w:color w:val="auto"/>
              </w:rPr>
              <w:t>II-1</w:t>
            </w:r>
          </w:p>
        </w:tc>
      </w:tr>
      <w:tr>
        <w:trPr>
          <w:trHeight w:val="216"/>
        </w:trPr>
        <w:tc>
          <w:tcPr>
            <w:tcW w:w="20" w:type="dxa"/>
            <w:vAlign w:val="bottom"/>
          </w:tcPr>
          <w:p>
            <w:pPr>
              <w:spacing w:after="0"/>
              <w:rPr>
                <w:sz w:val="18"/>
                <w:szCs w:val="18"/>
                <w:color w:val="auto"/>
              </w:rPr>
            </w:pPr>
          </w:p>
        </w:tc>
        <w:tc>
          <w:tcPr>
            <w:tcW w:w="10680" w:type="dxa"/>
            <w:vAlign w:val="bottom"/>
            <w:shd w:val="clear" w:color="auto" w:fill="EEEEEE"/>
          </w:tcPr>
          <w:p>
            <w:pPr>
              <w:spacing w:after="0"/>
              <w:rPr>
                <w:sz w:val="20"/>
                <w:szCs w:val="20"/>
                <w:color w:val="auto"/>
              </w:rPr>
            </w:pPr>
            <w:r>
              <w:rPr>
                <w:rFonts w:ascii="Arial" w:cs="Arial" w:eastAsia="Arial" w:hAnsi="Arial"/>
                <w:sz w:val="18"/>
                <w:szCs w:val="18"/>
                <w:color w:val="auto"/>
              </w:rPr>
              <w:t>Indemnification of Officers and Directors</w:t>
            </w:r>
          </w:p>
        </w:tc>
        <w:tc>
          <w:tcPr>
            <w:tcW w:w="720" w:type="dxa"/>
            <w:vAlign w:val="bottom"/>
            <w:shd w:val="clear" w:color="auto" w:fill="EEEEEE"/>
          </w:tcPr>
          <w:p>
            <w:pPr>
              <w:jc w:val="center"/>
              <w:spacing w:after="0"/>
              <w:rPr>
                <w:sz w:val="20"/>
                <w:szCs w:val="20"/>
                <w:color w:val="auto"/>
              </w:rPr>
            </w:pPr>
            <w:r>
              <w:rPr>
                <w:rFonts w:ascii="Arial" w:cs="Arial" w:eastAsia="Arial" w:hAnsi="Arial"/>
                <w:sz w:val="18"/>
                <w:szCs w:val="18"/>
                <w:color w:val="auto"/>
              </w:rPr>
              <w:t>II-1</w:t>
            </w:r>
          </w:p>
        </w:tc>
      </w:tr>
      <w:tr>
        <w:trPr>
          <w:trHeight w:val="216"/>
        </w:trPr>
        <w:tc>
          <w:tcPr>
            <w:tcW w:w="20" w:type="dxa"/>
            <w:vAlign w:val="bottom"/>
          </w:tcPr>
          <w:p>
            <w:pPr>
              <w:spacing w:after="0"/>
              <w:rPr>
                <w:sz w:val="18"/>
                <w:szCs w:val="18"/>
                <w:color w:val="auto"/>
              </w:rPr>
            </w:pPr>
          </w:p>
        </w:tc>
        <w:tc>
          <w:tcPr>
            <w:tcW w:w="10680" w:type="dxa"/>
            <w:vAlign w:val="bottom"/>
          </w:tcPr>
          <w:p>
            <w:pPr>
              <w:spacing w:after="0"/>
              <w:rPr>
                <w:sz w:val="20"/>
                <w:szCs w:val="20"/>
                <w:color w:val="auto"/>
              </w:rPr>
            </w:pPr>
            <w:r>
              <w:rPr>
                <w:rFonts w:ascii="Arial" w:cs="Arial" w:eastAsia="Arial" w:hAnsi="Arial"/>
                <w:sz w:val="18"/>
                <w:szCs w:val="18"/>
                <w:color w:val="auto"/>
              </w:rPr>
              <w:t>Recent Sale of Unregistered Securities</w:t>
            </w:r>
          </w:p>
        </w:tc>
        <w:tc>
          <w:tcPr>
            <w:tcW w:w="720" w:type="dxa"/>
            <w:vAlign w:val="bottom"/>
          </w:tcPr>
          <w:p>
            <w:pPr>
              <w:jc w:val="center"/>
              <w:spacing w:after="0"/>
              <w:rPr>
                <w:sz w:val="20"/>
                <w:szCs w:val="20"/>
                <w:color w:val="auto"/>
              </w:rPr>
            </w:pPr>
            <w:r>
              <w:rPr>
                <w:rFonts w:ascii="Arial" w:cs="Arial" w:eastAsia="Arial" w:hAnsi="Arial"/>
                <w:sz w:val="18"/>
                <w:szCs w:val="18"/>
                <w:color w:val="auto"/>
              </w:rPr>
              <w:t>II-1</w:t>
            </w:r>
          </w:p>
        </w:tc>
      </w:tr>
      <w:tr>
        <w:trPr>
          <w:trHeight w:val="216"/>
        </w:trPr>
        <w:tc>
          <w:tcPr>
            <w:tcW w:w="20" w:type="dxa"/>
            <w:vAlign w:val="bottom"/>
          </w:tcPr>
          <w:p>
            <w:pPr>
              <w:spacing w:after="0"/>
              <w:rPr>
                <w:sz w:val="18"/>
                <w:szCs w:val="18"/>
                <w:color w:val="auto"/>
              </w:rPr>
            </w:pPr>
          </w:p>
        </w:tc>
        <w:tc>
          <w:tcPr>
            <w:tcW w:w="10680" w:type="dxa"/>
            <w:vAlign w:val="bottom"/>
            <w:shd w:val="clear" w:color="auto" w:fill="EEEEEE"/>
          </w:tcPr>
          <w:p>
            <w:pPr>
              <w:spacing w:after="0"/>
              <w:rPr>
                <w:sz w:val="20"/>
                <w:szCs w:val="20"/>
                <w:color w:val="auto"/>
              </w:rPr>
            </w:pPr>
            <w:r>
              <w:rPr>
                <w:rFonts w:ascii="Arial" w:cs="Arial" w:eastAsia="Arial" w:hAnsi="Arial"/>
                <w:sz w:val="18"/>
                <w:szCs w:val="18"/>
                <w:color w:val="auto"/>
              </w:rPr>
              <w:t>Exhibits</w:t>
            </w:r>
          </w:p>
        </w:tc>
        <w:tc>
          <w:tcPr>
            <w:tcW w:w="720" w:type="dxa"/>
            <w:vAlign w:val="bottom"/>
            <w:shd w:val="clear" w:color="auto" w:fill="EEEEEE"/>
          </w:tcPr>
          <w:p>
            <w:pPr>
              <w:jc w:val="center"/>
              <w:spacing w:after="0"/>
              <w:rPr>
                <w:sz w:val="20"/>
                <w:szCs w:val="20"/>
                <w:color w:val="auto"/>
              </w:rPr>
            </w:pPr>
            <w:r>
              <w:rPr>
                <w:rFonts w:ascii="Arial" w:cs="Arial" w:eastAsia="Arial" w:hAnsi="Arial"/>
                <w:sz w:val="18"/>
                <w:szCs w:val="18"/>
                <w:color w:val="auto"/>
              </w:rPr>
              <w:t>II-2</w:t>
            </w:r>
          </w:p>
        </w:tc>
      </w:tr>
      <w:tr>
        <w:trPr>
          <w:trHeight w:val="216"/>
        </w:trPr>
        <w:tc>
          <w:tcPr>
            <w:tcW w:w="20" w:type="dxa"/>
            <w:vAlign w:val="bottom"/>
          </w:tcPr>
          <w:p>
            <w:pPr>
              <w:spacing w:after="0"/>
              <w:rPr>
                <w:sz w:val="18"/>
                <w:szCs w:val="18"/>
                <w:color w:val="auto"/>
              </w:rPr>
            </w:pPr>
          </w:p>
        </w:tc>
        <w:tc>
          <w:tcPr>
            <w:tcW w:w="10680" w:type="dxa"/>
            <w:vAlign w:val="bottom"/>
          </w:tcPr>
          <w:p>
            <w:pPr>
              <w:spacing w:after="0"/>
              <w:rPr>
                <w:sz w:val="20"/>
                <w:szCs w:val="20"/>
                <w:color w:val="auto"/>
              </w:rPr>
            </w:pPr>
            <w:r>
              <w:rPr>
                <w:rFonts w:ascii="Arial" w:cs="Arial" w:eastAsia="Arial" w:hAnsi="Arial"/>
                <w:sz w:val="18"/>
                <w:szCs w:val="18"/>
                <w:color w:val="auto"/>
              </w:rPr>
              <w:t>Undertakings</w:t>
            </w:r>
          </w:p>
        </w:tc>
        <w:tc>
          <w:tcPr>
            <w:tcW w:w="720" w:type="dxa"/>
            <w:vAlign w:val="bottom"/>
          </w:tcPr>
          <w:p>
            <w:pPr>
              <w:jc w:val="center"/>
              <w:spacing w:after="0"/>
              <w:rPr>
                <w:sz w:val="20"/>
                <w:szCs w:val="20"/>
                <w:color w:val="auto"/>
              </w:rPr>
            </w:pPr>
            <w:r>
              <w:rPr>
                <w:rFonts w:ascii="Arial" w:cs="Arial" w:eastAsia="Arial" w:hAnsi="Arial"/>
                <w:sz w:val="18"/>
                <w:szCs w:val="18"/>
                <w:color w:val="auto"/>
              </w:rPr>
              <w:t>II-2</w:t>
            </w:r>
          </w:p>
        </w:tc>
      </w:tr>
      <w:tr>
        <w:trPr>
          <w:trHeight w:val="216"/>
        </w:trPr>
        <w:tc>
          <w:tcPr>
            <w:tcW w:w="20" w:type="dxa"/>
            <w:vAlign w:val="bottom"/>
          </w:tcPr>
          <w:p>
            <w:pPr>
              <w:spacing w:after="0"/>
              <w:rPr>
                <w:sz w:val="18"/>
                <w:szCs w:val="18"/>
                <w:color w:val="auto"/>
              </w:rPr>
            </w:pPr>
          </w:p>
        </w:tc>
        <w:tc>
          <w:tcPr>
            <w:tcW w:w="10680" w:type="dxa"/>
            <w:vAlign w:val="bottom"/>
            <w:shd w:val="clear" w:color="auto" w:fill="EEEEEE"/>
          </w:tcPr>
          <w:p>
            <w:pPr>
              <w:spacing w:after="0"/>
              <w:rPr>
                <w:sz w:val="20"/>
                <w:szCs w:val="20"/>
                <w:color w:val="auto"/>
              </w:rPr>
            </w:pPr>
            <w:r>
              <w:rPr>
                <w:rFonts w:ascii="Arial" w:cs="Arial" w:eastAsia="Arial" w:hAnsi="Arial"/>
                <w:sz w:val="18"/>
                <w:szCs w:val="18"/>
                <w:color w:val="auto"/>
              </w:rPr>
              <w:t>Signatures</w:t>
            </w:r>
          </w:p>
        </w:tc>
        <w:tc>
          <w:tcPr>
            <w:tcW w:w="720" w:type="dxa"/>
            <w:vAlign w:val="bottom"/>
            <w:shd w:val="clear" w:color="auto" w:fill="EEEEEE"/>
          </w:tcPr>
          <w:p>
            <w:pPr>
              <w:jc w:val="center"/>
              <w:spacing w:after="0"/>
              <w:rPr>
                <w:sz w:val="20"/>
                <w:szCs w:val="20"/>
                <w:color w:val="auto"/>
              </w:rPr>
            </w:pPr>
            <w:r>
              <w:rPr>
                <w:rFonts w:ascii="Arial" w:cs="Arial" w:eastAsia="Arial" w:hAnsi="Arial"/>
                <w:sz w:val="18"/>
                <w:szCs w:val="18"/>
                <w:color w:val="auto"/>
              </w:rPr>
              <w:t>II-4</w:t>
            </w:r>
          </w:p>
        </w:tc>
      </w:tr>
    </w:tbl>
    <w:p>
      <w:pPr>
        <w:spacing w:after="0" w:line="252" w:lineRule="exact"/>
        <w:rPr>
          <w:sz w:val="20"/>
          <w:szCs w:val="20"/>
          <w:color w:val="auto"/>
        </w:rPr>
      </w:pPr>
    </w:p>
    <w:p>
      <w:pPr>
        <w:jc w:val="both"/>
        <w:spacing w:after="0" w:line="261" w:lineRule="auto"/>
        <w:rPr>
          <w:sz w:val="20"/>
          <w:szCs w:val="20"/>
          <w:color w:val="auto"/>
        </w:rPr>
      </w:pPr>
      <w:r>
        <w:rPr>
          <w:rFonts w:ascii="Arial" w:cs="Arial" w:eastAsia="Arial" w:hAnsi="Arial"/>
          <w:sz w:val="18"/>
          <w:szCs w:val="18"/>
          <w:b w:val="1"/>
          <w:bCs w:val="1"/>
          <w:color w:val="auto"/>
        </w:rPr>
        <w:t>You should rely only on the information contained in this prospectus. We have not authorized anyone to provide you with information different from the information contained in this prospectus. We will not make an offer to sell these securities in any jurisdiction where offers and sales are not permitted. The information contained in this prospectus is accurate only as of the date of this prospectus, regardless of when this prospectus is delivered or when any sale of our common stock occurs.</w:t>
      </w:r>
    </w:p>
    <w:p>
      <w:pPr>
        <w:spacing w:after="0" w:line="200" w:lineRule="exact"/>
        <w:rPr>
          <w:sz w:val="20"/>
          <w:szCs w:val="20"/>
          <w:color w:val="auto"/>
        </w:rPr>
      </w:pPr>
    </w:p>
    <w:p>
      <w:pPr>
        <w:spacing w:after="0" w:line="28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2466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634" w:right="239" w:bottom="1440" w:gutter="0" w:footer="0" w:header="0"/>
        </w:sectPr>
      </w:pPr>
    </w:p>
    <w:bookmarkStart w:id="2" w:name="page3"/>
    <w:bookmarkEnd w:id="2"/>
    <w:p>
      <w:pPr>
        <w:jc w:val="center"/>
        <w:spacing w:after="0"/>
        <w:rPr>
          <w:sz w:val="20"/>
          <w:szCs w:val="20"/>
          <w:color w:val="auto"/>
        </w:rPr>
      </w:pPr>
      <w:r>
        <w:rPr>
          <w:rFonts w:ascii="Arial" w:cs="Arial" w:eastAsia="Arial" w:hAnsi="Arial"/>
          <w:sz w:val="18"/>
          <w:szCs w:val="18"/>
          <w:b w:val="1"/>
          <w:bCs w:val="1"/>
          <w:color w:val="auto"/>
        </w:rPr>
        <w:t>PROSPECTUS SUMMARY</w:t>
      </w:r>
    </w:p>
    <w:p>
      <w:pPr>
        <w:spacing w:after="0" w:line="283" w:lineRule="exact"/>
        <w:rPr>
          <w:sz w:val="20"/>
          <w:szCs w:val="20"/>
          <w:color w:val="auto"/>
        </w:rPr>
      </w:pPr>
    </w:p>
    <w:p>
      <w:pPr>
        <w:jc w:val="both"/>
        <w:ind w:right="20" w:firstLine="648"/>
        <w:spacing w:after="0" w:line="264" w:lineRule="auto"/>
        <w:rPr>
          <w:sz w:val="20"/>
          <w:szCs w:val="20"/>
          <w:color w:val="auto"/>
        </w:rPr>
      </w:pPr>
      <w:r>
        <w:rPr>
          <w:rFonts w:ascii="Arial" w:cs="Arial" w:eastAsia="Arial" w:hAnsi="Arial"/>
          <w:sz w:val="18"/>
          <w:szCs w:val="18"/>
          <w:color w:val="auto"/>
        </w:rPr>
        <w:t>The following summary highlights selected information contained in this prospectus. This summary does not contain all the information you should consider before investing in the securities. Before making an investment decision, you should read the entire prospectus carefully, including the "risk factors" section, the financial statements and the notes to the financial statements.</w:t>
      </w:r>
    </w:p>
    <w:p>
      <w:pPr>
        <w:spacing w:after="0" w:line="23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Our Business</w:t>
      </w:r>
    </w:p>
    <w:p>
      <w:pPr>
        <w:spacing w:after="0" w:line="283" w:lineRule="exact"/>
        <w:rPr>
          <w:sz w:val="20"/>
          <w:szCs w:val="20"/>
          <w:color w:val="auto"/>
        </w:rPr>
      </w:pPr>
    </w:p>
    <w:p>
      <w:pPr>
        <w:jc w:val="both"/>
        <w:ind w:firstLine="648"/>
        <w:spacing w:after="0" w:line="286" w:lineRule="auto"/>
        <w:rPr>
          <w:sz w:val="20"/>
          <w:szCs w:val="20"/>
          <w:color w:val="auto"/>
        </w:rPr>
      </w:pPr>
      <w:r>
        <w:rPr>
          <w:rFonts w:ascii="Arial" w:cs="Arial" w:eastAsia="Arial" w:hAnsi="Arial"/>
          <w:sz w:val="16"/>
          <w:szCs w:val="16"/>
          <w:color w:val="auto"/>
        </w:rPr>
        <w:t>We, through our wholly-owned subsidiary, OptimizeRx Corporation, a Michigan corporation, are a development-stage website publisher and marketing company that creates, promotes and fulfills custom marketing and advertising programs. We help patients better afford and manage their rising healthcare costs. In addition, we also provide unique advertising programs to pharmaceutical and healthcare industries. We provide the following services: (i) through our website, we provide patients the ability to centrally review and participate in prescription and healthcare savings/support programs;</w:t>
      </w:r>
    </w:p>
    <w:p>
      <w:pPr>
        <w:spacing w:after="0" w:line="2" w:lineRule="exact"/>
        <w:rPr>
          <w:sz w:val="20"/>
          <w:szCs w:val="20"/>
          <w:color w:val="auto"/>
        </w:rPr>
      </w:pPr>
    </w:p>
    <w:p>
      <w:pPr>
        <w:ind w:left="280" w:hanging="272"/>
        <w:spacing w:after="0"/>
        <w:tabs>
          <w:tab w:leader="none" w:pos="280" w:val="left"/>
        </w:tabs>
        <w:numPr>
          <w:ilvl w:val="0"/>
          <w:numId w:val="1"/>
        </w:numPr>
        <w:rPr>
          <w:rFonts w:ascii="Arial" w:cs="Arial" w:eastAsia="Arial" w:hAnsi="Arial"/>
          <w:sz w:val="16"/>
          <w:szCs w:val="16"/>
          <w:color w:val="auto"/>
        </w:rPr>
      </w:pPr>
      <w:r>
        <w:rPr>
          <w:rFonts w:ascii="Arial" w:cs="Arial" w:eastAsia="Arial" w:hAnsi="Arial"/>
          <w:sz w:val="16"/>
          <w:szCs w:val="16"/>
          <w:color w:val="auto"/>
        </w:rPr>
        <w:t>through OFFERx, we provide a platform to allow manufacturers to create, promote and fulfill new patient offer programs in over 60,000 pharmacies; and</w:t>
      </w:r>
    </w:p>
    <w:p>
      <w:pPr>
        <w:spacing w:after="0" w:line="32" w:lineRule="exact"/>
        <w:rPr>
          <w:rFonts w:ascii="Arial" w:cs="Arial" w:eastAsia="Arial" w:hAnsi="Arial"/>
          <w:sz w:val="16"/>
          <w:szCs w:val="16"/>
          <w:color w:val="auto"/>
        </w:rPr>
      </w:pPr>
    </w:p>
    <w:p>
      <w:pPr>
        <w:ind w:firstLine="8"/>
        <w:spacing w:after="0" w:line="261" w:lineRule="auto"/>
        <w:tabs>
          <w:tab w:leader="none" w:pos="335" w:val="left"/>
        </w:tabs>
        <w:numPr>
          <w:ilvl w:val="0"/>
          <w:numId w:val="1"/>
        </w:numPr>
        <w:rPr>
          <w:rFonts w:ascii="Arial" w:cs="Arial" w:eastAsia="Arial" w:hAnsi="Arial"/>
          <w:sz w:val="18"/>
          <w:szCs w:val="18"/>
          <w:color w:val="auto"/>
        </w:rPr>
      </w:pPr>
      <w:r>
        <w:rPr>
          <w:rFonts w:ascii="Arial" w:cs="Arial" w:eastAsia="Arial" w:hAnsi="Arial"/>
          <w:sz w:val="18"/>
          <w:szCs w:val="18"/>
          <w:color w:val="auto"/>
        </w:rPr>
        <w:t>through ADHERxE, we provide a platform that allows manufacturers to engage and monitor patients each month in exchange for activation of their monthly co-pay coupons.</w:t>
      </w:r>
    </w:p>
    <w:p>
      <w:pPr>
        <w:spacing w:after="0" w:line="238" w:lineRule="exact"/>
        <w:rPr>
          <w:sz w:val="20"/>
          <w:szCs w:val="20"/>
          <w:color w:val="auto"/>
        </w:rPr>
      </w:pPr>
    </w:p>
    <w:p>
      <w:pPr>
        <w:jc w:val="both"/>
        <w:ind w:firstLine="648"/>
        <w:spacing w:after="0" w:line="289" w:lineRule="auto"/>
        <w:rPr>
          <w:sz w:val="20"/>
          <w:szCs w:val="20"/>
          <w:color w:val="auto"/>
        </w:rPr>
      </w:pPr>
      <w:r>
        <w:rPr>
          <w:rFonts w:ascii="Arial" w:cs="Arial" w:eastAsia="Arial" w:hAnsi="Arial"/>
          <w:sz w:val="16"/>
          <w:szCs w:val="16"/>
          <w:color w:val="auto"/>
        </w:rPr>
        <w:t>Optimizer Systems, LLC was formed in the State of Michigan on January 31, 2006. It then became a corporation in the state of Michigan on October 22, 2007 and changed our name to OptimizeRx Corporation on October 22, 2007. On April 14, 2008, RFID Ltd. consummated a reverse merger by entering into a share exchange agreement with the stockholders of OptimizeRx Corporation, pursuant to which the stockholders of OptimizeRx Corporation exchanged all of the issued and outstanding capital stock of OptimizeRx Corporation for 1,256,958 shares of common stock of RFID Ltd., representing 100% of the outstanding capital stock of RFID Ltd. As of April 30, 2008, RFID’s officers and directors resigned their positions and RFID changed its business to OptimizeRx’s business. As a result, the historical discussion and financial statements included in this Form S-1 are those of OptimizeRx Corporation. On April 15, 2008, RFID Ltd’s corporate name was changed to OptimizeRx Corporation. On September 4, 2008, we then completed a migratory merger, thereby changing our state of incorporation from Colorado to Nevada, resulting in the current corporate structure in which we, OptimizeRx Corporation, a Nevada corporation is the parent corporation, and OptimizeRx Corporation, a Michigan Corporation is our wholly-owned subsidiary.</w:t>
      </w:r>
    </w:p>
    <w:p>
      <w:pPr>
        <w:spacing w:after="0" w:line="221" w:lineRule="exact"/>
        <w:rPr>
          <w:sz w:val="20"/>
          <w:szCs w:val="20"/>
          <w:color w:val="auto"/>
        </w:rPr>
      </w:pPr>
    </w:p>
    <w:p>
      <w:pPr>
        <w:jc w:val="both"/>
        <w:ind w:firstLine="648"/>
        <w:spacing w:after="0" w:line="286" w:lineRule="auto"/>
        <w:rPr>
          <w:sz w:val="20"/>
          <w:szCs w:val="20"/>
          <w:color w:val="auto"/>
        </w:rPr>
      </w:pPr>
      <w:r>
        <w:rPr>
          <w:rFonts w:ascii="Arial" w:cs="Arial" w:eastAsia="Arial" w:hAnsi="Arial"/>
          <w:sz w:val="16"/>
          <w:szCs w:val="16"/>
          <w:color w:val="auto"/>
        </w:rPr>
        <w:t>As a development stage company, we have limited capital and limited capital resources. Based on our initial revenues generated to date, we are not able to meet our current needs for cash from operating revenues. As a result of our September 8, 2008 private placement, which we completed after our reverse merger with a shell corporation, we raised $3,500,000 (approximately $2.95m net), which we believe will sufficiently fund our operations and business plan throughout 2009. By adjusting our operations and development to the level of our capitalization, we believe that our existing capital resources are sufficient to fund our current level of operating activities, capital expenditures and other obligations throughout 2009. However, we may also seek to raise additional capital in order to accelerate the development of our services and products, which will increase our expenditures from their current level. We currently have no commitments for any future funding, and may not be able to obtain additional financing on terms acceptable to us, if at all, in the future. Further, actual results may differ from our current belief, if there are material changes in any of the factors or assumptions upon which we based our current belief. Such factors and assumptions, include, without limitation, the development of our proprietary technology platform and our products, the timing of such development, market acceptance of our products, protection of our intellectual property, our success in implementing our strategic, operating and people initiatives and our ability to commercialize our products, any of which could impact sales, costs and expenses and/or planned strategies and timing. As a result, it is possible that the money we raised in the private placement will not be sufficient to meet our projected cash flow deficits from operations or to fund the development of our technology and products and we may need additional financing to meet our capital needs, which could have a material adverse affect on our business, results of operations, liquidity and financial condition.</w:t>
      </w:r>
    </w:p>
    <w:p>
      <w:pPr>
        <w:spacing w:after="0" w:line="226"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 xml:space="preserve">Our principal executive offices are located at 407 Sixth Street, Rochester, MI 48307, and our telephone number is (248) 651-6568. Our website is located at </w:t>
      </w:r>
      <w:r>
        <w:rPr>
          <w:rFonts w:ascii="Arial" w:cs="Arial" w:eastAsia="Arial" w:hAnsi="Arial"/>
          <w:sz w:val="18"/>
          <w:szCs w:val="18"/>
          <w:u w:val="single" w:color="auto"/>
          <w:color w:val="auto"/>
        </w:rPr>
        <w:t>www.optimizerx.com</w:t>
      </w:r>
      <w:r>
        <w:rPr>
          <w:rFonts w:ascii="Arial" w:cs="Arial" w:eastAsia="Arial" w:hAnsi="Arial"/>
          <w:sz w:val="18"/>
          <w:szCs w:val="18"/>
          <w:color w:val="auto"/>
        </w:rPr>
        <w:t xml:space="preserve"> .. Information on our website of any other website does not constitute a part of this prospectus.</w:t>
      </w:r>
    </w:p>
    <w:p>
      <w:pPr>
        <w:spacing w:after="0" w:line="200" w:lineRule="exact"/>
        <w:rPr>
          <w:sz w:val="20"/>
          <w:szCs w:val="20"/>
          <w:color w:val="auto"/>
        </w:rPr>
      </w:pPr>
    </w:p>
    <w:p>
      <w:pPr>
        <w:spacing w:after="0" w:line="26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24662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607" w:right="239" w:bottom="1440" w:gutter="0" w:footer="0" w:header="0"/>
        </w:sectPr>
      </w:pPr>
    </w:p>
    <w:bookmarkStart w:id="3" w:name="page4"/>
    <w:bookmarkEnd w:id="3"/>
    <w:tbl>
      <w:tblPr>
        <w:tblLayout w:type="fixed"/>
        <w:tblInd w:w="0" w:type="dxa"/>
        <w:tblCellMar>
          <w:top w:w="0" w:type="dxa"/>
          <w:left w:w="0" w:type="dxa"/>
          <w:bottom w:w="0" w:type="dxa"/>
          <w:right w:w="0" w:type="dxa"/>
        </w:tblCellMar>
      </w:tblPr>
      <w:tr>
        <w:trPr>
          <w:trHeight w:val="234"/>
        </w:trPr>
        <w:tc>
          <w:tcPr>
            <w:tcW w:w="4920" w:type="dxa"/>
            <w:vAlign w:val="bottom"/>
          </w:tcPr>
          <w:p>
            <w:pPr>
              <w:spacing w:after="0"/>
              <w:rPr>
                <w:sz w:val="20"/>
                <w:szCs w:val="20"/>
                <w:color w:val="auto"/>
              </w:rPr>
            </w:pPr>
          </w:p>
        </w:tc>
        <w:tc>
          <w:tcPr>
            <w:tcW w:w="6500" w:type="dxa"/>
            <w:vAlign w:val="bottom"/>
          </w:tcPr>
          <w:p>
            <w:pPr>
              <w:ind w:left="300"/>
              <w:spacing w:after="0"/>
              <w:rPr>
                <w:sz w:val="20"/>
                <w:szCs w:val="20"/>
                <w:color w:val="auto"/>
              </w:rPr>
            </w:pPr>
            <w:r>
              <w:rPr>
                <w:rFonts w:ascii="Arial" w:cs="Arial" w:eastAsia="Arial" w:hAnsi="Arial"/>
                <w:sz w:val="18"/>
                <w:szCs w:val="18"/>
                <w:b w:val="1"/>
                <w:bCs w:val="1"/>
                <w:color w:val="auto"/>
              </w:rPr>
              <w:t>The Offering</w:t>
            </w:r>
          </w:p>
        </w:tc>
      </w:tr>
      <w:tr>
        <w:trPr>
          <w:trHeight w:val="445"/>
        </w:trPr>
        <w:tc>
          <w:tcPr>
            <w:tcW w:w="4920" w:type="dxa"/>
            <w:vAlign w:val="bottom"/>
          </w:tcPr>
          <w:p>
            <w:pPr>
              <w:spacing w:after="0"/>
              <w:rPr>
                <w:sz w:val="20"/>
                <w:szCs w:val="20"/>
                <w:color w:val="auto"/>
              </w:rPr>
            </w:pPr>
            <w:r>
              <w:rPr>
                <w:rFonts w:ascii="Arial" w:cs="Arial" w:eastAsia="Arial" w:hAnsi="Arial"/>
                <w:sz w:val="18"/>
                <w:szCs w:val="18"/>
                <w:b w:val="1"/>
                <w:bCs w:val="1"/>
                <w:color w:val="auto"/>
              </w:rPr>
              <w:t>Total shares of common stock outstanding</w:t>
            </w:r>
          </w:p>
        </w:tc>
        <w:tc>
          <w:tcPr>
            <w:tcW w:w="6500" w:type="dxa"/>
            <w:vAlign w:val="bottom"/>
          </w:tcPr>
          <w:p>
            <w:pPr>
              <w:ind w:left="800"/>
              <w:spacing w:after="0"/>
              <w:rPr>
                <w:sz w:val="20"/>
                <w:szCs w:val="20"/>
                <w:color w:val="auto"/>
              </w:rPr>
            </w:pPr>
            <w:r>
              <w:rPr>
                <w:rFonts w:ascii="Arial" w:cs="Arial" w:eastAsia="Arial" w:hAnsi="Arial"/>
                <w:sz w:val="18"/>
                <w:szCs w:val="18"/>
                <w:color w:val="auto"/>
                <w:w w:val="92"/>
              </w:rPr>
              <w:t>12,126,209 as of January 30, 2009 (of which 6,695,709 shares currently were</w:t>
            </w:r>
          </w:p>
        </w:tc>
      </w:tr>
      <w:tr>
        <w:trPr>
          <w:trHeight w:val="230"/>
        </w:trPr>
        <w:tc>
          <w:tcPr>
            <w:tcW w:w="4920" w:type="dxa"/>
            <w:vAlign w:val="bottom"/>
          </w:tcPr>
          <w:p>
            <w:pPr>
              <w:spacing w:after="0"/>
              <w:rPr>
                <w:sz w:val="20"/>
                <w:szCs w:val="20"/>
                <w:color w:val="auto"/>
              </w:rPr>
            </w:pPr>
          </w:p>
        </w:tc>
        <w:tc>
          <w:tcPr>
            <w:tcW w:w="6500" w:type="dxa"/>
            <w:vAlign w:val="bottom"/>
          </w:tcPr>
          <w:p>
            <w:pPr>
              <w:ind w:left="800"/>
              <w:spacing w:after="0"/>
              <w:rPr>
                <w:sz w:val="20"/>
                <w:szCs w:val="20"/>
                <w:color w:val="auto"/>
              </w:rPr>
            </w:pPr>
            <w:r>
              <w:rPr>
                <w:rFonts w:ascii="Arial" w:cs="Arial" w:eastAsia="Arial" w:hAnsi="Arial"/>
                <w:sz w:val="18"/>
                <w:szCs w:val="18"/>
                <w:color w:val="auto"/>
              </w:rPr>
              <w:t>held by non-affiliates).</w:t>
            </w:r>
          </w:p>
        </w:tc>
      </w:tr>
      <w:tr>
        <w:trPr>
          <w:trHeight w:val="418"/>
        </w:trPr>
        <w:tc>
          <w:tcPr>
            <w:tcW w:w="4920" w:type="dxa"/>
            <w:vAlign w:val="bottom"/>
          </w:tcPr>
          <w:p>
            <w:pPr>
              <w:spacing w:after="0"/>
              <w:rPr>
                <w:sz w:val="20"/>
                <w:szCs w:val="20"/>
                <w:color w:val="auto"/>
              </w:rPr>
            </w:pPr>
            <w:r>
              <w:rPr>
                <w:rFonts w:ascii="Arial" w:cs="Arial" w:eastAsia="Arial" w:hAnsi="Arial"/>
                <w:sz w:val="18"/>
                <w:szCs w:val="18"/>
                <w:b w:val="1"/>
                <w:bCs w:val="1"/>
                <w:color w:val="auto"/>
                <w:w w:val="93"/>
              </w:rPr>
              <w:t>Common stock being offered for sale by selling stockholders</w:t>
            </w:r>
          </w:p>
        </w:tc>
        <w:tc>
          <w:tcPr>
            <w:tcW w:w="6500" w:type="dxa"/>
            <w:vAlign w:val="bottom"/>
          </w:tcPr>
          <w:p>
            <w:pPr>
              <w:ind w:left="800"/>
              <w:spacing w:after="0"/>
              <w:rPr>
                <w:sz w:val="20"/>
                <w:szCs w:val="20"/>
                <w:color w:val="auto"/>
              </w:rPr>
            </w:pPr>
            <w:r>
              <w:rPr>
                <w:rFonts w:ascii="Arial" w:cs="Arial" w:eastAsia="Arial" w:hAnsi="Arial"/>
                <w:sz w:val="18"/>
                <w:szCs w:val="18"/>
                <w:color w:val="auto"/>
                <w:w w:val="92"/>
              </w:rPr>
              <w:t>Up to 2,230,000 shares which may be issued to the selling stockholders upon</w:t>
            </w:r>
          </w:p>
        </w:tc>
      </w:tr>
      <w:tr>
        <w:trPr>
          <w:trHeight w:val="216"/>
        </w:trPr>
        <w:tc>
          <w:tcPr>
            <w:tcW w:w="4920" w:type="dxa"/>
            <w:vAlign w:val="bottom"/>
          </w:tcPr>
          <w:p>
            <w:pPr>
              <w:spacing w:after="0"/>
              <w:rPr>
                <w:sz w:val="18"/>
                <w:szCs w:val="18"/>
                <w:color w:val="auto"/>
              </w:rPr>
            </w:pPr>
          </w:p>
        </w:tc>
        <w:tc>
          <w:tcPr>
            <w:tcW w:w="6500" w:type="dxa"/>
            <w:vAlign w:val="bottom"/>
          </w:tcPr>
          <w:p>
            <w:pPr>
              <w:ind w:left="800"/>
              <w:spacing w:after="0"/>
              <w:rPr>
                <w:sz w:val="20"/>
                <w:szCs w:val="20"/>
                <w:color w:val="auto"/>
              </w:rPr>
            </w:pPr>
            <w:r>
              <w:rPr>
                <w:rFonts w:ascii="Arial" w:cs="Arial" w:eastAsia="Arial" w:hAnsi="Arial"/>
                <w:sz w:val="18"/>
                <w:szCs w:val="18"/>
                <w:color w:val="auto"/>
                <w:w w:val="92"/>
              </w:rPr>
              <w:t>their conversion of our Series A Preferred Stock and exercise of the Series A</w:t>
            </w:r>
          </w:p>
        </w:tc>
      </w:tr>
      <w:tr>
        <w:trPr>
          <w:trHeight w:val="216"/>
        </w:trPr>
        <w:tc>
          <w:tcPr>
            <w:tcW w:w="4920" w:type="dxa"/>
            <w:vAlign w:val="bottom"/>
          </w:tcPr>
          <w:p>
            <w:pPr>
              <w:spacing w:after="0"/>
              <w:rPr>
                <w:sz w:val="18"/>
                <w:szCs w:val="18"/>
                <w:color w:val="auto"/>
              </w:rPr>
            </w:pPr>
          </w:p>
        </w:tc>
        <w:tc>
          <w:tcPr>
            <w:tcW w:w="6500" w:type="dxa"/>
            <w:vAlign w:val="bottom"/>
          </w:tcPr>
          <w:p>
            <w:pPr>
              <w:ind w:left="800"/>
              <w:spacing w:after="0"/>
              <w:rPr>
                <w:sz w:val="20"/>
                <w:szCs w:val="20"/>
                <w:color w:val="auto"/>
              </w:rPr>
            </w:pPr>
            <w:r>
              <w:rPr>
                <w:rFonts w:ascii="Arial" w:cs="Arial" w:eastAsia="Arial" w:hAnsi="Arial"/>
                <w:sz w:val="18"/>
                <w:szCs w:val="18"/>
                <w:color w:val="auto"/>
                <w:w w:val="94"/>
              </w:rPr>
              <w:t>Warrants.  All of the shares offered by this prospectus are being sold by the</w:t>
            </w:r>
          </w:p>
        </w:tc>
      </w:tr>
      <w:tr>
        <w:trPr>
          <w:trHeight w:val="216"/>
        </w:trPr>
        <w:tc>
          <w:tcPr>
            <w:tcW w:w="4920" w:type="dxa"/>
            <w:vAlign w:val="bottom"/>
          </w:tcPr>
          <w:p>
            <w:pPr>
              <w:spacing w:after="0"/>
              <w:rPr>
                <w:sz w:val="18"/>
                <w:szCs w:val="18"/>
                <w:color w:val="auto"/>
              </w:rPr>
            </w:pPr>
          </w:p>
        </w:tc>
        <w:tc>
          <w:tcPr>
            <w:tcW w:w="6500" w:type="dxa"/>
            <w:vAlign w:val="bottom"/>
          </w:tcPr>
          <w:p>
            <w:pPr>
              <w:ind w:left="800"/>
              <w:spacing w:after="0"/>
              <w:rPr>
                <w:sz w:val="20"/>
                <w:szCs w:val="20"/>
                <w:color w:val="auto"/>
              </w:rPr>
            </w:pPr>
            <w:r>
              <w:rPr>
                <w:rFonts w:ascii="Arial" w:cs="Arial" w:eastAsia="Arial" w:hAnsi="Arial"/>
                <w:sz w:val="18"/>
                <w:szCs w:val="18"/>
                <w:color w:val="auto"/>
                <w:w w:val="90"/>
              </w:rPr>
              <w:t>selling stockholders. The shares offered by the selling stockholders pursuant to</w:t>
            </w:r>
          </w:p>
        </w:tc>
      </w:tr>
      <w:tr>
        <w:trPr>
          <w:trHeight w:val="216"/>
        </w:trPr>
        <w:tc>
          <w:tcPr>
            <w:tcW w:w="4920" w:type="dxa"/>
            <w:vAlign w:val="bottom"/>
          </w:tcPr>
          <w:p>
            <w:pPr>
              <w:spacing w:after="0"/>
              <w:rPr>
                <w:sz w:val="18"/>
                <w:szCs w:val="18"/>
                <w:color w:val="auto"/>
              </w:rPr>
            </w:pPr>
          </w:p>
        </w:tc>
        <w:tc>
          <w:tcPr>
            <w:tcW w:w="6500" w:type="dxa"/>
            <w:vAlign w:val="bottom"/>
          </w:tcPr>
          <w:p>
            <w:pPr>
              <w:ind w:left="800"/>
              <w:spacing w:after="0"/>
              <w:rPr>
                <w:sz w:val="20"/>
                <w:szCs w:val="20"/>
                <w:color w:val="auto"/>
              </w:rPr>
            </w:pPr>
            <w:r>
              <w:rPr>
                <w:rFonts w:ascii="Arial" w:cs="Arial" w:eastAsia="Arial" w:hAnsi="Arial"/>
                <w:sz w:val="18"/>
                <w:szCs w:val="18"/>
                <w:color w:val="auto"/>
                <w:w w:val="94"/>
              </w:rPr>
              <w:t>this prospectus represent 18.39 % of the total number of shares of common</w:t>
            </w:r>
          </w:p>
        </w:tc>
      </w:tr>
      <w:tr>
        <w:trPr>
          <w:trHeight w:val="216"/>
        </w:trPr>
        <w:tc>
          <w:tcPr>
            <w:tcW w:w="4920" w:type="dxa"/>
            <w:vAlign w:val="bottom"/>
          </w:tcPr>
          <w:p>
            <w:pPr>
              <w:spacing w:after="0"/>
              <w:rPr>
                <w:sz w:val="18"/>
                <w:szCs w:val="18"/>
                <w:color w:val="auto"/>
              </w:rPr>
            </w:pPr>
          </w:p>
        </w:tc>
        <w:tc>
          <w:tcPr>
            <w:tcW w:w="6500" w:type="dxa"/>
            <w:vAlign w:val="bottom"/>
          </w:tcPr>
          <w:p>
            <w:pPr>
              <w:ind w:left="800"/>
              <w:spacing w:after="0"/>
              <w:rPr>
                <w:sz w:val="20"/>
                <w:szCs w:val="20"/>
                <w:color w:val="auto"/>
              </w:rPr>
            </w:pPr>
            <w:r>
              <w:rPr>
                <w:rFonts w:ascii="Arial" w:cs="Arial" w:eastAsia="Arial" w:hAnsi="Arial"/>
                <w:sz w:val="18"/>
                <w:szCs w:val="18"/>
                <w:color w:val="auto"/>
              </w:rPr>
              <w:t>stock outstanding or 33.30 % of the number of non-affiliated shares of</w:t>
            </w:r>
          </w:p>
        </w:tc>
      </w:tr>
      <w:tr>
        <w:trPr>
          <w:trHeight w:val="216"/>
        </w:trPr>
        <w:tc>
          <w:tcPr>
            <w:tcW w:w="4920" w:type="dxa"/>
            <w:vAlign w:val="bottom"/>
          </w:tcPr>
          <w:p>
            <w:pPr>
              <w:spacing w:after="0"/>
              <w:rPr>
                <w:sz w:val="18"/>
                <w:szCs w:val="18"/>
                <w:color w:val="auto"/>
              </w:rPr>
            </w:pPr>
          </w:p>
        </w:tc>
        <w:tc>
          <w:tcPr>
            <w:tcW w:w="6500" w:type="dxa"/>
            <w:vAlign w:val="bottom"/>
          </w:tcPr>
          <w:p>
            <w:pPr>
              <w:ind w:left="800"/>
              <w:spacing w:after="0"/>
              <w:rPr>
                <w:sz w:val="20"/>
                <w:szCs w:val="20"/>
                <w:color w:val="auto"/>
              </w:rPr>
            </w:pPr>
            <w:r>
              <w:rPr>
                <w:rFonts w:ascii="Arial" w:cs="Arial" w:eastAsia="Arial" w:hAnsi="Arial"/>
                <w:sz w:val="18"/>
                <w:szCs w:val="18"/>
                <w:color w:val="auto"/>
                <w:w w:val="93"/>
              </w:rPr>
              <w:t>common stock outstanding. The selling stockholders will offer their shares at</w:t>
            </w:r>
          </w:p>
        </w:tc>
      </w:tr>
      <w:tr>
        <w:trPr>
          <w:trHeight w:val="216"/>
        </w:trPr>
        <w:tc>
          <w:tcPr>
            <w:tcW w:w="4920" w:type="dxa"/>
            <w:vAlign w:val="bottom"/>
          </w:tcPr>
          <w:p>
            <w:pPr>
              <w:spacing w:after="0"/>
              <w:rPr>
                <w:sz w:val="18"/>
                <w:szCs w:val="18"/>
                <w:color w:val="auto"/>
              </w:rPr>
            </w:pPr>
          </w:p>
        </w:tc>
        <w:tc>
          <w:tcPr>
            <w:tcW w:w="6500" w:type="dxa"/>
            <w:vAlign w:val="bottom"/>
          </w:tcPr>
          <w:p>
            <w:pPr>
              <w:ind w:left="800"/>
              <w:spacing w:after="0"/>
              <w:rPr>
                <w:sz w:val="20"/>
                <w:szCs w:val="20"/>
                <w:color w:val="auto"/>
              </w:rPr>
            </w:pPr>
            <w:r>
              <w:rPr>
                <w:rFonts w:ascii="Arial" w:cs="Arial" w:eastAsia="Arial" w:hAnsi="Arial"/>
                <w:sz w:val="18"/>
                <w:szCs w:val="18"/>
                <w:color w:val="auto"/>
                <w:w w:val="94"/>
              </w:rPr>
              <w:t>$4.00 per share until the Company’s shares are quoted on the OTC Bulletin</w:t>
            </w:r>
          </w:p>
        </w:tc>
      </w:tr>
      <w:tr>
        <w:trPr>
          <w:trHeight w:val="216"/>
        </w:trPr>
        <w:tc>
          <w:tcPr>
            <w:tcW w:w="4920" w:type="dxa"/>
            <w:vAlign w:val="bottom"/>
          </w:tcPr>
          <w:p>
            <w:pPr>
              <w:spacing w:after="0"/>
              <w:rPr>
                <w:sz w:val="18"/>
                <w:szCs w:val="18"/>
                <w:color w:val="auto"/>
              </w:rPr>
            </w:pPr>
          </w:p>
        </w:tc>
        <w:tc>
          <w:tcPr>
            <w:tcW w:w="6500" w:type="dxa"/>
            <w:vAlign w:val="bottom"/>
          </w:tcPr>
          <w:p>
            <w:pPr>
              <w:ind w:left="800"/>
              <w:spacing w:after="0"/>
              <w:rPr>
                <w:sz w:val="20"/>
                <w:szCs w:val="20"/>
                <w:color w:val="auto"/>
              </w:rPr>
            </w:pPr>
            <w:r>
              <w:rPr>
                <w:rFonts w:ascii="Arial" w:cs="Arial" w:eastAsia="Arial" w:hAnsi="Arial"/>
                <w:sz w:val="18"/>
                <w:szCs w:val="18"/>
                <w:color w:val="auto"/>
                <w:w w:val="98"/>
              </w:rPr>
              <w:t>Board and, assuming we secure this qualification, thereafter at prevailing</w:t>
            </w:r>
          </w:p>
        </w:tc>
      </w:tr>
      <w:tr>
        <w:trPr>
          <w:trHeight w:val="230"/>
        </w:trPr>
        <w:tc>
          <w:tcPr>
            <w:tcW w:w="4920" w:type="dxa"/>
            <w:vAlign w:val="bottom"/>
          </w:tcPr>
          <w:p>
            <w:pPr>
              <w:spacing w:after="0"/>
              <w:rPr>
                <w:sz w:val="20"/>
                <w:szCs w:val="20"/>
                <w:color w:val="auto"/>
              </w:rPr>
            </w:pPr>
          </w:p>
        </w:tc>
        <w:tc>
          <w:tcPr>
            <w:tcW w:w="6500" w:type="dxa"/>
            <w:vAlign w:val="bottom"/>
          </w:tcPr>
          <w:p>
            <w:pPr>
              <w:ind w:left="800"/>
              <w:spacing w:after="0"/>
              <w:rPr>
                <w:sz w:val="20"/>
                <w:szCs w:val="20"/>
                <w:color w:val="auto"/>
              </w:rPr>
            </w:pPr>
            <w:r>
              <w:rPr>
                <w:rFonts w:ascii="Arial" w:cs="Arial" w:eastAsia="Arial" w:hAnsi="Arial"/>
                <w:sz w:val="18"/>
                <w:szCs w:val="18"/>
                <w:color w:val="auto"/>
              </w:rPr>
              <w:t>market prices or privately negotiated prices.</w:t>
            </w:r>
          </w:p>
        </w:tc>
      </w:tr>
      <w:tr>
        <w:trPr>
          <w:trHeight w:val="418"/>
        </w:trPr>
        <w:tc>
          <w:tcPr>
            <w:tcW w:w="4920" w:type="dxa"/>
            <w:vAlign w:val="bottom"/>
          </w:tcPr>
          <w:p>
            <w:pPr>
              <w:spacing w:after="0"/>
              <w:rPr>
                <w:sz w:val="20"/>
                <w:szCs w:val="20"/>
                <w:color w:val="auto"/>
              </w:rPr>
            </w:pPr>
            <w:r>
              <w:rPr>
                <w:rFonts w:ascii="Arial" w:cs="Arial" w:eastAsia="Arial" w:hAnsi="Arial"/>
                <w:sz w:val="18"/>
                <w:szCs w:val="18"/>
                <w:b w:val="1"/>
                <w:bCs w:val="1"/>
                <w:color w:val="auto"/>
              </w:rPr>
              <w:t>Risk factors</w:t>
            </w:r>
          </w:p>
        </w:tc>
        <w:tc>
          <w:tcPr>
            <w:tcW w:w="6500" w:type="dxa"/>
            <w:vAlign w:val="bottom"/>
          </w:tcPr>
          <w:p>
            <w:pPr>
              <w:ind w:left="800"/>
              <w:spacing w:after="0"/>
              <w:rPr>
                <w:sz w:val="20"/>
                <w:szCs w:val="20"/>
                <w:color w:val="auto"/>
              </w:rPr>
            </w:pPr>
            <w:r>
              <w:rPr>
                <w:rFonts w:ascii="Arial" w:cs="Arial" w:eastAsia="Arial" w:hAnsi="Arial"/>
                <w:sz w:val="18"/>
                <w:szCs w:val="18"/>
                <w:color w:val="auto"/>
                <w:w w:val="93"/>
              </w:rPr>
              <w:t>The shares involve a high degree of risk. Investors should carefully consider</w:t>
            </w:r>
          </w:p>
        </w:tc>
      </w:tr>
      <w:tr>
        <w:trPr>
          <w:trHeight w:val="230"/>
        </w:trPr>
        <w:tc>
          <w:tcPr>
            <w:tcW w:w="4920" w:type="dxa"/>
            <w:vAlign w:val="bottom"/>
          </w:tcPr>
          <w:p>
            <w:pPr>
              <w:spacing w:after="0"/>
              <w:rPr>
                <w:sz w:val="20"/>
                <w:szCs w:val="20"/>
                <w:color w:val="auto"/>
              </w:rPr>
            </w:pPr>
          </w:p>
        </w:tc>
        <w:tc>
          <w:tcPr>
            <w:tcW w:w="6500" w:type="dxa"/>
            <w:vAlign w:val="bottom"/>
          </w:tcPr>
          <w:p>
            <w:pPr>
              <w:ind w:left="800"/>
              <w:spacing w:after="0"/>
              <w:rPr>
                <w:sz w:val="20"/>
                <w:szCs w:val="20"/>
                <w:color w:val="auto"/>
              </w:rPr>
            </w:pPr>
            <w:r>
              <w:rPr>
                <w:rFonts w:ascii="Arial" w:cs="Arial" w:eastAsia="Arial" w:hAnsi="Arial"/>
                <w:sz w:val="18"/>
                <w:szCs w:val="18"/>
                <w:color w:val="auto"/>
              </w:rPr>
              <w:t>the information set forth under “RISK FACTORS” beginning on page 7.</w:t>
            </w:r>
          </w:p>
        </w:tc>
      </w:tr>
      <w:tr>
        <w:trPr>
          <w:trHeight w:val="418"/>
        </w:trPr>
        <w:tc>
          <w:tcPr>
            <w:tcW w:w="4920" w:type="dxa"/>
            <w:vAlign w:val="bottom"/>
          </w:tcPr>
          <w:p>
            <w:pPr>
              <w:spacing w:after="0"/>
              <w:rPr>
                <w:sz w:val="20"/>
                <w:szCs w:val="20"/>
                <w:color w:val="auto"/>
              </w:rPr>
            </w:pPr>
            <w:r>
              <w:rPr>
                <w:rFonts w:ascii="Arial" w:cs="Arial" w:eastAsia="Arial" w:hAnsi="Arial"/>
                <w:sz w:val="18"/>
                <w:szCs w:val="18"/>
                <w:b w:val="1"/>
                <w:bCs w:val="1"/>
                <w:color w:val="auto"/>
              </w:rPr>
              <w:t>Use of proceeds</w:t>
            </w:r>
          </w:p>
        </w:tc>
        <w:tc>
          <w:tcPr>
            <w:tcW w:w="6500" w:type="dxa"/>
            <w:vAlign w:val="bottom"/>
          </w:tcPr>
          <w:p>
            <w:pPr>
              <w:ind w:left="800"/>
              <w:spacing w:after="0"/>
              <w:rPr>
                <w:sz w:val="20"/>
                <w:szCs w:val="20"/>
                <w:color w:val="auto"/>
              </w:rPr>
            </w:pPr>
            <w:r>
              <w:rPr>
                <w:rFonts w:ascii="Arial" w:cs="Arial" w:eastAsia="Arial" w:hAnsi="Arial"/>
                <w:sz w:val="18"/>
                <w:szCs w:val="18"/>
                <w:color w:val="auto"/>
                <w:w w:val="93"/>
              </w:rPr>
              <w:t>We will not receive any proceeds from the sale of our common stock offered</w:t>
            </w:r>
          </w:p>
        </w:tc>
      </w:tr>
      <w:tr>
        <w:trPr>
          <w:trHeight w:val="216"/>
        </w:trPr>
        <w:tc>
          <w:tcPr>
            <w:tcW w:w="4920" w:type="dxa"/>
            <w:vAlign w:val="bottom"/>
          </w:tcPr>
          <w:p>
            <w:pPr>
              <w:spacing w:after="0"/>
              <w:rPr>
                <w:sz w:val="18"/>
                <w:szCs w:val="18"/>
                <w:color w:val="auto"/>
              </w:rPr>
            </w:pPr>
          </w:p>
        </w:tc>
        <w:tc>
          <w:tcPr>
            <w:tcW w:w="6500" w:type="dxa"/>
            <w:vAlign w:val="bottom"/>
          </w:tcPr>
          <w:p>
            <w:pPr>
              <w:ind w:left="800"/>
              <w:spacing w:after="0"/>
              <w:rPr>
                <w:sz w:val="20"/>
                <w:szCs w:val="20"/>
                <w:color w:val="auto"/>
              </w:rPr>
            </w:pPr>
            <w:r>
              <w:rPr>
                <w:rFonts w:ascii="Arial" w:cs="Arial" w:eastAsia="Arial" w:hAnsi="Arial"/>
                <w:sz w:val="18"/>
                <w:szCs w:val="18"/>
                <w:color w:val="auto"/>
                <w:w w:val="93"/>
              </w:rPr>
              <w:t>through this prospectus by the selling stockholders. However, we will receive</w:t>
            </w:r>
          </w:p>
        </w:tc>
      </w:tr>
      <w:tr>
        <w:trPr>
          <w:trHeight w:val="216"/>
        </w:trPr>
        <w:tc>
          <w:tcPr>
            <w:tcW w:w="4920" w:type="dxa"/>
            <w:vAlign w:val="bottom"/>
          </w:tcPr>
          <w:p>
            <w:pPr>
              <w:spacing w:after="0"/>
              <w:rPr>
                <w:sz w:val="18"/>
                <w:szCs w:val="18"/>
                <w:color w:val="auto"/>
              </w:rPr>
            </w:pPr>
          </w:p>
        </w:tc>
        <w:tc>
          <w:tcPr>
            <w:tcW w:w="6500" w:type="dxa"/>
            <w:vAlign w:val="bottom"/>
          </w:tcPr>
          <w:p>
            <w:pPr>
              <w:ind w:left="800"/>
              <w:spacing w:after="0"/>
              <w:rPr>
                <w:sz w:val="20"/>
                <w:szCs w:val="20"/>
                <w:color w:val="auto"/>
              </w:rPr>
            </w:pPr>
            <w:r>
              <w:rPr>
                <w:rFonts w:ascii="Arial" w:cs="Arial" w:eastAsia="Arial" w:hAnsi="Arial"/>
                <w:sz w:val="18"/>
                <w:szCs w:val="18"/>
                <w:color w:val="auto"/>
                <w:w w:val="96"/>
              </w:rPr>
              <w:t>the sale price of any common stock we sell to the selling stockholder upon</w:t>
            </w:r>
          </w:p>
        </w:tc>
      </w:tr>
      <w:tr>
        <w:trPr>
          <w:trHeight w:val="216"/>
        </w:trPr>
        <w:tc>
          <w:tcPr>
            <w:tcW w:w="4920" w:type="dxa"/>
            <w:vAlign w:val="bottom"/>
          </w:tcPr>
          <w:p>
            <w:pPr>
              <w:spacing w:after="0"/>
              <w:rPr>
                <w:sz w:val="18"/>
                <w:szCs w:val="18"/>
                <w:color w:val="auto"/>
              </w:rPr>
            </w:pPr>
          </w:p>
        </w:tc>
        <w:tc>
          <w:tcPr>
            <w:tcW w:w="6500" w:type="dxa"/>
            <w:vAlign w:val="bottom"/>
          </w:tcPr>
          <w:p>
            <w:pPr>
              <w:ind w:left="800"/>
              <w:spacing w:after="0"/>
              <w:rPr>
                <w:sz w:val="20"/>
                <w:szCs w:val="20"/>
                <w:color w:val="auto"/>
              </w:rPr>
            </w:pPr>
            <w:r>
              <w:rPr>
                <w:rFonts w:ascii="Arial" w:cs="Arial" w:eastAsia="Arial" w:hAnsi="Arial"/>
                <w:sz w:val="18"/>
                <w:szCs w:val="18"/>
                <w:color w:val="auto"/>
                <w:w w:val="94"/>
              </w:rPr>
              <w:t>exercise of the warrants.  We expect to use the proceeds received from the</w:t>
            </w:r>
          </w:p>
        </w:tc>
      </w:tr>
      <w:tr>
        <w:trPr>
          <w:trHeight w:val="216"/>
        </w:trPr>
        <w:tc>
          <w:tcPr>
            <w:tcW w:w="4920" w:type="dxa"/>
            <w:vAlign w:val="bottom"/>
          </w:tcPr>
          <w:p>
            <w:pPr>
              <w:spacing w:after="0"/>
              <w:rPr>
                <w:sz w:val="18"/>
                <w:szCs w:val="18"/>
                <w:color w:val="auto"/>
              </w:rPr>
            </w:pPr>
          </w:p>
        </w:tc>
        <w:tc>
          <w:tcPr>
            <w:tcW w:w="6500" w:type="dxa"/>
            <w:vAlign w:val="bottom"/>
          </w:tcPr>
          <w:p>
            <w:pPr>
              <w:ind w:left="800"/>
              <w:spacing w:after="0"/>
              <w:rPr>
                <w:sz w:val="20"/>
                <w:szCs w:val="20"/>
                <w:color w:val="auto"/>
              </w:rPr>
            </w:pPr>
            <w:r>
              <w:rPr>
                <w:rFonts w:ascii="Arial" w:cs="Arial" w:eastAsia="Arial" w:hAnsi="Arial"/>
                <w:sz w:val="18"/>
                <w:szCs w:val="18"/>
                <w:color w:val="auto"/>
                <w:w w:val="98"/>
              </w:rPr>
              <w:t>exercise of the warrants, if any, for general working capital purposes.  All</w:t>
            </w:r>
          </w:p>
        </w:tc>
      </w:tr>
      <w:tr>
        <w:trPr>
          <w:trHeight w:val="216"/>
        </w:trPr>
        <w:tc>
          <w:tcPr>
            <w:tcW w:w="4920" w:type="dxa"/>
            <w:vAlign w:val="bottom"/>
          </w:tcPr>
          <w:p>
            <w:pPr>
              <w:spacing w:after="0"/>
              <w:rPr>
                <w:sz w:val="18"/>
                <w:szCs w:val="18"/>
                <w:color w:val="auto"/>
              </w:rPr>
            </w:pPr>
          </w:p>
        </w:tc>
        <w:tc>
          <w:tcPr>
            <w:tcW w:w="6500" w:type="dxa"/>
            <w:vAlign w:val="bottom"/>
          </w:tcPr>
          <w:p>
            <w:pPr>
              <w:ind w:left="800"/>
              <w:spacing w:after="0"/>
              <w:rPr>
                <w:sz w:val="20"/>
                <w:szCs w:val="20"/>
                <w:color w:val="auto"/>
              </w:rPr>
            </w:pPr>
            <w:r>
              <w:rPr>
                <w:rFonts w:ascii="Arial" w:cs="Arial" w:eastAsia="Arial" w:hAnsi="Arial"/>
                <w:sz w:val="18"/>
                <w:szCs w:val="18"/>
                <w:color w:val="auto"/>
                <w:w w:val="90"/>
              </w:rPr>
              <w:t>proceeds from the sale of our common stock sold under this Prospectus will go</w:t>
            </w:r>
          </w:p>
        </w:tc>
      </w:tr>
      <w:tr>
        <w:trPr>
          <w:trHeight w:val="230"/>
        </w:trPr>
        <w:tc>
          <w:tcPr>
            <w:tcW w:w="4920" w:type="dxa"/>
            <w:vAlign w:val="bottom"/>
          </w:tcPr>
          <w:p>
            <w:pPr>
              <w:spacing w:after="0"/>
              <w:rPr>
                <w:sz w:val="20"/>
                <w:szCs w:val="20"/>
                <w:color w:val="auto"/>
              </w:rPr>
            </w:pPr>
          </w:p>
        </w:tc>
        <w:tc>
          <w:tcPr>
            <w:tcW w:w="6500" w:type="dxa"/>
            <w:vAlign w:val="bottom"/>
          </w:tcPr>
          <w:p>
            <w:pPr>
              <w:ind w:left="800"/>
              <w:spacing w:after="0"/>
              <w:rPr>
                <w:sz w:val="20"/>
                <w:szCs w:val="20"/>
                <w:color w:val="auto"/>
              </w:rPr>
            </w:pPr>
            <w:r>
              <w:rPr>
                <w:rFonts w:ascii="Arial" w:cs="Arial" w:eastAsia="Arial" w:hAnsi="Arial"/>
                <w:sz w:val="18"/>
                <w:szCs w:val="18"/>
                <w:color w:val="auto"/>
              </w:rPr>
              <w:t>to the selling stockholders.</w:t>
            </w:r>
          </w:p>
        </w:tc>
      </w:tr>
      <w:tr>
        <w:trPr>
          <w:trHeight w:val="432"/>
        </w:trPr>
        <w:tc>
          <w:tcPr>
            <w:tcW w:w="4920" w:type="dxa"/>
            <w:vAlign w:val="bottom"/>
          </w:tcPr>
          <w:p>
            <w:pPr>
              <w:spacing w:after="0"/>
              <w:rPr>
                <w:sz w:val="20"/>
                <w:szCs w:val="20"/>
                <w:color w:val="auto"/>
              </w:rPr>
            </w:pPr>
            <w:r>
              <w:rPr>
                <w:rFonts w:ascii="Arial" w:cs="Arial" w:eastAsia="Arial" w:hAnsi="Arial"/>
                <w:sz w:val="18"/>
                <w:szCs w:val="18"/>
                <w:b w:val="1"/>
                <w:bCs w:val="1"/>
                <w:color w:val="auto"/>
              </w:rPr>
              <w:t>Trading symbol for our common stock</w:t>
            </w:r>
          </w:p>
        </w:tc>
        <w:tc>
          <w:tcPr>
            <w:tcW w:w="6500" w:type="dxa"/>
            <w:vAlign w:val="bottom"/>
          </w:tcPr>
          <w:p>
            <w:pPr>
              <w:ind w:left="800"/>
              <w:spacing w:after="0"/>
              <w:rPr>
                <w:sz w:val="20"/>
                <w:szCs w:val="20"/>
                <w:color w:val="auto"/>
              </w:rPr>
            </w:pPr>
            <w:r>
              <w:rPr>
                <w:rFonts w:ascii="Arial" w:cs="Arial" w:eastAsia="Arial" w:hAnsi="Arial"/>
                <w:sz w:val="18"/>
                <w:szCs w:val="18"/>
                <w:color w:val="auto"/>
              </w:rPr>
              <w:t>OPRX</w:t>
            </w:r>
          </w:p>
        </w:tc>
      </w:tr>
      <w:tr>
        <w:trPr>
          <w:trHeight w:val="729"/>
        </w:trPr>
        <w:tc>
          <w:tcPr>
            <w:tcW w:w="4920" w:type="dxa"/>
            <w:vAlign w:val="bottom"/>
          </w:tcPr>
          <w:p>
            <w:pPr>
              <w:spacing w:after="0"/>
              <w:rPr>
                <w:sz w:val="24"/>
                <w:szCs w:val="24"/>
                <w:color w:val="auto"/>
              </w:rPr>
            </w:pPr>
          </w:p>
        </w:tc>
        <w:tc>
          <w:tcPr>
            <w:tcW w:w="6500" w:type="dxa"/>
            <w:vAlign w:val="bottom"/>
          </w:tcPr>
          <w:p>
            <w:pPr>
              <w:ind w:left="740"/>
              <w:spacing w:after="0"/>
              <w:rPr>
                <w:sz w:val="20"/>
                <w:szCs w:val="20"/>
                <w:color w:val="auto"/>
              </w:rPr>
            </w:pPr>
            <w:r>
              <w:rPr>
                <w:rFonts w:ascii="Arial" w:cs="Arial" w:eastAsia="Arial" w:hAnsi="Arial"/>
                <w:sz w:val="18"/>
                <w:szCs w:val="18"/>
                <w:color w:val="auto"/>
              </w:rPr>
              <w:t>4</w:t>
            </w:r>
          </w:p>
        </w:tc>
      </w:tr>
      <w:tr>
        <w:trPr>
          <w:trHeight w:val="108"/>
        </w:trPr>
        <w:tc>
          <w:tcPr>
            <w:tcW w:w="4920" w:type="dxa"/>
            <w:vAlign w:val="bottom"/>
            <w:tcBorders>
              <w:bottom w:val="single" w:sz="8" w:color="808080"/>
            </w:tcBorders>
          </w:tcPr>
          <w:p>
            <w:pPr>
              <w:spacing w:after="0"/>
              <w:rPr>
                <w:sz w:val="9"/>
                <w:szCs w:val="9"/>
                <w:color w:val="auto"/>
              </w:rPr>
            </w:pPr>
          </w:p>
        </w:tc>
        <w:tc>
          <w:tcPr>
            <w:tcW w:w="6500" w:type="dxa"/>
            <w:vAlign w:val="bottom"/>
            <w:tcBorders>
              <w:bottom w:val="single" w:sz="8" w:color="808080"/>
            </w:tcBorders>
          </w:tcPr>
          <w:p>
            <w:pPr>
              <w:spacing w:after="0"/>
              <w:rPr>
                <w:sz w:val="9"/>
                <w:szCs w:val="9"/>
                <w:color w:val="auto"/>
              </w:rPr>
            </w:pPr>
          </w:p>
        </w:tc>
      </w:tr>
    </w:tbl>
    <w:p>
      <w:pPr>
        <w:sectPr>
          <w:pgSz w:w="11900" w:h="16838" w:orient="portrait"/>
          <w:cols w:equalWidth="0" w:num="1">
            <w:col w:w="11420"/>
          </w:cols>
          <w:pgMar w:left="240" w:top="607" w:right="239" w:bottom="1440" w:gutter="0" w:footer="0" w:header="0"/>
        </w:sectPr>
      </w:pPr>
    </w:p>
    <w:bookmarkStart w:id="4" w:name="page5"/>
    <w:bookmarkEnd w:id="4"/>
    <w:p>
      <w:pPr>
        <w:jc w:val="center"/>
        <w:spacing w:after="0"/>
        <w:rPr>
          <w:sz w:val="20"/>
          <w:szCs w:val="20"/>
          <w:color w:val="auto"/>
        </w:rPr>
      </w:pPr>
      <w:r>
        <w:rPr>
          <w:rFonts w:ascii="Arial" w:cs="Arial" w:eastAsia="Arial" w:hAnsi="Arial"/>
          <w:sz w:val="18"/>
          <w:szCs w:val="18"/>
          <w:b w:val="1"/>
          <w:bCs w:val="1"/>
          <w:color w:val="auto"/>
        </w:rPr>
        <w:t>RISK FACTORS</w:t>
      </w:r>
    </w:p>
    <w:p>
      <w:pPr>
        <w:spacing w:after="0" w:line="283"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18"/>
          <w:szCs w:val="18"/>
          <w:color w:val="auto"/>
        </w:rPr>
        <w:t>This investment has a high degree of risk. Before you invest you should carefully consider the risks and uncertainties described below, and the other information included in this prospectus. If any of the following risks actually occur, our business, operating results and financial condition could be harmed and the value of our stock could go down. This means you could lose all or a part of your investment.</w:t>
      </w:r>
    </w:p>
    <w:p>
      <w:pPr>
        <w:spacing w:after="0" w:line="23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Related to Our Operations and Financial Performance</w:t>
      </w:r>
    </w:p>
    <w:p>
      <w:pPr>
        <w:spacing w:after="0" w:line="28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We Are A Development Stage Company And May Never Earn A Profit.</w:t>
      </w:r>
    </w:p>
    <w:p>
      <w:pPr>
        <w:spacing w:after="0" w:line="279" w:lineRule="exact"/>
        <w:rPr>
          <w:sz w:val="20"/>
          <w:szCs w:val="20"/>
          <w:color w:val="auto"/>
        </w:rPr>
      </w:pPr>
    </w:p>
    <w:p>
      <w:pPr>
        <w:jc w:val="both"/>
        <w:ind w:firstLine="648"/>
        <w:spacing w:after="0" w:line="255" w:lineRule="auto"/>
        <w:rPr>
          <w:sz w:val="20"/>
          <w:szCs w:val="20"/>
          <w:color w:val="auto"/>
        </w:rPr>
      </w:pPr>
      <w:r>
        <w:rPr>
          <w:rFonts w:ascii="Arial" w:cs="Arial" w:eastAsia="Arial" w:hAnsi="Arial"/>
          <w:sz w:val="18"/>
          <w:szCs w:val="18"/>
          <w:color w:val="auto"/>
        </w:rPr>
        <w:t>We are a development stage company and have incurred losses since we were formed. We have incurred net losses of $569,954 for the nine months ended September 30, 2008 and incurred cumulative losses since our inception on January 31, 2006 of $964,881. Although we now have three commercial marketing platforms that we anticipate to be viewed as unique and valuable to our targeted customers, the amount of revenue from operations will result in substantial net losses within the next year or longer. We cannot predict the extent of these future net losses, or when we may attain profitability, if at all. If we are unable to generate significant revenue or attain profitability, we will not be able to sustain operations and will have to curtail significantly or cease operations.</w:t>
      </w:r>
    </w:p>
    <w:p>
      <w:pPr>
        <w:spacing w:after="0" w:line="247" w:lineRule="exact"/>
        <w:rPr>
          <w:sz w:val="20"/>
          <w:szCs w:val="20"/>
          <w:color w:val="auto"/>
        </w:rPr>
      </w:pPr>
    </w:p>
    <w:p>
      <w:pPr>
        <w:jc w:val="both"/>
        <w:spacing w:after="0" w:line="277" w:lineRule="auto"/>
        <w:rPr>
          <w:sz w:val="20"/>
          <w:szCs w:val="20"/>
          <w:color w:val="auto"/>
        </w:rPr>
      </w:pPr>
      <w:r>
        <w:rPr>
          <w:rFonts w:ascii="Arial" w:cs="Arial" w:eastAsia="Arial" w:hAnsi="Arial"/>
          <w:sz w:val="18"/>
          <w:szCs w:val="18"/>
          <w:b w:val="1"/>
          <w:bCs w:val="1"/>
          <w:i w:val="1"/>
          <w:iCs w:val="1"/>
          <w:color w:val="auto"/>
        </w:rPr>
        <w:t>If we are unable to provide content, offers and services that attract and retain users to OptimizeRx.com on a consistent basis, our advertising and sponsorship revenue could be reduced</w:t>
      </w:r>
    </w:p>
    <w:p>
      <w:pPr>
        <w:spacing w:after="0" w:line="224"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 xml:space="preserve">Users of </w:t>
      </w:r>
      <w:r>
        <w:rPr>
          <w:rFonts w:ascii="Arial" w:cs="Arial" w:eastAsia="Arial" w:hAnsi="Arial"/>
          <w:sz w:val="18"/>
          <w:szCs w:val="18"/>
          <w:i w:val="1"/>
          <w:iCs w:val="1"/>
          <w:color w:val="auto"/>
        </w:rPr>
        <w:t>OptimizeRx.com</w:t>
      </w:r>
      <w:r>
        <w:rPr>
          <w:rFonts w:ascii="Arial" w:cs="Arial" w:eastAsia="Arial" w:hAnsi="Arial"/>
          <w:sz w:val="18"/>
          <w:szCs w:val="18"/>
          <w:color w:val="auto"/>
        </w:rPr>
        <w:t xml:space="preserve"> have numerous other online and offline sources of healthcare information services. Our ability to compete for user traffic on our public portals depends upon our ability to make available a variety of health and medical content, decision-support applications and other services that meet the needs of a variety of types of users, including consumers, pharmaceutical companies and other healthcare professionals, with a variety of reasons for seeking information. Our ability to do so depends, in turn, on:</w:t>
      </w:r>
    </w:p>
    <w:p>
      <w:pPr>
        <w:spacing w:after="0" w:line="241" w:lineRule="exact"/>
        <w:rPr>
          <w:sz w:val="20"/>
          <w:szCs w:val="20"/>
          <w:color w:val="auto"/>
        </w:rPr>
      </w:pPr>
    </w:p>
    <w:p>
      <w:pPr>
        <w:ind w:left="1160" w:hanging="571"/>
        <w:spacing w:after="0"/>
        <w:tabs>
          <w:tab w:leader="none" w:pos="1160" w:val="left"/>
        </w:tabs>
        <w:numPr>
          <w:ilvl w:val="0"/>
          <w:numId w:val="2"/>
        </w:numPr>
        <w:rPr>
          <w:rFonts w:ascii="Arial" w:cs="Arial" w:eastAsia="Arial" w:hAnsi="Arial"/>
          <w:sz w:val="18"/>
          <w:szCs w:val="18"/>
          <w:color w:val="auto"/>
        </w:rPr>
      </w:pPr>
      <w:r>
        <w:rPr>
          <w:rFonts w:ascii="Arial" w:cs="Arial" w:eastAsia="Arial" w:hAnsi="Arial"/>
          <w:sz w:val="18"/>
          <w:szCs w:val="18"/>
          <w:color w:val="auto"/>
        </w:rPr>
        <w:t>our ability to hire and retain qualified authors, journalists and independent writers;</w:t>
      </w:r>
    </w:p>
    <w:p>
      <w:pPr>
        <w:spacing w:after="0" w:line="225" w:lineRule="exact"/>
        <w:rPr>
          <w:rFonts w:ascii="Arial" w:cs="Arial" w:eastAsia="Arial" w:hAnsi="Arial"/>
          <w:sz w:val="18"/>
          <w:szCs w:val="18"/>
          <w:color w:val="auto"/>
        </w:rPr>
      </w:pPr>
    </w:p>
    <w:p>
      <w:pPr>
        <w:ind w:left="1160" w:hanging="571"/>
        <w:spacing w:after="0"/>
        <w:tabs>
          <w:tab w:leader="none" w:pos="1160" w:val="left"/>
        </w:tabs>
        <w:numPr>
          <w:ilvl w:val="0"/>
          <w:numId w:val="2"/>
        </w:numPr>
        <w:rPr>
          <w:rFonts w:ascii="Arial" w:cs="Arial" w:eastAsia="Arial" w:hAnsi="Arial"/>
          <w:sz w:val="18"/>
          <w:szCs w:val="18"/>
          <w:color w:val="auto"/>
        </w:rPr>
      </w:pPr>
      <w:r>
        <w:rPr>
          <w:rFonts w:ascii="Arial" w:cs="Arial" w:eastAsia="Arial" w:hAnsi="Arial"/>
          <w:sz w:val="18"/>
          <w:szCs w:val="18"/>
          <w:color w:val="auto"/>
        </w:rPr>
        <w:t>our ability to license quality content from third parties; and promote abundant health savings and support offers</w:t>
      </w:r>
    </w:p>
    <w:p>
      <w:pPr>
        <w:spacing w:after="0" w:line="225" w:lineRule="exact"/>
        <w:rPr>
          <w:rFonts w:ascii="Arial" w:cs="Arial" w:eastAsia="Arial" w:hAnsi="Arial"/>
          <w:sz w:val="18"/>
          <w:szCs w:val="18"/>
          <w:color w:val="auto"/>
        </w:rPr>
      </w:pPr>
    </w:p>
    <w:p>
      <w:pPr>
        <w:ind w:left="1160" w:hanging="571"/>
        <w:spacing w:after="0"/>
        <w:tabs>
          <w:tab w:leader="none" w:pos="1160" w:val="left"/>
        </w:tabs>
        <w:numPr>
          <w:ilvl w:val="0"/>
          <w:numId w:val="2"/>
        </w:numPr>
        <w:rPr>
          <w:rFonts w:ascii="Arial" w:cs="Arial" w:eastAsia="Arial" w:hAnsi="Arial"/>
          <w:sz w:val="18"/>
          <w:szCs w:val="18"/>
          <w:color w:val="auto"/>
        </w:rPr>
      </w:pPr>
      <w:r>
        <w:rPr>
          <w:rFonts w:ascii="Arial" w:cs="Arial" w:eastAsia="Arial" w:hAnsi="Arial"/>
          <w:sz w:val="18"/>
          <w:szCs w:val="18"/>
          <w:color w:val="auto"/>
        </w:rPr>
        <w:t>our ability to monitor and respond to increases and decreases in user interest in specific medications.</w:t>
      </w:r>
    </w:p>
    <w:p>
      <w:pPr>
        <w:spacing w:after="0" w:line="279"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 xml:space="preserve">We cannot assure you that we will be able to continue to develop or acquire needed content, applications and tools at a reasonable cost. In addition, since consumer users of our public portals may be attracted to </w:t>
      </w:r>
      <w:r>
        <w:rPr>
          <w:rFonts w:ascii="Arial" w:cs="Arial" w:eastAsia="Arial" w:hAnsi="Arial"/>
          <w:sz w:val="18"/>
          <w:szCs w:val="18"/>
          <w:i w:val="1"/>
          <w:iCs w:val="1"/>
          <w:color w:val="auto"/>
        </w:rPr>
        <w:t>OptimizeRx.com</w:t>
      </w:r>
      <w:r>
        <w:rPr>
          <w:rFonts w:ascii="Arial" w:cs="Arial" w:eastAsia="Arial" w:hAnsi="Arial"/>
          <w:sz w:val="18"/>
          <w:szCs w:val="18"/>
          <w:color w:val="auto"/>
        </w:rPr>
        <w:t xml:space="preserve"> as a result of a specific condition or for a specific purpose, it is difficult for us to predict the rate at which they will return to the public portals. Because we generate revenue by, among other things, selling sponsorships of specific pages, sections or events on </w:t>
      </w:r>
      <w:r>
        <w:rPr>
          <w:rFonts w:ascii="Arial" w:cs="Arial" w:eastAsia="Arial" w:hAnsi="Arial"/>
          <w:sz w:val="18"/>
          <w:szCs w:val="18"/>
          <w:i w:val="1"/>
          <w:iCs w:val="1"/>
          <w:color w:val="auto"/>
        </w:rPr>
        <w:t>OptimizeRx.com</w:t>
      </w:r>
      <w:r>
        <w:rPr>
          <w:rFonts w:ascii="Arial" w:cs="Arial" w:eastAsia="Arial" w:hAnsi="Arial"/>
          <w:sz w:val="18"/>
          <w:szCs w:val="18"/>
          <w:color w:val="auto"/>
        </w:rPr>
        <w:t xml:space="preserve"> , a decline in user traffic levels or a reduction in the number of pages viewed by users could cause our revenue to decrease and could have a material adverse effect on our results of operations.</w:t>
      </w:r>
    </w:p>
    <w:p>
      <w:pPr>
        <w:spacing w:after="0" w:line="242" w:lineRule="exact"/>
        <w:rPr>
          <w:sz w:val="20"/>
          <w:szCs w:val="20"/>
          <w:color w:val="auto"/>
        </w:rPr>
      </w:pPr>
    </w:p>
    <w:p>
      <w:pPr>
        <w:jc w:val="both"/>
        <w:spacing w:after="0" w:line="308" w:lineRule="auto"/>
        <w:rPr>
          <w:sz w:val="20"/>
          <w:szCs w:val="20"/>
          <w:color w:val="auto"/>
        </w:rPr>
      </w:pPr>
      <w:r>
        <w:rPr>
          <w:rFonts w:ascii="Arial" w:cs="Arial" w:eastAsia="Arial" w:hAnsi="Arial"/>
          <w:sz w:val="17"/>
          <w:szCs w:val="17"/>
          <w:b w:val="1"/>
          <w:bCs w:val="1"/>
          <w:i w:val="1"/>
          <w:iCs w:val="1"/>
          <w:color w:val="auto"/>
        </w:rPr>
        <w:t>Developing and implementing new and updated applications, features and services for our public and private portals may be more difficult than expected, may take longer and cost more than expected and may not result in sufficient increases in revenue to justify the costs</w:t>
      </w:r>
    </w:p>
    <w:p>
      <w:pPr>
        <w:spacing w:after="0" w:line="201" w:lineRule="exact"/>
        <w:rPr>
          <w:sz w:val="20"/>
          <w:szCs w:val="20"/>
          <w:color w:val="auto"/>
        </w:rPr>
      </w:pPr>
    </w:p>
    <w:p>
      <w:pPr>
        <w:jc w:val="both"/>
        <w:ind w:firstLine="648"/>
        <w:spacing w:after="0" w:line="312" w:lineRule="auto"/>
        <w:rPr>
          <w:sz w:val="20"/>
          <w:szCs w:val="20"/>
          <w:color w:val="auto"/>
        </w:rPr>
      </w:pPr>
      <w:r>
        <w:rPr>
          <w:rFonts w:ascii="Arial" w:cs="Arial" w:eastAsia="Arial" w:hAnsi="Arial"/>
          <w:sz w:val="16"/>
          <w:szCs w:val="16"/>
          <w:color w:val="auto"/>
        </w:rPr>
        <w:t>Attracting and retaining users of our public portals and clients for our private portals requires us to continue to improve the technology underlying those portals and to continue to develop new and updated applications, features and services for those portals. If we are unable to do so on a timely basis or if we are unable to implement new applications, features and services without disruption to our existing ones, we may lose potential users and clients.</w:t>
      </w:r>
    </w:p>
    <w:p>
      <w:pPr>
        <w:spacing w:after="0" w:line="201"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18"/>
          <w:szCs w:val="18"/>
          <w:color w:val="auto"/>
        </w:rPr>
        <w:t>We rely on a combination of internal development, strategic relationships, licensing and acquisitions to develop our portals and related applications, features and services. Our development and/or implementation of new technologies, applications, features and services may cost more than expected, may take longer than originally expected, may require more testing than originally anticipated and may require the acquisition of additional personnel and other resources. There can be no assurance that the revenue opportunities from any new or updated technologies, applications, features or services will justify the amounts spent.</w:t>
      </w:r>
    </w:p>
    <w:p>
      <w:pPr>
        <w:spacing w:after="0" w:line="200" w:lineRule="exact"/>
        <w:rPr>
          <w:sz w:val="20"/>
          <w:szCs w:val="20"/>
          <w:color w:val="auto"/>
        </w:rPr>
      </w:pPr>
    </w:p>
    <w:p>
      <w:pPr>
        <w:spacing w:after="0" w:line="28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24662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607" w:right="239" w:bottom="1440" w:gutter="0" w:footer="0" w:header="0"/>
        </w:sectPr>
      </w:pPr>
    </w:p>
    <w:bookmarkStart w:id="5" w:name="page6"/>
    <w:bookmarkEnd w:id="5"/>
    <w:p>
      <w:pPr>
        <w:spacing w:after="0"/>
        <w:rPr>
          <w:sz w:val="20"/>
          <w:szCs w:val="20"/>
          <w:color w:val="auto"/>
        </w:rPr>
      </w:pPr>
      <w:r>
        <w:rPr>
          <w:rFonts w:ascii="Arial" w:cs="Arial" w:eastAsia="Arial" w:hAnsi="Arial"/>
          <w:sz w:val="18"/>
          <w:szCs w:val="18"/>
          <w:b w:val="1"/>
          <w:bCs w:val="1"/>
          <w:i w:val="1"/>
          <w:iCs w:val="1"/>
          <w:color w:val="auto"/>
        </w:rPr>
        <w:t>We face significant competition for our products and services</w:t>
      </w:r>
    </w:p>
    <w:p>
      <w:pPr>
        <w:spacing w:after="0" w:line="27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markets in which we operate are intensely competitive, continually evolving and, in some cases, subject to rapid change.</w:t>
      </w:r>
    </w:p>
    <w:p>
      <w:pPr>
        <w:spacing w:after="0" w:line="279" w:lineRule="exact"/>
        <w:rPr>
          <w:sz w:val="20"/>
          <w:szCs w:val="20"/>
          <w:color w:val="auto"/>
        </w:rPr>
      </w:pPr>
    </w:p>
    <w:p>
      <w:pPr>
        <w:jc w:val="both"/>
        <w:ind w:left="1160" w:right="20" w:hanging="571"/>
        <w:spacing w:after="0" w:line="255" w:lineRule="auto"/>
        <w:tabs>
          <w:tab w:leader="none" w:pos="1160" w:val="left"/>
        </w:tabs>
        <w:numPr>
          <w:ilvl w:val="0"/>
          <w:numId w:val="3"/>
        </w:numPr>
        <w:rPr>
          <w:rFonts w:ascii="Arial" w:cs="Arial" w:eastAsia="Arial" w:hAnsi="Arial"/>
          <w:sz w:val="18"/>
          <w:szCs w:val="18"/>
          <w:color w:val="auto"/>
        </w:rPr>
      </w:pPr>
      <w:r>
        <w:rPr>
          <w:rFonts w:ascii="Arial" w:cs="Arial" w:eastAsia="Arial" w:hAnsi="Arial"/>
          <w:sz w:val="18"/>
          <w:szCs w:val="18"/>
          <w:color w:val="auto"/>
        </w:rPr>
        <w:t>Our public portals face competition from numerous other companies, both in attracting users and in generating revenue from advertisers and sponsors. We compete for users with online services and Web sites that provide savings on medications and healthcare products, including both commercial sites and not-for-profit sites. We compete for advertisers and sponsors with: health-related web sites; general purpose consumer web sites that offer specialized health sub-channels; other high-traffic web sites that include both healthcare-related and non-healthcare-related content and services; search engines that provide specialized health search; and advertising networks that aggregate traffic from multiple sites.</w:t>
      </w:r>
    </w:p>
    <w:p>
      <w:pPr>
        <w:spacing w:after="0" w:line="193" w:lineRule="exact"/>
        <w:rPr>
          <w:rFonts w:ascii="Arial" w:cs="Arial" w:eastAsia="Arial" w:hAnsi="Arial"/>
          <w:sz w:val="18"/>
          <w:szCs w:val="18"/>
          <w:color w:val="auto"/>
        </w:rPr>
      </w:pPr>
    </w:p>
    <w:p>
      <w:pPr>
        <w:jc w:val="both"/>
        <w:ind w:left="1160" w:right="20" w:hanging="571"/>
        <w:spacing w:after="0" w:line="264" w:lineRule="auto"/>
        <w:tabs>
          <w:tab w:leader="none" w:pos="1160" w:val="left"/>
        </w:tabs>
        <w:numPr>
          <w:ilvl w:val="0"/>
          <w:numId w:val="3"/>
        </w:numPr>
        <w:rPr>
          <w:rFonts w:ascii="Arial" w:cs="Arial" w:eastAsia="Arial" w:hAnsi="Arial"/>
          <w:sz w:val="18"/>
          <w:szCs w:val="18"/>
          <w:color w:val="auto"/>
        </w:rPr>
      </w:pPr>
      <w:r>
        <w:rPr>
          <w:rFonts w:ascii="Arial" w:cs="Arial" w:eastAsia="Arial" w:hAnsi="Arial"/>
          <w:sz w:val="18"/>
          <w:szCs w:val="18"/>
          <w:color w:val="auto"/>
        </w:rPr>
        <w:t>Our private portals compete with: providers of healthcare decision-support tools and online health management applications; wellness and disease management vendors; and health information services and health management offerings of healthcare benefits companies and their affiliates.</w:t>
      </w:r>
    </w:p>
    <w:p>
      <w:pPr>
        <w:spacing w:after="0" w:line="181" w:lineRule="exact"/>
        <w:rPr>
          <w:rFonts w:ascii="Arial" w:cs="Arial" w:eastAsia="Arial" w:hAnsi="Arial"/>
          <w:sz w:val="18"/>
          <w:szCs w:val="18"/>
          <w:color w:val="auto"/>
        </w:rPr>
      </w:pPr>
    </w:p>
    <w:p>
      <w:pPr>
        <w:ind w:left="1160" w:right="20" w:hanging="571"/>
        <w:spacing w:after="0" w:line="277" w:lineRule="auto"/>
        <w:tabs>
          <w:tab w:leader="none" w:pos="1160" w:val="left"/>
        </w:tabs>
        <w:numPr>
          <w:ilvl w:val="0"/>
          <w:numId w:val="3"/>
        </w:numPr>
        <w:rPr>
          <w:rFonts w:ascii="Arial" w:cs="Arial" w:eastAsia="Arial" w:hAnsi="Arial"/>
          <w:sz w:val="18"/>
          <w:szCs w:val="18"/>
          <w:color w:val="auto"/>
        </w:rPr>
      </w:pPr>
      <w:r>
        <w:rPr>
          <w:rFonts w:ascii="Arial" w:cs="Arial" w:eastAsia="Arial" w:hAnsi="Arial"/>
          <w:sz w:val="18"/>
          <w:szCs w:val="18"/>
          <w:color w:val="auto"/>
        </w:rPr>
        <w:t>Our Publishing and Other Services segment’s products and services compete with numerous other offline publications, some of which have better access to traditional distribution channels than we have, and also compete with online information sources.</w:t>
      </w:r>
    </w:p>
    <w:p>
      <w:pPr>
        <w:spacing w:after="0" w:line="224"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Many of our competitors have greater financial, technical, product development, marketing and other resources than we do. These organizations may be better known than we are and have more customers or users than we do. We cannot provide assurance that we will be able to compete successfully against these organizations or any alliances they have formed or may form. Since there are no substantial barriers to entry into the markets in which our public portals participate, we expect that competitors will continue to enter these markets.</w:t>
      </w:r>
    </w:p>
    <w:p>
      <w:pPr>
        <w:spacing w:after="0" w:line="24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Failure to maintain and enhance the “ OptimizeRx ” brand could have a material adverse effect on our business</w:t>
      </w:r>
    </w:p>
    <w:p>
      <w:pPr>
        <w:spacing w:after="0" w:line="279" w:lineRule="exact"/>
        <w:rPr>
          <w:sz w:val="20"/>
          <w:szCs w:val="20"/>
          <w:color w:val="auto"/>
        </w:rPr>
      </w:pPr>
    </w:p>
    <w:p>
      <w:pPr>
        <w:jc w:val="both"/>
        <w:ind w:firstLine="648"/>
        <w:spacing w:after="0" w:line="290" w:lineRule="auto"/>
        <w:rPr>
          <w:sz w:val="20"/>
          <w:szCs w:val="20"/>
          <w:color w:val="auto"/>
        </w:rPr>
      </w:pPr>
      <w:r>
        <w:rPr>
          <w:rFonts w:ascii="Arial" w:cs="Arial" w:eastAsia="Arial" w:hAnsi="Arial"/>
          <w:sz w:val="16"/>
          <w:szCs w:val="16"/>
          <w:color w:val="auto"/>
        </w:rPr>
        <w:t>We believe that the “OptimizeRx” brand identity that we have developed has contributed to the success of our business and has helped us achieve recognition as a trusted source of health and wellness information. We also believe that maintaining and enhancing that brand is important to expanding the user base for our public portals, to our relationships with sponsors and advertisers and to our ability to gain additional employer and healthcare payer clients for our private portals. We have expended considerable resources on establishing and enhancing the “WebMD” brand and our other brands, and we have developed policies and procedures designed to preserve and enhance our brands, including editorial procedures designed to provide quality control of the information we publish. We expect to continue to devote resources and efforts to maintain and enhance our brand. However, we may not be able to successfully maintain or enhance awareness of our brands, and events outside of our control may have a negative effect on our brands. If we are unable to maintain or enhance awareness of our brand, and do so in a cost-effective manner, our business could be adversely affected.</w:t>
      </w:r>
    </w:p>
    <w:p>
      <w:pPr>
        <w:spacing w:after="0" w:line="22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Our online businesses have a limited operating history</w:t>
      </w:r>
    </w:p>
    <w:p>
      <w:pPr>
        <w:spacing w:after="0" w:line="279" w:lineRule="exact"/>
        <w:rPr>
          <w:sz w:val="20"/>
          <w:szCs w:val="20"/>
          <w:color w:val="auto"/>
        </w:rPr>
      </w:pPr>
    </w:p>
    <w:p>
      <w:pPr>
        <w:jc w:val="both"/>
        <w:ind w:firstLine="648"/>
        <w:spacing w:after="0" w:line="276" w:lineRule="auto"/>
        <w:rPr>
          <w:sz w:val="20"/>
          <w:szCs w:val="20"/>
          <w:color w:val="auto"/>
        </w:rPr>
      </w:pPr>
      <w:r>
        <w:rPr>
          <w:rFonts w:ascii="Arial" w:cs="Arial" w:eastAsia="Arial" w:hAnsi="Arial"/>
          <w:sz w:val="17"/>
          <w:szCs w:val="17"/>
          <w:color w:val="auto"/>
        </w:rPr>
        <w:t>Our online businesses have a limited operating history and participate in relatively new and rapidly changing markets. These businesses have undergone significant changes during their short history as a result of changes in the types of services provided, technological changes and changes in market conditions and are expected to continue to change for similar reasons. Many companies with business plans based on providing healthcare information and related services through the Internet have failed to be profitable and some have filed for bankruptcy and/or ceased operations. Even if demand from users exists, we cannot assure you that our businesses will continue to be profitable.</w:t>
      </w:r>
    </w:p>
    <w:p>
      <w:pPr>
        <w:spacing w:after="0" w:line="22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Our failure to attract and retain qualified executives and employees may have a material adverse effect on our business</w:t>
      </w:r>
    </w:p>
    <w:p>
      <w:pPr>
        <w:spacing w:after="0" w:line="279"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18"/>
          <w:szCs w:val="18"/>
          <w:color w:val="auto"/>
        </w:rPr>
        <w:t>Our business depends largely on the skills, experience and performance of key members of our management team. We also depend, in part, on our ability to attract and retain qualified writers and editors, software developers and other technical personnel and sales and marketing personnel. Competition for qualified personnel in the healthcare information services and Internet industries is intense. We cannot assure you that we will be able to hire or retain a sufficient number of qualified personnel to meet our requirements, or that we will be able to do so at salary and benefit costs that are acceptable to us. Failure to do so may have an adverse effect on our business.</w:t>
      </w:r>
    </w:p>
    <w:p>
      <w:pPr>
        <w:spacing w:after="0" w:line="24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The timing of our advertising and sponsorship revenue may vary significantly from quarter to quarter</w:t>
      </w:r>
    </w:p>
    <w:p>
      <w:pPr>
        <w:spacing w:after="0" w:line="279"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18"/>
          <w:szCs w:val="18"/>
          <w:color w:val="auto"/>
        </w:rPr>
        <w:t>Our advertising and sponsorship revenue, which accounted for approximately100% of our total online services segment revenue for the year ended December 31, 2007, may vary significantly from quarter to quarter due to a number of factors, not all of which are in our control, and any of which may be difficult to forecast accurately. The majority of our advertising and sponsorship contracts are for terms of approximately one to twelve months. We cannot assure you that our current customers for these services will continue to use our services beyond the terms of their existing contracts or that they will enter into any additional contracts.</w:t>
      </w:r>
    </w:p>
    <w:p>
      <w:pPr>
        <w:spacing w:after="0" w:line="200" w:lineRule="exact"/>
        <w:rPr>
          <w:sz w:val="20"/>
          <w:szCs w:val="20"/>
          <w:color w:val="auto"/>
        </w:rPr>
      </w:pPr>
    </w:p>
    <w:p>
      <w:pPr>
        <w:spacing w:after="0" w:line="28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24662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611" w:right="239" w:bottom="1440" w:gutter="0" w:footer="0" w:header="0"/>
        </w:sectPr>
      </w:pPr>
    </w:p>
    <w:bookmarkStart w:id="6" w:name="page7"/>
    <w:bookmarkEnd w:id="6"/>
    <w:p>
      <w:pPr>
        <w:jc w:val="both"/>
        <w:ind w:firstLine="648"/>
        <w:spacing w:after="0" w:line="259" w:lineRule="auto"/>
        <w:rPr>
          <w:sz w:val="20"/>
          <w:szCs w:val="20"/>
          <w:color w:val="auto"/>
        </w:rPr>
      </w:pPr>
      <w:r>
        <w:rPr>
          <w:rFonts w:ascii="Arial" w:cs="Arial" w:eastAsia="Arial" w:hAnsi="Arial"/>
          <w:sz w:val="18"/>
          <w:szCs w:val="18"/>
          <w:color w:val="auto"/>
        </w:rPr>
        <w:t>In addition, the time between the date of initial contact with a potential advertiser or sponsor regarding a specific program and the execution of a contract with the advertiser or sponsor for that program may be lengthy, especially for larger contracts, and may be subject to delays over which we have little or no control, including as a result of budgetary constraints of the advertiser or sponsor or their need for internal approvals. Other factors that could affect the timing of our revenue from advertisers and sponsors include:</w:t>
      </w:r>
    </w:p>
    <w:p>
      <w:pPr>
        <w:spacing w:after="0" w:line="241" w:lineRule="exact"/>
        <w:rPr>
          <w:sz w:val="20"/>
          <w:szCs w:val="20"/>
          <w:color w:val="auto"/>
        </w:rPr>
      </w:pPr>
    </w:p>
    <w:p>
      <w:pPr>
        <w:ind w:left="1160" w:hanging="571"/>
        <w:spacing w:after="0"/>
        <w:tabs>
          <w:tab w:leader="none" w:pos="1160" w:val="left"/>
        </w:tabs>
        <w:numPr>
          <w:ilvl w:val="0"/>
          <w:numId w:val="4"/>
        </w:numPr>
        <w:rPr>
          <w:rFonts w:ascii="Arial" w:cs="Arial" w:eastAsia="Arial" w:hAnsi="Arial"/>
          <w:sz w:val="18"/>
          <w:szCs w:val="18"/>
          <w:color w:val="auto"/>
        </w:rPr>
      </w:pPr>
      <w:r>
        <w:rPr>
          <w:rFonts w:ascii="Arial" w:cs="Arial" w:eastAsia="Arial" w:hAnsi="Arial"/>
          <w:sz w:val="18"/>
          <w:szCs w:val="18"/>
          <w:color w:val="auto"/>
        </w:rPr>
        <w:t>the timing of FDA approval for new products or for new approved uses for existing products;</w:t>
      </w:r>
    </w:p>
    <w:p>
      <w:pPr>
        <w:spacing w:after="0" w:line="225" w:lineRule="exact"/>
        <w:rPr>
          <w:rFonts w:ascii="Arial" w:cs="Arial" w:eastAsia="Arial" w:hAnsi="Arial"/>
          <w:sz w:val="18"/>
          <w:szCs w:val="18"/>
          <w:color w:val="auto"/>
        </w:rPr>
      </w:pPr>
    </w:p>
    <w:p>
      <w:pPr>
        <w:ind w:left="1160" w:hanging="571"/>
        <w:spacing w:after="0"/>
        <w:tabs>
          <w:tab w:leader="none" w:pos="1160" w:val="left"/>
        </w:tabs>
        <w:numPr>
          <w:ilvl w:val="0"/>
          <w:numId w:val="4"/>
        </w:numPr>
        <w:rPr>
          <w:rFonts w:ascii="Arial" w:cs="Arial" w:eastAsia="Arial" w:hAnsi="Arial"/>
          <w:sz w:val="18"/>
          <w:szCs w:val="18"/>
          <w:color w:val="auto"/>
        </w:rPr>
      </w:pPr>
      <w:r>
        <w:rPr>
          <w:rFonts w:ascii="Arial" w:cs="Arial" w:eastAsia="Arial" w:hAnsi="Arial"/>
          <w:sz w:val="18"/>
          <w:szCs w:val="18"/>
          <w:color w:val="auto"/>
        </w:rPr>
        <w:t>the timing of FDA approval of generic products that compete with existing brand name products;</w:t>
      </w:r>
    </w:p>
    <w:p>
      <w:pPr>
        <w:spacing w:after="0" w:line="225" w:lineRule="exact"/>
        <w:rPr>
          <w:rFonts w:ascii="Arial" w:cs="Arial" w:eastAsia="Arial" w:hAnsi="Arial"/>
          <w:sz w:val="18"/>
          <w:szCs w:val="18"/>
          <w:color w:val="auto"/>
        </w:rPr>
      </w:pPr>
    </w:p>
    <w:p>
      <w:pPr>
        <w:ind w:left="1160" w:hanging="571"/>
        <w:spacing w:after="0"/>
        <w:tabs>
          <w:tab w:leader="none" w:pos="1160" w:val="left"/>
        </w:tabs>
        <w:numPr>
          <w:ilvl w:val="0"/>
          <w:numId w:val="4"/>
        </w:numPr>
        <w:rPr>
          <w:rFonts w:ascii="Arial" w:cs="Arial" w:eastAsia="Arial" w:hAnsi="Arial"/>
          <w:sz w:val="18"/>
          <w:szCs w:val="18"/>
          <w:color w:val="auto"/>
        </w:rPr>
      </w:pPr>
      <w:r>
        <w:rPr>
          <w:rFonts w:ascii="Arial" w:cs="Arial" w:eastAsia="Arial" w:hAnsi="Arial"/>
          <w:sz w:val="18"/>
          <w:szCs w:val="18"/>
          <w:color w:val="auto"/>
        </w:rPr>
        <w:t>the timing of withdrawals of products from the market;</w:t>
      </w:r>
    </w:p>
    <w:p>
      <w:pPr>
        <w:spacing w:after="0" w:line="225" w:lineRule="exact"/>
        <w:rPr>
          <w:rFonts w:ascii="Arial" w:cs="Arial" w:eastAsia="Arial" w:hAnsi="Arial"/>
          <w:sz w:val="18"/>
          <w:szCs w:val="18"/>
          <w:color w:val="auto"/>
        </w:rPr>
      </w:pPr>
    </w:p>
    <w:p>
      <w:pPr>
        <w:ind w:left="1160" w:right="20" w:hanging="571"/>
        <w:spacing w:after="0" w:line="277" w:lineRule="auto"/>
        <w:tabs>
          <w:tab w:leader="none" w:pos="1160" w:val="left"/>
        </w:tabs>
        <w:numPr>
          <w:ilvl w:val="0"/>
          <w:numId w:val="4"/>
        </w:numPr>
        <w:rPr>
          <w:rFonts w:ascii="Arial" w:cs="Arial" w:eastAsia="Arial" w:hAnsi="Arial"/>
          <w:sz w:val="18"/>
          <w:szCs w:val="18"/>
          <w:color w:val="auto"/>
        </w:rPr>
      </w:pPr>
      <w:r>
        <w:rPr>
          <w:rFonts w:ascii="Arial" w:cs="Arial" w:eastAsia="Arial" w:hAnsi="Arial"/>
          <w:sz w:val="18"/>
          <w:szCs w:val="18"/>
          <w:color w:val="auto"/>
        </w:rPr>
        <w:t>seasonal factors relating to the prevalence of specific health conditions and other seasonal factors that may affect the timing of promotional campaigns for specific products; and</w:t>
      </w:r>
    </w:p>
    <w:p>
      <w:pPr>
        <w:spacing w:after="0" w:line="170" w:lineRule="exact"/>
        <w:rPr>
          <w:rFonts w:ascii="Arial" w:cs="Arial" w:eastAsia="Arial" w:hAnsi="Arial"/>
          <w:sz w:val="18"/>
          <w:szCs w:val="18"/>
          <w:color w:val="auto"/>
        </w:rPr>
      </w:pPr>
    </w:p>
    <w:p>
      <w:pPr>
        <w:ind w:left="1160" w:hanging="571"/>
        <w:spacing w:after="0"/>
        <w:tabs>
          <w:tab w:leader="none" w:pos="1160" w:val="left"/>
        </w:tabs>
        <w:numPr>
          <w:ilvl w:val="0"/>
          <w:numId w:val="4"/>
        </w:numPr>
        <w:rPr>
          <w:rFonts w:ascii="Arial" w:cs="Arial" w:eastAsia="Arial" w:hAnsi="Arial"/>
          <w:sz w:val="18"/>
          <w:szCs w:val="18"/>
          <w:color w:val="auto"/>
        </w:rPr>
      </w:pPr>
      <w:r>
        <w:rPr>
          <w:rFonts w:ascii="Arial" w:cs="Arial" w:eastAsia="Arial" w:hAnsi="Arial"/>
          <w:sz w:val="18"/>
          <w:szCs w:val="18"/>
          <w:color w:val="auto"/>
        </w:rPr>
        <w:t>the scheduling of conferences for physicians and other healthcare professionals.</w:t>
      </w:r>
    </w:p>
    <w:p>
      <w:pPr>
        <w:spacing w:after="0" w:line="279"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b w:val="1"/>
          <w:bCs w:val="1"/>
          <w:i w:val="1"/>
          <w:iCs w:val="1"/>
          <w:color w:val="auto"/>
        </w:rPr>
        <w:t>Lengthy sales and implementation cycles for our private online portals and offer development make it difficult to forecast our revenues from these applications and may have an adverse impact on our business</w:t>
      </w:r>
    </w:p>
    <w:p>
      <w:pPr>
        <w:spacing w:after="0" w:line="224" w:lineRule="exact"/>
        <w:rPr>
          <w:sz w:val="20"/>
          <w:szCs w:val="20"/>
          <w:color w:val="auto"/>
        </w:rPr>
      </w:pPr>
    </w:p>
    <w:p>
      <w:pPr>
        <w:jc w:val="both"/>
        <w:ind w:firstLine="648"/>
        <w:spacing w:after="0" w:line="297" w:lineRule="auto"/>
        <w:rPr>
          <w:sz w:val="20"/>
          <w:szCs w:val="20"/>
          <w:color w:val="auto"/>
        </w:rPr>
      </w:pPr>
      <w:r>
        <w:rPr>
          <w:rFonts w:ascii="Arial" w:cs="Arial" w:eastAsia="Arial" w:hAnsi="Arial"/>
          <w:sz w:val="16"/>
          <w:szCs w:val="16"/>
          <w:color w:val="auto"/>
        </w:rPr>
        <w:t>The period from our initial contact with a potential client for a private online portal and the first purchase of our solution by the client is difficult to predict. In the past, this period has generally ranged from one to twelve months, but in some cases has been longer. These sales may be subject to delays due to a client’s internal procedures for approving large expenditures and other factors beyond our control. Implementation may be subject to delays based on the availability of the internal resources of the client that are needed and other factors outside of our control. As a result, we have limited ability to forecast the timing of revenue from new clients. This, in turn, makes it more difficult to predict our financial performance from quarter to quarter.</w:t>
      </w:r>
    </w:p>
    <w:p>
      <w:pPr>
        <w:spacing w:after="0" w:line="212"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18"/>
          <w:szCs w:val="18"/>
          <w:color w:val="auto"/>
        </w:rPr>
        <w:t>During the sales cycle and the implementation period, we may expend substantial time, effort and money preparing contract proposals, negotiating contracts and implementing the private online portal without receiving any related revenue. In addition, many of the expenses related to providing private online portals are relatively fixed in the short term, including personnel costs and technology and infrastructure costs. Even if our private portal revenue is lower than expected, we may not be able to reduce related short-term spending in response. Any shortfall in such revenue would have a direct impact on our results of operations.</w:t>
      </w:r>
    </w:p>
    <w:p>
      <w:pPr>
        <w:spacing w:after="0" w:line="24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Expansion to markets outside the United States will subject us to additional risks</w:t>
      </w:r>
    </w:p>
    <w:p>
      <w:pPr>
        <w:spacing w:after="0" w:line="279" w:lineRule="exact"/>
        <w:rPr>
          <w:sz w:val="20"/>
          <w:szCs w:val="20"/>
          <w:color w:val="auto"/>
        </w:rPr>
      </w:pPr>
    </w:p>
    <w:p>
      <w:pPr>
        <w:jc w:val="both"/>
        <w:ind w:firstLine="648"/>
        <w:spacing w:after="0" w:line="286" w:lineRule="auto"/>
        <w:rPr>
          <w:sz w:val="20"/>
          <w:szCs w:val="20"/>
          <w:color w:val="auto"/>
        </w:rPr>
      </w:pPr>
      <w:r>
        <w:rPr>
          <w:rFonts w:ascii="Arial" w:cs="Arial" w:eastAsia="Arial" w:hAnsi="Arial"/>
          <w:sz w:val="17"/>
          <w:szCs w:val="17"/>
          <w:color w:val="auto"/>
        </w:rPr>
        <w:t>One element of our growth strategy is to seek to expand our online services to markets outside the United States. Generally, we expect that we would accomplish this through partnerships or joint ventures with other companies having expertise in the specific country or region. However, our participation in international markets will still be subject to certain risks beyond those applicable to our operations in the United States, such as:</w:t>
      </w:r>
    </w:p>
    <w:p>
      <w:pPr>
        <w:spacing w:after="0" w:line="220" w:lineRule="exact"/>
        <w:rPr>
          <w:sz w:val="20"/>
          <w:szCs w:val="20"/>
          <w:color w:val="auto"/>
        </w:rPr>
      </w:pPr>
    </w:p>
    <w:p>
      <w:pPr>
        <w:ind w:left="1160" w:hanging="571"/>
        <w:spacing w:after="0"/>
        <w:tabs>
          <w:tab w:leader="none" w:pos="1160" w:val="left"/>
        </w:tabs>
        <w:numPr>
          <w:ilvl w:val="0"/>
          <w:numId w:val="5"/>
        </w:numPr>
        <w:rPr>
          <w:rFonts w:ascii="Arial" w:cs="Arial" w:eastAsia="Arial" w:hAnsi="Arial"/>
          <w:sz w:val="18"/>
          <w:szCs w:val="18"/>
          <w:color w:val="auto"/>
        </w:rPr>
      </w:pPr>
      <w:r>
        <w:rPr>
          <w:rFonts w:ascii="Arial" w:cs="Arial" w:eastAsia="Arial" w:hAnsi="Arial"/>
          <w:sz w:val="18"/>
          <w:szCs w:val="18"/>
          <w:color w:val="auto"/>
        </w:rPr>
        <w:t>difficulties in staffing and managing operations outside of the United States;</w:t>
      </w:r>
    </w:p>
    <w:p>
      <w:pPr>
        <w:spacing w:after="0" w:line="225" w:lineRule="exact"/>
        <w:rPr>
          <w:rFonts w:ascii="Arial" w:cs="Arial" w:eastAsia="Arial" w:hAnsi="Arial"/>
          <w:sz w:val="18"/>
          <w:szCs w:val="18"/>
          <w:color w:val="auto"/>
        </w:rPr>
      </w:pPr>
    </w:p>
    <w:p>
      <w:pPr>
        <w:ind w:left="1160" w:hanging="571"/>
        <w:spacing w:after="0"/>
        <w:tabs>
          <w:tab w:leader="none" w:pos="1160" w:val="left"/>
        </w:tabs>
        <w:numPr>
          <w:ilvl w:val="0"/>
          <w:numId w:val="5"/>
        </w:numPr>
        <w:rPr>
          <w:rFonts w:ascii="Arial" w:cs="Arial" w:eastAsia="Arial" w:hAnsi="Arial"/>
          <w:sz w:val="18"/>
          <w:szCs w:val="18"/>
          <w:color w:val="auto"/>
        </w:rPr>
      </w:pPr>
      <w:r>
        <w:rPr>
          <w:rFonts w:ascii="Arial" w:cs="Arial" w:eastAsia="Arial" w:hAnsi="Arial"/>
          <w:sz w:val="18"/>
          <w:szCs w:val="18"/>
          <w:color w:val="auto"/>
        </w:rPr>
        <w:t>fluctuations in currency exchange rates;</w:t>
      </w:r>
    </w:p>
    <w:p>
      <w:pPr>
        <w:spacing w:after="0" w:line="225" w:lineRule="exact"/>
        <w:rPr>
          <w:rFonts w:ascii="Arial" w:cs="Arial" w:eastAsia="Arial" w:hAnsi="Arial"/>
          <w:sz w:val="18"/>
          <w:szCs w:val="18"/>
          <w:color w:val="auto"/>
        </w:rPr>
      </w:pPr>
    </w:p>
    <w:p>
      <w:pPr>
        <w:ind w:left="1160" w:hanging="571"/>
        <w:spacing w:after="0"/>
        <w:tabs>
          <w:tab w:leader="none" w:pos="1160" w:val="left"/>
        </w:tabs>
        <w:numPr>
          <w:ilvl w:val="0"/>
          <w:numId w:val="5"/>
        </w:numPr>
        <w:rPr>
          <w:rFonts w:ascii="Arial" w:cs="Arial" w:eastAsia="Arial" w:hAnsi="Arial"/>
          <w:sz w:val="18"/>
          <w:szCs w:val="18"/>
          <w:color w:val="auto"/>
        </w:rPr>
      </w:pPr>
      <w:r>
        <w:rPr>
          <w:rFonts w:ascii="Arial" w:cs="Arial" w:eastAsia="Arial" w:hAnsi="Arial"/>
          <w:sz w:val="18"/>
          <w:szCs w:val="18"/>
          <w:color w:val="auto"/>
        </w:rPr>
        <w:t>burdens of complying with a wide variety of legal, regulatory and market requirements;</w:t>
      </w:r>
    </w:p>
    <w:p>
      <w:pPr>
        <w:spacing w:after="0" w:line="279" w:lineRule="exact"/>
        <w:rPr>
          <w:rFonts w:ascii="Arial" w:cs="Arial" w:eastAsia="Arial" w:hAnsi="Arial"/>
          <w:sz w:val="18"/>
          <w:szCs w:val="18"/>
          <w:color w:val="auto"/>
        </w:rPr>
      </w:pPr>
    </w:p>
    <w:p>
      <w:pPr>
        <w:ind w:left="1160" w:hanging="571"/>
        <w:spacing w:after="0"/>
        <w:tabs>
          <w:tab w:leader="none" w:pos="1160" w:val="left"/>
        </w:tabs>
        <w:numPr>
          <w:ilvl w:val="0"/>
          <w:numId w:val="5"/>
        </w:numPr>
        <w:rPr>
          <w:rFonts w:ascii="Arial" w:cs="Arial" w:eastAsia="Arial" w:hAnsi="Arial"/>
          <w:sz w:val="18"/>
          <w:szCs w:val="18"/>
          <w:color w:val="auto"/>
        </w:rPr>
      </w:pPr>
      <w:r>
        <w:rPr>
          <w:rFonts w:ascii="Arial" w:cs="Arial" w:eastAsia="Arial" w:hAnsi="Arial"/>
          <w:sz w:val="18"/>
          <w:szCs w:val="18"/>
          <w:color w:val="auto"/>
        </w:rPr>
        <w:t>variability of economic and political conditions;</w:t>
      </w:r>
    </w:p>
    <w:p>
      <w:pPr>
        <w:spacing w:after="0" w:line="225" w:lineRule="exact"/>
        <w:rPr>
          <w:rFonts w:ascii="Arial" w:cs="Arial" w:eastAsia="Arial" w:hAnsi="Arial"/>
          <w:sz w:val="18"/>
          <w:szCs w:val="18"/>
          <w:color w:val="auto"/>
        </w:rPr>
      </w:pPr>
    </w:p>
    <w:p>
      <w:pPr>
        <w:ind w:left="1160" w:hanging="571"/>
        <w:spacing w:after="0"/>
        <w:tabs>
          <w:tab w:leader="none" w:pos="1160" w:val="left"/>
        </w:tabs>
        <w:numPr>
          <w:ilvl w:val="0"/>
          <w:numId w:val="5"/>
        </w:numPr>
        <w:rPr>
          <w:rFonts w:ascii="Arial" w:cs="Arial" w:eastAsia="Arial" w:hAnsi="Arial"/>
          <w:sz w:val="18"/>
          <w:szCs w:val="18"/>
          <w:color w:val="auto"/>
        </w:rPr>
      </w:pPr>
      <w:r>
        <w:rPr>
          <w:rFonts w:ascii="Arial" w:cs="Arial" w:eastAsia="Arial" w:hAnsi="Arial"/>
          <w:sz w:val="18"/>
          <w:szCs w:val="18"/>
          <w:color w:val="auto"/>
        </w:rPr>
        <w:t>tariffs or other trade barriers;</w:t>
      </w:r>
    </w:p>
    <w:p>
      <w:pPr>
        <w:spacing w:after="0" w:line="225" w:lineRule="exact"/>
        <w:rPr>
          <w:rFonts w:ascii="Arial" w:cs="Arial" w:eastAsia="Arial" w:hAnsi="Arial"/>
          <w:sz w:val="18"/>
          <w:szCs w:val="18"/>
          <w:color w:val="auto"/>
        </w:rPr>
      </w:pPr>
    </w:p>
    <w:p>
      <w:pPr>
        <w:ind w:left="1160" w:hanging="571"/>
        <w:spacing w:after="0"/>
        <w:tabs>
          <w:tab w:leader="none" w:pos="1160" w:val="left"/>
        </w:tabs>
        <w:numPr>
          <w:ilvl w:val="0"/>
          <w:numId w:val="5"/>
        </w:numPr>
        <w:rPr>
          <w:rFonts w:ascii="Arial" w:cs="Arial" w:eastAsia="Arial" w:hAnsi="Arial"/>
          <w:sz w:val="18"/>
          <w:szCs w:val="18"/>
          <w:color w:val="auto"/>
        </w:rPr>
      </w:pPr>
      <w:r>
        <w:rPr>
          <w:rFonts w:ascii="Arial" w:cs="Arial" w:eastAsia="Arial" w:hAnsi="Arial"/>
          <w:sz w:val="18"/>
          <w:szCs w:val="18"/>
          <w:color w:val="auto"/>
        </w:rPr>
        <w:t>costs of providing and marketing products and services in different markets;</w:t>
      </w:r>
    </w:p>
    <w:p>
      <w:pPr>
        <w:spacing w:after="0" w:line="225" w:lineRule="exact"/>
        <w:rPr>
          <w:rFonts w:ascii="Arial" w:cs="Arial" w:eastAsia="Arial" w:hAnsi="Arial"/>
          <w:sz w:val="18"/>
          <w:szCs w:val="18"/>
          <w:color w:val="auto"/>
        </w:rPr>
      </w:pPr>
    </w:p>
    <w:p>
      <w:pPr>
        <w:ind w:left="1160" w:hanging="571"/>
        <w:spacing w:after="0"/>
        <w:tabs>
          <w:tab w:leader="none" w:pos="1160" w:val="left"/>
        </w:tabs>
        <w:numPr>
          <w:ilvl w:val="0"/>
          <w:numId w:val="5"/>
        </w:numPr>
        <w:rPr>
          <w:rFonts w:ascii="Arial" w:cs="Arial" w:eastAsia="Arial" w:hAnsi="Arial"/>
          <w:sz w:val="18"/>
          <w:szCs w:val="18"/>
          <w:color w:val="auto"/>
        </w:rPr>
      </w:pPr>
      <w:r>
        <w:rPr>
          <w:rFonts w:ascii="Arial" w:cs="Arial" w:eastAsia="Arial" w:hAnsi="Arial"/>
          <w:sz w:val="18"/>
          <w:szCs w:val="18"/>
          <w:color w:val="auto"/>
        </w:rPr>
        <w:t>potentially adverse tax consequences, including restrictions on repatriation of earnings; and</w:t>
      </w:r>
    </w:p>
    <w:p>
      <w:pPr>
        <w:spacing w:after="0" w:line="225" w:lineRule="exact"/>
        <w:rPr>
          <w:rFonts w:ascii="Arial" w:cs="Arial" w:eastAsia="Arial" w:hAnsi="Arial"/>
          <w:sz w:val="18"/>
          <w:szCs w:val="18"/>
          <w:color w:val="auto"/>
        </w:rPr>
      </w:pPr>
    </w:p>
    <w:p>
      <w:pPr>
        <w:ind w:left="1160" w:hanging="571"/>
        <w:spacing w:after="0"/>
        <w:tabs>
          <w:tab w:leader="none" w:pos="1160" w:val="left"/>
        </w:tabs>
        <w:numPr>
          <w:ilvl w:val="0"/>
          <w:numId w:val="5"/>
        </w:numPr>
        <w:rPr>
          <w:rFonts w:ascii="Arial" w:cs="Arial" w:eastAsia="Arial" w:hAnsi="Arial"/>
          <w:sz w:val="18"/>
          <w:szCs w:val="18"/>
          <w:color w:val="auto"/>
        </w:rPr>
      </w:pPr>
      <w:r>
        <w:rPr>
          <w:rFonts w:ascii="Arial" w:cs="Arial" w:eastAsia="Arial" w:hAnsi="Arial"/>
          <w:sz w:val="18"/>
          <w:szCs w:val="18"/>
          <w:color w:val="auto"/>
        </w:rPr>
        <w:t>difficulties in protecting intellectual property.</w:t>
      </w:r>
    </w:p>
    <w:p>
      <w:pPr>
        <w:spacing w:after="0" w:line="200" w:lineRule="exact"/>
        <w:rPr>
          <w:sz w:val="20"/>
          <w:szCs w:val="20"/>
          <w:color w:val="auto"/>
        </w:rPr>
      </w:pPr>
    </w:p>
    <w:p>
      <w:pPr>
        <w:spacing w:after="0" w:line="32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24662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638" w:right="239" w:bottom="1440" w:gutter="0" w:footer="0" w:header="0"/>
        </w:sectPr>
      </w:pPr>
    </w:p>
    <w:bookmarkStart w:id="7" w:name="page8"/>
    <w:bookmarkEnd w:id="7"/>
    <w:p>
      <w:pPr>
        <w:jc w:val="center"/>
        <w:spacing w:after="0"/>
        <w:rPr>
          <w:sz w:val="20"/>
          <w:szCs w:val="20"/>
          <w:color w:val="auto"/>
        </w:rPr>
      </w:pPr>
      <w:r>
        <w:rPr>
          <w:rFonts w:ascii="Arial" w:cs="Arial" w:eastAsia="Arial" w:hAnsi="Arial"/>
          <w:sz w:val="18"/>
          <w:szCs w:val="18"/>
          <w:b w:val="1"/>
          <w:bCs w:val="1"/>
          <w:color w:val="auto"/>
        </w:rPr>
        <w:t>Risks Related to Our Relationships with Clients</w:t>
      </w:r>
    </w:p>
    <w:p>
      <w:pPr>
        <w:spacing w:after="0" w:line="28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Developments in the healthcare industry could adversely affect our business</w:t>
      </w:r>
    </w:p>
    <w:p>
      <w:pPr>
        <w:spacing w:after="0" w:line="279" w:lineRule="exact"/>
        <w:rPr>
          <w:sz w:val="20"/>
          <w:szCs w:val="20"/>
          <w:color w:val="auto"/>
        </w:rPr>
      </w:pPr>
    </w:p>
    <w:p>
      <w:pPr>
        <w:ind w:firstLine="648"/>
        <w:spacing w:after="0" w:line="277" w:lineRule="auto"/>
        <w:rPr>
          <w:sz w:val="20"/>
          <w:szCs w:val="20"/>
          <w:color w:val="auto"/>
        </w:rPr>
      </w:pPr>
      <w:r>
        <w:rPr>
          <w:rFonts w:ascii="Arial" w:cs="Arial" w:eastAsia="Arial" w:hAnsi="Arial"/>
          <w:sz w:val="18"/>
          <w:szCs w:val="18"/>
          <w:color w:val="auto"/>
        </w:rPr>
        <w:t>Most of our revenue is derived from the healthcare industry and could be affected by changes affecting healthcare spending. We are particularly dependent on pharmaceutical, biotechnology and medical device companies for our advertising and sponsorship revenue.</w:t>
      </w:r>
    </w:p>
    <w:p>
      <w:pPr>
        <w:spacing w:after="0" w:line="224" w:lineRule="exact"/>
        <w:rPr>
          <w:sz w:val="20"/>
          <w:szCs w:val="20"/>
          <w:color w:val="auto"/>
        </w:rPr>
      </w:pPr>
    </w:p>
    <w:p>
      <w:pPr>
        <w:ind w:left="660"/>
        <w:spacing w:after="0"/>
        <w:rPr>
          <w:sz w:val="20"/>
          <w:szCs w:val="20"/>
          <w:color w:val="auto"/>
        </w:rPr>
      </w:pPr>
      <w:r>
        <w:rPr>
          <w:rFonts w:ascii="Arial" w:cs="Arial" w:eastAsia="Arial" w:hAnsi="Arial"/>
          <w:sz w:val="18"/>
          <w:szCs w:val="18"/>
          <w:color w:val="auto"/>
        </w:rPr>
        <w:t>General reductions in expenditures by healthcare industry participants could result from, among other things:</w:t>
      </w:r>
    </w:p>
    <w:p>
      <w:pPr>
        <w:spacing w:after="0" w:line="279" w:lineRule="exact"/>
        <w:rPr>
          <w:sz w:val="20"/>
          <w:szCs w:val="20"/>
          <w:color w:val="auto"/>
        </w:rPr>
      </w:pPr>
    </w:p>
    <w:p>
      <w:pPr>
        <w:ind w:left="1160" w:right="20" w:hanging="571"/>
        <w:spacing w:after="0" w:line="277" w:lineRule="auto"/>
        <w:tabs>
          <w:tab w:leader="none" w:pos="1160" w:val="left"/>
        </w:tabs>
        <w:numPr>
          <w:ilvl w:val="0"/>
          <w:numId w:val="6"/>
        </w:numPr>
        <w:rPr>
          <w:rFonts w:ascii="Arial" w:cs="Arial" w:eastAsia="Arial" w:hAnsi="Arial"/>
          <w:sz w:val="18"/>
          <w:szCs w:val="18"/>
          <w:color w:val="auto"/>
        </w:rPr>
      </w:pPr>
      <w:r>
        <w:rPr>
          <w:rFonts w:ascii="Arial" w:cs="Arial" w:eastAsia="Arial" w:hAnsi="Arial"/>
          <w:sz w:val="18"/>
          <w:szCs w:val="18"/>
          <w:color w:val="auto"/>
        </w:rPr>
        <w:t>government regulation or private initiatives that affect the manner in which healthcare providers interact with patients, payers or other healthcare industry participants, including changes in pricing or means of delivery of healthcare products and services;</w:t>
      </w:r>
    </w:p>
    <w:p>
      <w:pPr>
        <w:spacing w:after="0" w:line="170" w:lineRule="exact"/>
        <w:rPr>
          <w:rFonts w:ascii="Arial" w:cs="Arial" w:eastAsia="Arial" w:hAnsi="Arial"/>
          <w:sz w:val="18"/>
          <w:szCs w:val="18"/>
          <w:color w:val="auto"/>
        </w:rPr>
      </w:pPr>
    </w:p>
    <w:p>
      <w:pPr>
        <w:ind w:left="1160" w:hanging="571"/>
        <w:spacing w:after="0"/>
        <w:tabs>
          <w:tab w:leader="none" w:pos="1160" w:val="left"/>
        </w:tabs>
        <w:numPr>
          <w:ilvl w:val="0"/>
          <w:numId w:val="6"/>
        </w:numPr>
        <w:rPr>
          <w:rFonts w:ascii="Arial" w:cs="Arial" w:eastAsia="Arial" w:hAnsi="Arial"/>
          <w:sz w:val="18"/>
          <w:szCs w:val="18"/>
          <w:color w:val="auto"/>
        </w:rPr>
      </w:pPr>
      <w:r>
        <w:rPr>
          <w:rFonts w:ascii="Arial" w:cs="Arial" w:eastAsia="Arial" w:hAnsi="Arial"/>
          <w:sz w:val="18"/>
          <w:szCs w:val="18"/>
          <w:color w:val="auto"/>
        </w:rPr>
        <w:t>consolidation of healthcare industry participants;</w:t>
      </w:r>
    </w:p>
    <w:p>
      <w:pPr>
        <w:spacing w:after="0" w:line="225" w:lineRule="exact"/>
        <w:rPr>
          <w:rFonts w:ascii="Arial" w:cs="Arial" w:eastAsia="Arial" w:hAnsi="Arial"/>
          <w:sz w:val="18"/>
          <w:szCs w:val="18"/>
          <w:color w:val="auto"/>
        </w:rPr>
      </w:pPr>
    </w:p>
    <w:p>
      <w:pPr>
        <w:ind w:left="1160" w:hanging="571"/>
        <w:spacing w:after="0"/>
        <w:tabs>
          <w:tab w:leader="none" w:pos="1160" w:val="left"/>
        </w:tabs>
        <w:numPr>
          <w:ilvl w:val="0"/>
          <w:numId w:val="6"/>
        </w:numPr>
        <w:rPr>
          <w:rFonts w:ascii="Arial" w:cs="Arial" w:eastAsia="Arial" w:hAnsi="Arial"/>
          <w:sz w:val="18"/>
          <w:szCs w:val="18"/>
          <w:color w:val="auto"/>
        </w:rPr>
      </w:pPr>
      <w:r>
        <w:rPr>
          <w:rFonts w:ascii="Arial" w:cs="Arial" w:eastAsia="Arial" w:hAnsi="Arial"/>
          <w:sz w:val="18"/>
          <w:szCs w:val="18"/>
          <w:color w:val="auto"/>
        </w:rPr>
        <w:t>reductions in governmental funding for healthcare; and</w:t>
      </w:r>
    </w:p>
    <w:p>
      <w:pPr>
        <w:spacing w:after="0" w:line="225" w:lineRule="exact"/>
        <w:rPr>
          <w:rFonts w:ascii="Arial" w:cs="Arial" w:eastAsia="Arial" w:hAnsi="Arial"/>
          <w:sz w:val="18"/>
          <w:szCs w:val="18"/>
          <w:color w:val="auto"/>
        </w:rPr>
      </w:pPr>
    </w:p>
    <w:p>
      <w:pPr>
        <w:ind w:left="1160" w:right="20" w:hanging="571"/>
        <w:spacing w:after="0" w:line="277" w:lineRule="auto"/>
        <w:tabs>
          <w:tab w:leader="none" w:pos="1160" w:val="left"/>
        </w:tabs>
        <w:numPr>
          <w:ilvl w:val="0"/>
          <w:numId w:val="6"/>
        </w:numPr>
        <w:rPr>
          <w:rFonts w:ascii="Arial" w:cs="Arial" w:eastAsia="Arial" w:hAnsi="Arial"/>
          <w:sz w:val="18"/>
          <w:szCs w:val="18"/>
          <w:color w:val="auto"/>
        </w:rPr>
      </w:pPr>
      <w:r>
        <w:rPr>
          <w:rFonts w:ascii="Arial" w:cs="Arial" w:eastAsia="Arial" w:hAnsi="Arial"/>
          <w:sz w:val="18"/>
          <w:szCs w:val="18"/>
          <w:color w:val="auto"/>
        </w:rPr>
        <w:t>adverse changes in business or economic conditions affecting healthcare payers or providers, pharmaceutical, biotechnology or medical device companies or other healthcare industry participants.</w:t>
      </w:r>
    </w:p>
    <w:p>
      <w:pPr>
        <w:spacing w:after="0" w:line="224" w:lineRule="exact"/>
        <w:rPr>
          <w:sz w:val="20"/>
          <w:szCs w:val="20"/>
          <w:color w:val="auto"/>
        </w:rPr>
      </w:pPr>
    </w:p>
    <w:p>
      <w:pPr>
        <w:spacing w:after="0" w:line="342" w:lineRule="auto"/>
        <w:rPr>
          <w:sz w:val="20"/>
          <w:szCs w:val="20"/>
          <w:color w:val="auto"/>
        </w:rPr>
      </w:pPr>
      <w:r>
        <w:rPr>
          <w:rFonts w:ascii="Arial" w:cs="Arial" w:eastAsia="Arial" w:hAnsi="Arial"/>
          <w:sz w:val="16"/>
          <w:szCs w:val="16"/>
          <w:color w:val="auto"/>
        </w:rPr>
        <w:t>Even if general expenditures by industry participants remain the same or increase, developments in the healthcare industry may result in reduced spending in some or all of the specific market segments that we serve or are planning to serve. For example, use of our products and services could be affected by:</w:t>
      </w:r>
    </w:p>
    <w:p>
      <w:pPr>
        <w:spacing w:after="0" w:line="178" w:lineRule="exact"/>
        <w:rPr>
          <w:sz w:val="20"/>
          <w:szCs w:val="20"/>
          <w:color w:val="auto"/>
        </w:rPr>
      </w:pPr>
    </w:p>
    <w:p>
      <w:pPr>
        <w:ind w:left="1160" w:hanging="571"/>
        <w:spacing w:after="0"/>
        <w:tabs>
          <w:tab w:leader="none" w:pos="1160" w:val="left"/>
        </w:tabs>
        <w:numPr>
          <w:ilvl w:val="0"/>
          <w:numId w:val="7"/>
        </w:numPr>
        <w:rPr>
          <w:rFonts w:ascii="Arial" w:cs="Arial" w:eastAsia="Arial" w:hAnsi="Arial"/>
          <w:sz w:val="18"/>
          <w:szCs w:val="18"/>
          <w:color w:val="auto"/>
        </w:rPr>
      </w:pPr>
      <w:r>
        <w:rPr>
          <w:rFonts w:ascii="Arial" w:cs="Arial" w:eastAsia="Arial" w:hAnsi="Arial"/>
          <w:sz w:val="18"/>
          <w:szCs w:val="18"/>
          <w:color w:val="auto"/>
        </w:rPr>
        <w:t>changes in the design of health insurance plans;</w:t>
      </w:r>
    </w:p>
    <w:p>
      <w:pPr>
        <w:spacing w:after="0" w:line="225" w:lineRule="exact"/>
        <w:rPr>
          <w:rFonts w:ascii="Arial" w:cs="Arial" w:eastAsia="Arial" w:hAnsi="Arial"/>
          <w:sz w:val="18"/>
          <w:szCs w:val="18"/>
          <w:color w:val="auto"/>
        </w:rPr>
      </w:pPr>
    </w:p>
    <w:p>
      <w:pPr>
        <w:ind w:left="1160" w:hanging="571"/>
        <w:spacing w:after="0"/>
        <w:tabs>
          <w:tab w:leader="none" w:pos="1160" w:val="left"/>
        </w:tabs>
        <w:numPr>
          <w:ilvl w:val="0"/>
          <w:numId w:val="7"/>
        </w:numPr>
        <w:rPr>
          <w:rFonts w:ascii="Arial" w:cs="Arial" w:eastAsia="Arial" w:hAnsi="Arial"/>
          <w:sz w:val="18"/>
          <w:szCs w:val="18"/>
          <w:color w:val="auto"/>
        </w:rPr>
      </w:pPr>
      <w:r>
        <w:rPr>
          <w:rFonts w:ascii="Arial" w:cs="Arial" w:eastAsia="Arial" w:hAnsi="Arial"/>
          <w:sz w:val="18"/>
          <w:szCs w:val="18"/>
          <w:color w:val="auto"/>
        </w:rPr>
        <w:t>a decrease in the number of new drugs or medical devices coming to market; and</w:t>
      </w:r>
    </w:p>
    <w:p>
      <w:pPr>
        <w:spacing w:after="0" w:line="225" w:lineRule="exact"/>
        <w:rPr>
          <w:rFonts w:ascii="Arial" w:cs="Arial" w:eastAsia="Arial" w:hAnsi="Arial"/>
          <w:sz w:val="18"/>
          <w:szCs w:val="18"/>
          <w:color w:val="auto"/>
        </w:rPr>
      </w:pPr>
    </w:p>
    <w:p>
      <w:pPr>
        <w:ind w:left="1160" w:right="20" w:hanging="571"/>
        <w:spacing w:after="0" w:line="308" w:lineRule="auto"/>
        <w:tabs>
          <w:tab w:leader="none" w:pos="1160" w:val="left"/>
        </w:tabs>
        <w:numPr>
          <w:ilvl w:val="0"/>
          <w:numId w:val="7"/>
        </w:numPr>
        <w:rPr>
          <w:rFonts w:ascii="Arial" w:cs="Arial" w:eastAsia="Arial" w:hAnsi="Arial"/>
          <w:sz w:val="17"/>
          <w:szCs w:val="17"/>
          <w:color w:val="auto"/>
        </w:rPr>
      </w:pPr>
      <w:r>
        <w:rPr>
          <w:rFonts w:ascii="Arial" w:cs="Arial" w:eastAsia="Arial" w:hAnsi="Arial"/>
          <w:sz w:val="17"/>
          <w:szCs w:val="17"/>
          <w:color w:val="auto"/>
        </w:rPr>
        <w:t>decreases in marketing expenditures by pharmaceutical or medical device companies, including as a result of governmental regulation or private initiatives that discourage or prohibit advertising or sponsorship activities by pharmaceutical or medical device companies.</w:t>
      </w:r>
    </w:p>
    <w:p>
      <w:pPr>
        <w:spacing w:after="0" w:line="201"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In addition, our customers’ expectations regarding pending or potential industry developments may also affect their budgeting processes and spending plans with respect to products and services of the types we provide.</w:t>
      </w:r>
    </w:p>
    <w:p>
      <w:pPr>
        <w:spacing w:after="0" w:line="224" w:lineRule="exact"/>
        <w:rPr>
          <w:sz w:val="20"/>
          <w:szCs w:val="20"/>
          <w:color w:val="auto"/>
        </w:rPr>
      </w:pPr>
    </w:p>
    <w:p>
      <w:pPr>
        <w:jc w:val="both"/>
        <w:ind w:firstLine="648"/>
        <w:spacing w:after="0" w:line="312" w:lineRule="auto"/>
        <w:rPr>
          <w:sz w:val="20"/>
          <w:szCs w:val="20"/>
          <w:color w:val="auto"/>
        </w:rPr>
      </w:pPr>
      <w:r>
        <w:rPr>
          <w:rFonts w:ascii="Arial" w:cs="Arial" w:eastAsia="Arial" w:hAnsi="Arial"/>
          <w:sz w:val="16"/>
          <w:szCs w:val="16"/>
          <w:color w:val="auto"/>
        </w:rPr>
        <w:t>The healthcare industry has changed significantly in recent years and we expect that significant changes will continue to occur. However, the timing and impact of developments in the healthcare industry are difficult to predict. We cannot assure you that the markets for our products and services will continue to exist at current levels or that we will have adequate technical, financial and marketing resources to react to changes in those markets.</w:t>
      </w:r>
    </w:p>
    <w:p>
      <w:pPr>
        <w:spacing w:after="0" w:line="20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We may be unsuccessful in our efforts to increase advertising and sponsorship revenue from consumer products companies</w:t>
      </w:r>
    </w:p>
    <w:p>
      <w:pPr>
        <w:spacing w:after="0" w:line="279" w:lineRule="exact"/>
        <w:rPr>
          <w:sz w:val="20"/>
          <w:szCs w:val="20"/>
          <w:color w:val="auto"/>
        </w:rPr>
      </w:pPr>
    </w:p>
    <w:p>
      <w:pPr>
        <w:jc w:val="both"/>
        <w:ind w:firstLine="648"/>
        <w:spacing w:after="0" w:line="293" w:lineRule="auto"/>
        <w:rPr>
          <w:sz w:val="20"/>
          <w:szCs w:val="20"/>
          <w:color w:val="auto"/>
        </w:rPr>
      </w:pPr>
      <w:r>
        <w:rPr>
          <w:rFonts w:ascii="Arial" w:cs="Arial" w:eastAsia="Arial" w:hAnsi="Arial"/>
          <w:sz w:val="16"/>
          <w:szCs w:val="16"/>
          <w:color w:val="auto"/>
        </w:rPr>
        <w:t>Most of our advertising and sponsorship revenue has, in the past, come from pharmaceutical, biotechnology and medical device companies. We have been focusing on increasing sponsorship revenue from consumer products companies that are interested in communicating health-related or safety-related information about their products to our audience. However, while a number of consumer products companies have indicated an intent to increase the portion of their promotional spending used on the Internet, we cannot assure you that these advertisers and sponsors will find our consumer Web sites to be as effective as other Web sites or traditional media for promoting their products and services. If we encounter difficulties in competing with the other alternatives available to consumer products companies, this portion of our business may develop more slowly than we expect or may fail to develop.</w:t>
      </w:r>
    </w:p>
    <w:p>
      <w:pPr>
        <w:spacing w:after="0" w:line="219" w:lineRule="exact"/>
        <w:rPr>
          <w:sz w:val="20"/>
          <w:szCs w:val="20"/>
          <w:color w:val="auto"/>
        </w:rPr>
      </w:pPr>
    </w:p>
    <w:p>
      <w:pPr>
        <w:jc w:val="both"/>
        <w:spacing w:after="0" w:line="277" w:lineRule="auto"/>
        <w:rPr>
          <w:sz w:val="20"/>
          <w:szCs w:val="20"/>
          <w:color w:val="auto"/>
        </w:rPr>
      </w:pPr>
      <w:r>
        <w:rPr>
          <w:rFonts w:ascii="Arial" w:cs="Arial" w:eastAsia="Arial" w:hAnsi="Arial"/>
          <w:sz w:val="18"/>
          <w:szCs w:val="18"/>
          <w:b w:val="1"/>
          <w:bCs w:val="1"/>
          <w:i w:val="1"/>
          <w:iCs w:val="1"/>
          <w:color w:val="auto"/>
        </w:rPr>
        <w:t>We could be subject to breach of warranty or other claims by clients of our online portals if the software and systems we use to provide them contain errors or experience failures</w:t>
      </w:r>
    </w:p>
    <w:p>
      <w:pPr>
        <w:spacing w:after="0" w:line="224" w:lineRule="exact"/>
        <w:rPr>
          <w:sz w:val="20"/>
          <w:szCs w:val="20"/>
          <w:color w:val="auto"/>
        </w:rPr>
      </w:pPr>
    </w:p>
    <w:p>
      <w:pPr>
        <w:jc w:val="both"/>
        <w:ind w:firstLine="648"/>
        <w:spacing w:after="0" w:line="276" w:lineRule="auto"/>
        <w:rPr>
          <w:sz w:val="20"/>
          <w:szCs w:val="20"/>
          <w:color w:val="auto"/>
        </w:rPr>
      </w:pPr>
      <w:r>
        <w:rPr>
          <w:rFonts w:ascii="Arial" w:cs="Arial" w:eastAsia="Arial" w:hAnsi="Arial"/>
          <w:sz w:val="17"/>
          <w:szCs w:val="17"/>
          <w:color w:val="auto"/>
        </w:rPr>
        <w:t>Errors in the software and systems we use could cause serious problems for clients of our online portals. We may fail to meet contractual performance standards or client expectations. Clients of our online portals may seek compensation from us or may seek to terminate their agreements with us, withhold payments due to us, seek refunds from us of part or all of the fees charged under those agreements or initiate litigation or other dispute resolution procedures. In addition, we could face breach of warranty or other claims by clients or additional development costs. Our software and systems are inherently complex and, despite testing and quality control, we cannot be certain that they will perform as planned.</w:t>
      </w:r>
    </w:p>
    <w:p>
      <w:pPr>
        <w:spacing w:after="0" w:line="227" w:lineRule="exact"/>
        <w:rPr>
          <w:sz w:val="20"/>
          <w:szCs w:val="20"/>
          <w:color w:val="auto"/>
        </w:rPr>
      </w:pPr>
    </w:p>
    <w:p>
      <w:pPr>
        <w:jc w:val="both"/>
        <w:ind w:firstLine="648"/>
        <w:spacing w:after="0" w:line="255" w:lineRule="auto"/>
        <w:rPr>
          <w:sz w:val="20"/>
          <w:szCs w:val="20"/>
          <w:color w:val="auto"/>
        </w:rPr>
      </w:pPr>
      <w:r>
        <w:rPr>
          <w:rFonts w:ascii="Arial" w:cs="Arial" w:eastAsia="Arial" w:hAnsi="Arial"/>
          <w:sz w:val="18"/>
          <w:szCs w:val="18"/>
          <w:color w:val="auto"/>
        </w:rPr>
        <w:t>We attempt to limit, by contract, our liability to our clients for damages arising from our negligence, errors or mistakes. However, contractual limitations on liability may not be enforceable in certain circumstances or may otherwise not provide sufficient protection to us from liability for damages. We maintain liability insurance coverage, including coverage for errors and omissions. However, it is possible that claims could exceed the amount of our applicable insurance coverage, if any, or that this coverage may not continue to be available on acceptable terms or in sufficient amounts. Even if these claims do not result in liability to us, investigating and defending against them would be expensive and time consuming and could divert management’s attention away from our operations. In addition, negative publicity caused by these events may delay or hinder market acceptance of our services, including unrelated services.</w:t>
      </w:r>
    </w:p>
    <w:p>
      <w:pPr>
        <w:spacing w:after="0" w:line="200" w:lineRule="exact"/>
        <w:rPr>
          <w:sz w:val="20"/>
          <w:szCs w:val="20"/>
          <w:color w:val="auto"/>
        </w:rPr>
      </w:pPr>
    </w:p>
    <w:p>
      <w:pPr>
        <w:spacing w:after="0" w:line="28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24662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634" w:right="239" w:bottom="1031" w:gutter="0" w:footer="0" w:header="0"/>
        </w:sectPr>
      </w:pPr>
    </w:p>
    <w:bookmarkStart w:id="8" w:name="page9"/>
    <w:bookmarkEnd w:id="8"/>
    <w:p>
      <w:pPr>
        <w:ind w:right="2760" w:firstLine="2769"/>
        <w:spacing w:after="0" w:line="636" w:lineRule="auto"/>
        <w:rPr>
          <w:sz w:val="20"/>
          <w:szCs w:val="20"/>
          <w:color w:val="auto"/>
        </w:rPr>
      </w:pPr>
      <w:r>
        <w:rPr>
          <w:rFonts w:ascii="Arial" w:cs="Arial" w:eastAsia="Arial" w:hAnsi="Arial"/>
          <w:sz w:val="16"/>
          <w:szCs w:val="16"/>
          <w:b w:val="1"/>
          <w:bCs w:val="1"/>
          <w:color w:val="auto"/>
        </w:rPr>
        <w:t xml:space="preserve">Risks Related to Use of the Internet and to Our Technological Infrastructure </w:t>
      </w:r>
      <w:r>
        <w:rPr>
          <w:rFonts w:ascii="Arial" w:cs="Arial" w:eastAsia="Arial" w:hAnsi="Arial"/>
          <w:sz w:val="16"/>
          <w:szCs w:val="16"/>
          <w:b w:val="1"/>
          <w:bCs w:val="1"/>
          <w:i w:val="1"/>
          <w:iCs w:val="1"/>
          <w:color w:val="auto"/>
        </w:rPr>
        <w:t>Any service interruption or failure in the systems that we use to provide online services could harm our business</w:t>
      </w:r>
    </w:p>
    <w:p>
      <w:pPr>
        <w:spacing w:after="0" w:line="1" w:lineRule="exact"/>
        <w:rPr>
          <w:sz w:val="20"/>
          <w:szCs w:val="20"/>
          <w:color w:val="auto"/>
        </w:rPr>
      </w:pPr>
    </w:p>
    <w:p>
      <w:pPr>
        <w:jc w:val="both"/>
        <w:ind w:firstLine="648"/>
        <w:spacing w:after="0" w:line="293" w:lineRule="auto"/>
        <w:rPr>
          <w:sz w:val="20"/>
          <w:szCs w:val="20"/>
          <w:color w:val="auto"/>
        </w:rPr>
      </w:pPr>
      <w:r>
        <w:rPr>
          <w:rFonts w:ascii="Arial" w:cs="Arial" w:eastAsia="Arial" w:hAnsi="Arial"/>
          <w:sz w:val="16"/>
          <w:szCs w:val="16"/>
          <w:color w:val="auto"/>
        </w:rPr>
        <w:t>Our online services are designed to operate 24 hours a day, seven days a week, without interruption. However, we have experienced and expect that we will in the future experience interruptions and delays in services and availability from time to time. We rely on internal systems as well as third-party vendors, including data center providers and bandwidth providers, to provide our online services. We may not maintain redundant systems or facilities for some of these services. In the event of a catastrophic event with respect to one or more of these systems or facilities, we may experience an extended period of system unavailability, which could negatively impact our relationship with users. In addition, system failures may result in loss of data, including user registration data, content, and other data critical to the operation of our online services, which could cause significant harm to our business and our reputation.</w:t>
      </w:r>
    </w:p>
    <w:p>
      <w:pPr>
        <w:spacing w:after="0" w:line="21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To operate without interruption or loss of data, both we and our service providers must guard against:</w:t>
      </w:r>
    </w:p>
    <w:p>
      <w:pPr>
        <w:spacing w:after="0" w:line="279" w:lineRule="exact"/>
        <w:rPr>
          <w:sz w:val="20"/>
          <w:szCs w:val="20"/>
          <w:color w:val="auto"/>
        </w:rPr>
      </w:pPr>
    </w:p>
    <w:p>
      <w:pPr>
        <w:ind w:left="1160" w:hanging="571"/>
        <w:spacing w:after="0"/>
        <w:tabs>
          <w:tab w:leader="none" w:pos="1160" w:val="left"/>
        </w:tabs>
        <w:numPr>
          <w:ilvl w:val="0"/>
          <w:numId w:val="8"/>
        </w:numPr>
        <w:rPr>
          <w:rFonts w:ascii="Arial" w:cs="Arial" w:eastAsia="Arial" w:hAnsi="Arial"/>
          <w:sz w:val="18"/>
          <w:szCs w:val="18"/>
          <w:color w:val="auto"/>
        </w:rPr>
      </w:pPr>
      <w:r>
        <w:rPr>
          <w:rFonts w:ascii="Arial" w:cs="Arial" w:eastAsia="Arial" w:hAnsi="Arial"/>
          <w:sz w:val="18"/>
          <w:szCs w:val="18"/>
          <w:color w:val="auto"/>
        </w:rPr>
        <w:t>damage from fire, power loss and other natural disasters;</w:t>
      </w:r>
    </w:p>
    <w:p>
      <w:pPr>
        <w:spacing w:after="0" w:line="225" w:lineRule="exact"/>
        <w:rPr>
          <w:rFonts w:ascii="Arial" w:cs="Arial" w:eastAsia="Arial" w:hAnsi="Arial"/>
          <w:sz w:val="18"/>
          <w:szCs w:val="18"/>
          <w:color w:val="auto"/>
        </w:rPr>
      </w:pPr>
    </w:p>
    <w:p>
      <w:pPr>
        <w:ind w:left="1160" w:hanging="571"/>
        <w:spacing w:after="0"/>
        <w:tabs>
          <w:tab w:leader="none" w:pos="1160" w:val="left"/>
        </w:tabs>
        <w:numPr>
          <w:ilvl w:val="0"/>
          <w:numId w:val="8"/>
        </w:numPr>
        <w:rPr>
          <w:rFonts w:ascii="Arial" w:cs="Arial" w:eastAsia="Arial" w:hAnsi="Arial"/>
          <w:sz w:val="18"/>
          <w:szCs w:val="18"/>
          <w:color w:val="auto"/>
        </w:rPr>
      </w:pPr>
      <w:r>
        <w:rPr>
          <w:rFonts w:ascii="Arial" w:cs="Arial" w:eastAsia="Arial" w:hAnsi="Arial"/>
          <w:sz w:val="18"/>
          <w:szCs w:val="18"/>
          <w:color w:val="auto"/>
        </w:rPr>
        <w:t>communications failures;</w:t>
      </w:r>
    </w:p>
    <w:p>
      <w:pPr>
        <w:spacing w:after="0" w:line="225" w:lineRule="exact"/>
        <w:rPr>
          <w:rFonts w:ascii="Arial" w:cs="Arial" w:eastAsia="Arial" w:hAnsi="Arial"/>
          <w:sz w:val="18"/>
          <w:szCs w:val="18"/>
          <w:color w:val="auto"/>
        </w:rPr>
      </w:pPr>
    </w:p>
    <w:p>
      <w:pPr>
        <w:ind w:left="1160" w:hanging="571"/>
        <w:spacing w:after="0"/>
        <w:tabs>
          <w:tab w:leader="none" w:pos="1160" w:val="left"/>
        </w:tabs>
        <w:numPr>
          <w:ilvl w:val="0"/>
          <w:numId w:val="8"/>
        </w:numPr>
        <w:rPr>
          <w:rFonts w:ascii="Arial" w:cs="Arial" w:eastAsia="Arial" w:hAnsi="Arial"/>
          <w:sz w:val="18"/>
          <w:szCs w:val="18"/>
          <w:color w:val="auto"/>
        </w:rPr>
      </w:pPr>
      <w:r>
        <w:rPr>
          <w:rFonts w:ascii="Arial" w:cs="Arial" w:eastAsia="Arial" w:hAnsi="Arial"/>
          <w:sz w:val="18"/>
          <w:szCs w:val="18"/>
          <w:color w:val="auto"/>
        </w:rPr>
        <w:t>software and hardware errors, failures and crashes;</w:t>
      </w:r>
    </w:p>
    <w:p>
      <w:pPr>
        <w:spacing w:after="0" w:line="225" w:lineRule="exact"/>
        <w:rPr>
          <w:rFonts w:ascii="Arial" w:cs="Arial" w:eastAsia="Arial" w:hAnsi="Arial"/>
          <w:sz w:val="18"/>
          <w:szCs w:val="18"/>
          <w:color w:val="auto"/>
        </w:rPr>
      </w:pPr>
    </w:p>
    <w:p>
      <w:pPr>
        <w:ind w:left="1160" w:hanging="571"/>
        <w:spacing w:after="0"/>
        <w:tabs>
          <w:tab w:leader="none" w:pos="1160" w:val="left"/>
        </w:tabs>
        <w:numPr>
          <w:ilvl w:val="0"/>
          <w:numId w:val="8"/>
        </w:numPr>
        <w:rPr>
          <w:rFonts w:ascii="Arial" w:cs="Arial" w:eastAsia="Arial" w:hAnsi="Arial"/>
          <w:sz w:val="18"/>
          <w:szCs w:val="18"/>
          <w:color w:val="auto"/>
        </w:rPr>
      </w:pPr>
      <w:r>
        <w:rPr>
          <w:rFonts w:ascii="Arial" w:cs="Arial" w:eastAsia="Arial" w:hAnsi="Arial"/>
          <w:sz w:val="18"/>
          <w:szCs w:val="18"/>
          <w:color w:val="auto"/>
        </w:rPr>
        <w:t>security breaches, computer viruses and similar disruptive problems; and</w:t>
      </w:r>
    </w:p>
    <w:p>
      <w:pPr>
        <w:spacing w:after="0" w:line="225" w:lineRule="exact"/>
        <w:rPr>
          <w:rFonts w:ascii="Arial" w:cs="Arial" w:eastAsia="Arial" w:hAnsi="Arial"/>
          <w:sz w:val="18"/>
          <w:szCs w:val="18"/>
          <w:color w:val="auto"/>
        </w:rPr>
      </w:pPr>
    </w:p>
    <w:p>
      <w:pPr>
        <w:ind w:left="1160" w:hanging="571"/>
        <w:spacing w:after="0"/>
        <w:tabs>
          <w:tab w:leader="none" w:pos="1160" w:val="left"/>
        </w:tabs>
        <w:numPr>
          <w:ilvl w:val="0"/>
          <w:numId w:val="8"/>
        </w:numPr>
        <w:rPr>
          <w:rFonts w:ascii="Arial" w:cs="Arial" w:eastAsia="Arial" w:hAnsi="Arial"/>
          <w:sz w:val="18"/>
          <w:szCs w:val="18"/>
          <w:color w:val="auto"/>
        </w:rPr>
      </w:pPr>
      <w:r>
        <w:rPr>
          <w:rFonts w:ascii="Arial" w:cs="Arial" w:eastAsia="Arial" w:hAnsi="Arial"/>
          <w:sz w:val="18"/>
          <w:szCs w:val="18"/>
          <w:color w:val="auto"/>
        </w:rPr>
        <w:t>other potential service interruptions.</w:t>
      </w:r>
    </w:p>
    <w:p>
      <w:pPr>
        <w:spacing w:after="0" w:line="279"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18"/>
          <w:szCs w:val="18"/>
          <w:color w:val="auto"/>
        </w:rPr>
        <w:t>Any disruption in the network access or co-location services provided by third-party providers to us or any failure by these third-party providers or our own systems to handle current or higher volume of use could significantly harm our business. We exercise little control over these third-party vendors, which increases our vulnerability to problems with services they provide.</w:t>
      </w:r>
    </w:p>
    <w:p>
      <w:pPr>
        <w:spacing w:after="0" w:line="235" w:lineRule="exact"/>
        <w:rPr>
          <w:sz w:val="20"/>
          <w:szCs w:val="20"/>
          <w:color w:val="auto"/>
        </w:rPr>
      </w:pPr>
    </w:p>
    <w:p>
      <w:pPr>
        <w:jc w:val="both"/>
        <w:ind w:firstLine="648"/>
        <w:spacing w:after="0" w:line="279" w:lineRule="auto"/>
        <w:rPr>
          <w:sz w:val="20"/>
          <w:szCs w:val="20"/>
          <w:color w:val="auto"/>
        </w:rPr>
      </w:pPr>
      <w:r>
        <w:rPr>
          <w:rFonts w:ascii="Arial" w:cs="Arial" w:eastAsia="Arial" w:hAnsi="Arial"/>
          <w:sz w:val="17"/>
          <w:szCs w:val="17"/>
          <w:color w:val="auto"/>
        </w:rPr>
        <w:t>Any errors, failures, interruptions or delays experienced in connection with these third-party technologies and information services or our own systems could negatively impact our relationships with users and adversely affect our brand and our business and could expose us to liabilities to third parties. Although we maintain insurance for our business, the coverage under our policies may not be adequate to compensate us for all losses that may occur. In addition, we cannot provide assurance that we will continue to be able to obtain adequate insurance coverage at an acceptable cost.</w:t>
      </w:r>
    </w:p>
    <w:p>
      <w:pPr>
        <w:spacing w:after="0" w:line="225" w:lineRule="exact"/>
        <w:rPr>
          <w:sz w:val="20"/>
          <w:szCs w:val="20"/>
          <w:color w:val="auto"/>
        </w:rPr>
      </w:pPr>
    </w:p>
    <w:p>
      <w:pPr>
        <w:jc w:val="both"/>
        <w:spacing w:after="0" w:line="277" w:lineRule="auto"/>
        <w:rPr>
          <w:sz w:val="20"/>
          <w:szCs w:val="20"/>
          <w:color w:val="auto"/>
        </w:rPr>
      </w:pPr>
      <w:r>
        <w:rPr>
          <w:rFonts w:ascii="Arial" w:cs="Arial" w:eastAsia="Arial" w:hAnsi="Arial"/>
          <w:sz w:val="18"/>
          <w:szCs w:val="18"/>
          <w:b w:val="1"/>
          <w:bCs w:val="1"/>
          <w:i w:val="1"/>
          <w:iCs w:val="1"/>
          <w:color w:val="auto"/>
        </w:rPr>
        <w:t>Implementation of additions to or changes in hardware and software platforms used to deliver our online services may result in performance problems and may not provide the additional functionality that was expected</w:t>
      </w:r>
    </w:p>
    <w:p>
      <w:pPr>
        <w:spacing w:after="0" w:line="224" w:lineRule="exact"/>
        <w:rPr>
          <w:sz w:val="20"/>
          <w:szCs w:val="20"/>
          <w:color w:val="auto"/>
        </w:rPr>
      </w:pPr>
    </w:p>
    <w:p>
      <w:pPr>
        <w:jc w:val="both"/>
        <w:ind w:firstLine="648"/>
        <w:spacing w:after="0" w:line="270" w:lineRule="auto"/>
        <w:rPr>
          <w:sz w:val="20"/>
          <w:szCs w:val="20"/>
          <w:color w:val="auto"/>
        </w:rPr>
      </w:pPr>
      <w:r>
        <w:rPr>
          <w:rFonts w:ascii="Arial" w:cs="Arial" w:eastAsia="Arial" w:hAnsi="Arial"/>
          <w:sz w:val="17"/>
          <w:szCs w:val="17"/>
          <w:color w:val="auto"/>
        </w:rPr>
        <w:t>From time to time, we implement additions to or changes in the hardware and software platforms we use for providing our online services. During and after the implementation of additions or changes, a platform may not perform as expected, which could result in interruptions in operations, an increase in response time or an inability to track performance metrics. In addition, in connection with integrating acquired businesses, we may move their operations to our hardware and software platforms or make other changes, any of which could result in interruptions in those operations. Any significant interruption in our ability to operate any of our online services could have an adverse effect on our relationships with users and clients and, as a result, on our financial results. We rely on a combination of purchasing, licensing, internal development, and acquisitions to develop our hardware and software platforms. Our implementation of additions to or changes in these platforms may cost more than originally expected, may take longer than originally expected, and may require more testing than originally anticipated. In addition, we cannot provide assurance that additions to or changes in these platforms will provide the additional functionality and other benefits that were originally expected.</w:t>
      </w:r>
    </w:p>
    <w:p>
      <w:pPr>
        <w:spacing w:after="0" w:line="236"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If the systems we use to provide online portals experience security breaches or are otherwise perceived to be insecure, our business could suffer</w:t>
      </w:r>
    </w:p>
    <w:p>
      <w:pPr>
        <w:spacing w:after="0" w:line="302" w:lineRule="exact"/>
        <w:rPr>
          <w:sz w:val="20"/>
          <w:szCs w:val="20"/>
          <w:color w:val="auto"/>
        </w:rPr>
      </w:pPr>
    </w:p>
    <w:p>
      <w:pPr>
        <w:jc w:val="both"/>
        <w:ind w:firstLine="648"/>
        <w:spacing w:after="0" w:line="271" w:lineRule="auto"/>
        <w:rPr>
          <w:sz w:val="20"/>
          <w:szCs w:val="20"/>
          <w:color w:val="auto"/>
        </w:rPr>
      </w:pPr>
      <w:r>
        <w:rPr>
          <w:rFonts w:ascii="Arial" w:cs="Arial" w:eastAsia="Arial" w:hAnsi="Arial"/>
          <w:sz w:val="17"/>
          <w:szCs w:val="17"/>
          <w:color w:val="auto"/>
        </w:rPr>
        <w:t>We retain and transmit confidential information, including personal health records, in the processing centers and other facilities we use to provide online services. It is critical that these facilities and infrastructure remain secure and be perceived by the marketplace as secure. A security breach could damage our reputation or result in liability. We may be required to expend significant capital and other resources to protect against security breaches and hackers or to alleviate problems caused by breaches. Despite the implementation of security measures, this infrastructure or other systems that we interface with, including the Internet and related systems, may be vulnerable to physical break-ins, hackers, improper employee or contractor access, computer viruses, programming errors, denial-of-service attacks or other attacks by third parties or similar disruptive problems. Any compromise of our security, whether as a result of our own systems or the systems that they interface with, could reduce demand for our services and could subject us to legal claims from our clients and users, including for breach of contract or breach of warranty.</w:t>
      </w:r>
    </w:p>
    <w:p>
      <w:pPr>
        <w:spacing w:after="0" w:line="200" w:lineRule="exact"/>
        <w:rPr>
          <w:sz w:val="20"/>
          <w:szCs w:val="20"/>
          <w:color w:val="auto"/>
        </w:rPr>
      </w:pPr>
    </w:p>
    <w:p>
      <w:pPr>
        <w:spacing w:after="0" w:line="27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24662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607" w:right="239" w:bottom="1440" w:gutter="0" w:footer="0" w:header="0"/>
        </w:sectPr>
      </w:pPr>
    </w:p>
    <w:bookmarkStart w:id="9" w:name="page10"/>
    <w:bookmarkEnd w:id="9"/>
    <w:p>
      <w:pPr>
        <w:spacing w:after="0"/>
        <w:rPr>
          <w:sz w:val="20"/>
          <w:szCs w:val="20"/>
          <w:color w:val="auto"/>
        </w:rPr>
      </w:pPr>
      <w:r>
        <w:rPr>
          <w:rFonts w:ascii="Arial" w:cs="Arial" w:eastAsia="Arial" w:hAnsi="Arial"/>
          <w:sz w:val="18"/>
          <w:szCs w:val="18"/>
          <w:b w:val="1"/>
          <w:bCs w:val="1"/>
          <w:i w:val="1"/>
          <w:iCs w:val="1"/>
          <w:color w:val="auto"/>
        </w:rPr>
        <w:t>Our online services are dependent on the development and maintenance of the Internet infrastructure</w:t>
      </w:r>
    </w:p>
    <w:p>
      <w:pPr>
        <w:spacing w:after="0" w:line="279" w:lineRule="exact"/>
        <w:rPr>
          <w:sz w:val="20"/>
          <w:szCs w:val="20"/>
          <w:color w:val="auto"/>
        </w:rPr>
      </w:pPr>
    </w:p>
    <w:p>
      <w:pPr>
        <w:jc w:val="both"/>
        <w:ind w:firstLine="648"/>
        <w:spacing w:after="0" w:line="255" w:lineRule="auto"/>
        <w:rPr>
          <w:sz w:val="20"/>
          <w:szCs w:val="20"/>
          <w:color w:val="auto"/>
        </w:rPr>
      </w:pPr>
      <w:r>
        <w:rPr>
          <w:rFonts w:ascii="Arial" w:cs="Arial" w:eastAsia="Arial" w:hAnsi="Arial"/>
          <w:sz w:val="18"/>
          <w:szCs w:val="18"/>
          <w:color w:val="auto"/>
        </w:rPr>
        <w:t>Our ability to deliver our online services is dependent on the development and maintenance of the infrastructure of the Internet by third parties. The Internet has experienced a variety of outages and other delays as a result of damages to portions of its infrastructure, and it could face outages and delays in the future. The Internet has also experienced, and is likely to continue to experience, significant growth in the number of users and the amount of traffic. If the Internet continues to experience increased usage, the Internet infrastructure may be unable to support the demands placed on it. In addition, the reliability and performance of the Internet may be harmed by increased usage or by denial-of-service attacks. Any resulting interruptions in our services or increases in response time could, if significant, result in a loss of potential or existing users of and advertisers and sponsors on our Web sites and, if sustained or repeated, could reduce the attractiveness of our services.</w:t>
      </w:r>
    </w:p>
    <w:p>
      <w:pPr>
        <w:spacing w:after="0" w:line="243"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18"/>
          <w:szCs w:val="18"/>
          <w:color w:val="auto"/>
        </w:rPr>
        <w:t>Customers who utilize our online services depend on Internet service providers and other Web site operators for access to our Web sites. All of these providers have experienced significant outages in the past and could experience outages, delays and other difficulties in the future due to system failures unrelated to our systems. Any such outages or other failures on their part could reduce traffic to our Web sites.</w:t>
      </w:r>
    </w:p>
    <w:p>
      <w:pPr>
        <w:spacing w:after="0" w:line="231" w:lineRule="exact"/>
        <w:rPr>
          <w:sz w:val="20"/>
          <w:szCs w:val="20"/>
          <w:color w:val="auto"/>
        </w:rPr>
      </w:pPr>
    </w:p>
    <w:p>
      <w:pPr>
        <w:ind w:left="2700"/>
        <w:spacing w:after="0"/>
        <w:rPr>
          <w:sz w:val="20"/>
          <w:szCs w:val="20"/>
          <w:color w:val="auto"/>
        </w:rPr>
      </w:pPr>
      <w:r>
        <w:rPr>
          <w:rFonts w:ascii="Arial" w:cs="Arial" w:eastAsia="Arial" w:hAnsi="Arial"/>
          <w:sz w:val="18"/>
          <w:szCs w:val="18"/>
          <w:b w:val="1"/>
          <w:bCs w:val="1"/>
          <w:color w:val="auto"/>
        </w:rPr>
        <w:t>Risks Related to the Legal and Regulatory Environment in Which We Operate</w:t>
      </w:r>
    </w:p>
    <w:p>
      <w:pPr>
        <w:spacing w:after="0" w:line="28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Government regulation of healthcare creates risks and challenges with respect to our compliance efforts and our business strategies</w:t>
      </w:r>
    </w:p>
    <w:p>
      <w:pPr>
        <w:spacing w:after="0" w:line="279" w:lineRule="exact"/>
        <w:rPr>
          <w:sz w:val="20"/>
          <w:szCs w:val="20"/>
          <w:color w:val="auto"/>
        </w:rPr>
      </w:pPr>
    </w:p>
    <w:p>
      <w:pPr>
        <w:jc w:val="both"/>
        <w:ind w:firstLine="648"/>
        <w:spacing w:after="0" w:line="255" w:lineRule="auto"/>
        <w:rPr>
          <w:sz w:val="20"/>
          <w:szCs w:val="20"/>
          <w:color w:val="auto"/>
        </w:rPr>
      </w:pPr>
      <w:r>
        <w:rPr>
          <w:rFonts w:ascii="Arial" w:cs="Arial" w:eastAsia="Arial" w:hAnsi="Arial"/>
          <w:sz w:val="18"/>
          <w:szCs w:val="18"/>
          <w:color w:val="auto"/>
        </w:rPr>
        <w:t>The healthcare industry is highly regulated and is subject to changing political, legislative, regulatory and other influences. Existing and new laws and regulations affecting the healthcare industry could create unexpected liabilities for us, could cause us to incur additional costs and could restrict our operations. Many healthcare laws are complex, and their application to specific products and services may not be clear. In particular, many existing healthcare laws and regulations, when enacted, did not anticipate the healthcare information services that we provide. However, these laws and regulations may nonetheless be applied to our products and services. Our failure to accurately anticipate the application of these laws and regulations, or other failure to comply, could create liability for us, result in adverse publicity and negatively affect our businesses. Some of the risks we face from healthcare regulation are as follows:</w:t>
      </w:r>
    </w:p>
    <w:p>
      <w:pPr>
        <w:sectPr>
          <w:pgSz w:w="11900" w:h="16838" w:orient="portrait"/>
          <w:cols w:equalWidth="0" w:num="1">
            <w:col w:w="11420"/>
          </w:cols>
          <w:pgMar w:left="240" w:top="638" w:right="239" w:bottom="1440" w:gutter="0" w:footer="0" w:header="0"/>
        </w:sectPr>
      </w:pPr>
    </w:p>
    <w:p>
      <w:pPr>
        <w:spacing w:after="0" w:line="243" w:lineRule="exact"/>
        <w:rPr>
          <w:sz w:val="20"/>
          <w:szCs w:val="20"/>
          <w:color w:val="auto"/>
        </w:rPr>
      </w:pPr>
    </w:p>
    <w:p>
      <w:pPr>
        <w:ind w:left="580"/>
        <w:spacing w:after="0"/>
        <w:rPr>
          <w:sz w:val="20"/>
          <w:szCs w:val="20"/>
          <w:color w:val="auto"/>
        </w:rPr>
      </w:pPr>
      <w:r>
        <w:rPr>
          <w:rFonts w:ascii="Arial" w:cs="Arial" w:eastAsia="Arial" w:hAnsi="Arial"/>
          <w:sz w:val="18"/>
          <w:szCs w:val="18"/>
          <w:color w:val="auto"/>
        </w:rPr>
        <w:t>•</w:t>
      </w:r>
    </w:p>
    <w:p>
      <w:pPr>
        <w:spacing w:after="0" w:line="20" w:lineRule="exact"/>
        <w:rPr>
          <w:sz w:val="20"/>
          <w:szCs w:val="20"/>
          <w:color w:val="auto"/>
        </w:rPr>
      </w:pPr>
      <w:r>
        <w:rPr>
          <w:sz w:val="20"/>
          <w:szCs w:val="20"/>
          <w:color w:val="auto"/>
        </w:rPr>
        <w:br w:type="column"/>
      </w:r>
    </w:p>
    <w:p>
      <w:pPr>
        <w:spacing w:after="0" w:line="223" w:lineRule="exact"/>
        <w:rPr>
          <w:sz w:val="20"/>
          <w:szCs w:val="20"/>
          <w:color w:val="auto"/>
        </w:rPr>
      </w:pPr>
    </w:p>
    <w:p>
      <w:pPr>
        <w:jc w:val="both"/>
        <w:ind w:right="20"/>
        <w:spacing w:after="0" w:line="288" w:lineRule="auto"/>
        <w:rPr>
          <w:sz w:val="20"/>
          <w:szCs w:val="20"/>
          <w:color w:val="auto"/>
        </w:rPr>
      </w:pPr>
      <w:r>
        <w:rPr>
          <w:rFonts w:ascii="Arial" w:cs="Arial" w:eastAsia="Arial" w:hAnsi="Arial"/>
          <w:sz w:val="16"/>
          <w:szCs w:val="16"/>
          <w:i w:val="1"/>
          <w:iCs w:val="1"/>
          <w:color w:val="auto"/>
        </w:rPr>
        <w:t xml:space="preserve">Regulation of Drug and Medical Device Advertising and Promotion. </w:t>
      </w:r>
      <w:r>
        <w:rPr>
          <w:rFonts w:ascii="Arial" w:cs="Arial" w:eastAsia="Arial" w:hAnsi="Arial"/>
          <w:sz w:val="16"/>
          <w:szCs w:val="16"/>
          <w:color w:val="auto"/>
        </w:rPr>
        <w:t>Our website provides services involving advertising and promotion of</w:t>
      </w:r>
      <w:r>
        <w:rPr>
          <w:rFonts w:ascii="Arial" w:cs="Arial" w:eastAsia="Arial" w:hAnsi="Arial"/>
          <w:sz w:val="16"/>
          <w:szCs w:val="16"/>
          <w:i w:val="1"/>
          <w:iCs w:val="1"/>
          <w:color w:val="auto"/>
        </w:rPr>
        <w:t xml:space="preserve"> </w:t>
      </w:r>
      <w:r>
        <w:rPr>
          <w:rFonts w:ascii="Arial" w:cs="Arial" w:eastAsia="Arial" w:hAnsi="Arial"/>
          <w:sz w:val="16"/>
          <w:szCs w:val="16"/>
          <w:color w:val="auto"/>
        </w:rPr>
        <w:t xml:space="preserve">prescription and over-the-counter drugs and medical devices. If the FDA or the FTC finds that any information on </w:t>
      </w:r>
      <w:r>
        <w:rPr>
          <w:rFonts w:ascii="Arial" w:cs="Arial" w:eastAsia="Arial" w:hAnsi="Arial"/>
          <w:sz w:val="16"/>
          <w:szCs w:val="16"/>
          <w:i w:val="1"/>
          <w:iCs w:val="1"/>
          <w:color w:val="auto"/>
        </w:rPr>
        <w:t>OptimizeRx.com</w:t>
      </w:r>
      <w:r>
        <w:rPr>
          <w:rFonts w:ascii="Arial" w:cs="Arial" w:eastAsia="Arial" w:hAnsi="Arial"/>
          <w:sz w:val="16"/>
          <w:szCs w:val="16"/>
          <w:color w:val="auto"/>
        </w:rPr>
        <w:t xml:space="preserve"> violates FDA or FTC regulations, they may take regulatory or judicial action against us and/or the advertiser or sponsor of that information. State attorneys general may also take similar action based on their state’s consumer protection statutes. Any increase or change in regulation of drug or medical device advertising and promotion could make it more difficult for us to contract for sponsorships and advertising. Members of Congress, physician groups and others have criticized the FDA’s current policies, and have called for restrictions on advertising of prescription drugs to consumers and increased FDA enforcement. We cannot predict what actions the FDA or industry participants may take in response to these criticisms. It is also possible that new laws would be enacted that impose restrictions on such advertising. Our advertising and sponsorship revenue could be materially reduced by additional restrictions on the advertising of prescription drugs and medical devices to consumers, whether imposed by law or regulation or required under policies adopted by industry members.</w:t>
      </w:r>
    </w:p>
    <w:p>
      <w:pPr>
        <w:spacing w:after="0" w:line="169" w:lineRule="exact"/>
        <w:rPr>
          <w:sz w:val="20"/>
          <w:szCs w:val="20"/>
          <w:color w:val="auto"/>
        </w:rPr>
      </w:pPr>
    </w:p>
    <w:p>
      <w:pPr>
        <w:sectPr>
          <w:pgSz w:w="11900" w:h="16838" w:orient="portrait"/>
          <w:cols w:equalWidth="0" w:num="2">
            <w:col w:w="660" w:space="500"/>
            <w:col w:w="10260"/>
          </w:cols>
          <w:pgMar w:left="240" w:top="638" w:right="239" w:bottom="1440" w:gutter="0" w:footer="0" w:header="0"/>
          <w:type w:val="continuous"/>
        </w:sectPr>
      </w:pPr>
    </w:p>
    <w:p>
      <w:pPr>
        <w:jc w:val="both"/>
        <w:ind w:left="1160" w:right="20" w:hanging="571"/>
        <w:spacing w:after="0" w:line="288" w:lineRule="auto"/>
        <w:tabs>
          <w:tab w:leader="none" w:pos="1160" w:val="left"/>
        </w:tabs>
        <w:numPr>
          <w:ilvl w:val="0"/>
          <w:numId w:val="9"/>
        </w:numPr>
        <w:rPr>
          <w:rFonts w:ascii="Arial" w:cs="Arial" w:eastAsia="Arial" w:hAnsi="Arial"/>
          <w:sz w:val="16"/>
          <w:szCs w:val="16"/>
          <w:color w:val="auto"/>
        </w:rPr>
      </w:pPr>
      <w:r>
        <w:rPr>
          <w:rFonts w:ascii="Arial" w:cs="Arial" w:eastAsia="Arial" w:hAnsi="Arial"/>
          <w:sz w:val="16"/>
          <w:szCs w:val="16"/>
          <w:i w:val="1"/>
          <w:iCs w:val="1"/>
          <w:color w:val="auto"/>
        </w:rPr>
        <w:t xml:space="preserve">Anti-kickback Laws. </w:t>
      </w:r>
      <w:r>
        <w:rPr>
          <w:rFonts w:ascii="Arial" w:cs="Arial" w:eastAsia="Arial" w:hAnsi="Arial"/>
          <w:sz w:val="16"/>
          <w:szCs w:val="16"/>
          <w:color w:val="auto"/>
        </w:rPr>
        <w:t>There are federal and state laws that govern patient referrals, physician financial relationships and inducements to</w:t>
      </w:r>
      <w:r>
        <w:rPr>
          <w:rFonts w:ascii="Arial" w:cs="Arial" w:eastAsia="Arial" w:hAnsi="Arial"/>
          <w:sz w:val="16"/>
          <w:szCs w:val="16"/>
          <w:i w:val="1"/>
          <w:iCs w:val="1"/>
          <w:color w:val="auto"/>
        </w:rPr>
        <w:t xml:space="preserve"> </w:t>
      </w:r>
      <w:r>
        <w:rPr>
          <w:rFonts w:ascii="Arial" w:cs="Arial" w:eastAsia="Arial" w:hAnsi="Arial"/>
          <w:sz w:val="16"/>
          <w:szCs w:val="16"/>
          <w:color w:val="auto"/>
        </w:rPr>
        <w:t>healthcare providers and patients. The federal healthcare programs’ anti-kickback law prohibits any person or entity from offering, paying, soliciting or receiving anything of value, directly or indirectly, for the referral of patients covered by Medicare, Medicaid and other federal healthcare programs or the leasing, purchasing, ordering or arranging for or recommending the lease, purchase or order of any item, good, facility or service covered by these programs. Many states also have similar anti-kickback laws that are not necessarily limited to items or services for which payment is made by a federal healthcare program. These laws are applicable to manufacturers and distributors and, therefore, may restrict how we and some of our customers market products to healthcare providers, including e-details. Any determination by a state or federal regulatory agency that any of our practices violate any of these laws could subject us to civil or criminal penalties and require us to change or terminate some portions of our business and could have an adverse effect on our business. Even an unsuccessful challenge by regulatory authorities of our practices could result in adverse publicity and be costly for us to respond to.</w:t>
      </w:r>
    </w:p>
    <w:p>
      <w:pPr>
        <w:spacing w:after="0" w:line="169" w:lineRule="exact"/>
        <w:rPr>
          <w:rFonts w:ascii="Arial" w:cs="Arial" w:eastAsia="Arial" w:hAnsi="Arial"/>
          <w:sz w:val="16"/>
          <w:szCs w:val="16"/>
          <w:color w:val="auto"/>
        </w:rPr>
      </w:pPr>
    </w:p>
    <w:p>
      <w:pPr>
        <w:jc w:val="both"/>
        <w:ind w:left="1160" w:right="20" w:hanging="571"/>
        <w:spacing w:after="0" w:line="279" w:lineRule="auto"/>
        <w:tabs>
          <w:tab w:leader="none" w:pos="1160" w:val="left"/>
        </w:tabs>
        <w:numPr>
          <w:ilvl w:val="0"/>
          <w:numId w:val="9"/>
        </w:numPr>
        <w:rPr>
          <w:rFonts w:ascii="Arial" w:cs="Arial" w:eastAsia="Arial" w:hAnsi="Arial"/>
          <w:sz w:val="17"/>
          <w:szCs w:val="17"/>
          <w:color w:val="auto"/>
        </w:rPr>
      </w:pPr>
      <w:r>
        <w:rPr>
          <w:rFonts w:ascii="Arial" w:cs="Arial" w:eastAsia="Arial" w:hAnsi="Arial"/>
          <w:sz w:val="17"/>
          <w:szCs w:val="17"/>
          <w:i w:val="1"/>
          <w:iCs w:val="1"/>
          <w:color w:val="auto"/>
        </w:rPr>
        <w:t xml:space="preserve">Medical Professional Regulation. </w:t>
      </w:r>
      <w:r>
        <w:rPr>
          <w:rFonts w:ascii="Arial" w:cs="Arial" w:eastAsia="Arial" w:hAnsi="Arial"/>
          <w:sz w:val="17"/>
          <w:szCs w:val="17"/>
          <w:color w:val="auto"/>
        </w:rPr>
        <w:t>The practice of most healthcare professions requires licensing under applicable state law. In addition, the</w:t>
      </w:r>
      <w:r>
        <w:rPr>
          <w:rFonts w:ascii="Arial" w:cs="Arial" w:eastAsia="Arial" w:hAnsi="Arial"/>
          <w:sz w:val="17"/>
          <w:szCs w:val="17"/>
          <w:i w:val="1"/>
          <w:iCs w:val="1"/>
          <w:color w:val="auto"/>
        </w:rPr>
        <w:t xml:space="preserve"> </w:t>
      </w:r>
      <w:r>
        <w:rPr>
          <w:rFonts w:ascii="Arial" w:cs="Arial" w:eastAsia="Arial" w:hAnsi="Arial"/>
          <w:sz w:val="17"/>
          <w:szCs w:val="17"/>
          <w:color w:val="auto"/>
        </w:rPr>
        <w:t>laws in some states prohibit business entities from practicing medicine. If a state determines that some portion of our business violates these laws, it may seek to have us discontinue those portions or subject us to penalties or licensure requirements. Any determination that we are a healthcare provider and have acted improperly as a healthcare provider may result in liability to us.</w:t>
      </w:r>
    </w:p>
    <w:p>
      <w:pPr>
        <w:spacing w:after="0" w:line="200" w:lineRule="exact"/>
        <w:rPr>
          <w:sz w:val="20"/>
          <w:szCs w:val="20"/>
          <w:color w:val="auto"/>
        </w:rPr>
      </w:pPr>
    </w:p>
    <w:p>
      <w:pPr>
        <w:spacing w:after="0" w:line="26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246620"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638" w:right="239" w:bottom="1440" w:gutter="0" w:footer="0" w:header="0"/>
          <w:type w:val="continuous"/>
        </w:sectPr>
      </w:pPr>
    </w:p>
    <w:bookmarkStart w:id="10" w:name="page11"/>
    <w:bookmarkEnd w:id="10"/>
    <w:p>
      <w:pPr>
        <w:spacing w:after="0"/>
        <w:rPr>
          <w:sz w:val="20"/>
          <w:szCs w:val="20"/>
          <w:color w:val="auto"/>
        </w:rPr>
      </w:pPr>
      <w:r>
        <w:rPr>
          <w:rFonts w:ascii="Arial" w:cs="Arial" w:eastAsia="Arial" w:hAnsi="Arial"/>
          <w:sz w:val="18"/>
          <w:szCs w:val="18"/>
          <w:b w:val="1"/>
          <w:bCs w:val="1"/>
          <w:i w:val="1"/>
          <w:iCs w:val="1"/>
          <w:color w:val="auto"/>
        </w:rPr>
        <w:t>Government regulation of the Internet could adversely affect our business</w:t>
      </w:r>
    </w:p>
    <w:p>
      <w:pPr>
        <w:spacing w:after="0" w:line="279" w:lineRule="exact"/>
        <w:rPr>
          <w:sz w:val="20"/>
          <w:szCs w:val="20"/>
          <w:color w:val="auto"/>
        </w:rPr>
      </w:pPr>
    </w:p>
    <w:p>
      <w:pPr>
        <w:jc w:val="both"/>
        <w:ind w:firstLine="648"/>
        <w:spacing w:after="0" w:line="255" w:lineRule="auto"/>
        <w:rPr>
          <w:sz w:val="20"/>
          <w:szCs w:val="20"/>
          <w:color w:val="auto"/>
        </w:rPr>
      </w:pPr>
      <w:r>
        <w:rPr>
          <w:rFonts w:ascii="Arial" w:cs="Arial" w:eastAsia="Arial" w:hAnsi="Arial"/>
          <w:sz w:val="18"/>
          <w:szCs w:val="18"/>
          <w:color w:val="auto"/>
        </w:rPr>
        <w:t>The Internet and its associated technologies are subject to government regulation. Our failure, or the failure of our business partners or third-party service providers, to accurately anticipate the application of laws and regulations affecting our products and services and the manner in which we deliver them, or any other failure to comply with such laws and regulations, could create liability for us, result in adverse publicity and negatively affect our business. In addition, new laws and regulations, or new interpretations of existing laws and regulations, may be adopted with respect to the Internet or other online services covering user privacy, patient confidentiality, consumer protection and other issues, including pricing, content, copyrights and patents, distribution and characteristics and quality of products and services. We cannot predict whether these laws or regulations will change or how such changes will affect our business.</w:t>
      </w:r>
    </w:p>
    <w:p>
      <w:pPr>
        <w:spacing w:after="0" w:line="243"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We face potential liability related to the privacy and security of personal information we collect from or on behalf of users of our services</w:t>
      </w:r>
    </w:p>
    <w:p>
      <w:pPr>
        <w:spacing w:after="0" w:line="291" w:lineRule="exact"/>
        <w:rPr>
          <w:sz w:val="20"/>
          <w:szCs w:val="20"/>
          <w:color w:val="auto"/>
        </w:rPr>
      </w:pPr>
    </w:p>
    <w:p>
      <w:pPr>
        <w:jc w:val="both"/>
        <w:ind w:firstLine="648"/>
        <w:spacing w:after="0" w:line="287" w:lineRule="auto"/>
        <w:rPr>
          <w:sz w:val="20"/>
          <w:szCs w:val="20"/>
          <w:color w:val="auto"/>
        </w:rPr>
      </w:pPr>
      <w:r>
        <w:rPr>
          <w:rFonts w:ascii="Arial" w:cs="Arial" w:eastAsia="Arial" w:hAnsi="Arial"/>
          <w:sz w:val="16"/>
          <w:szCs w:val="16"/>
          <w:color w:val="auto"/>
        </w:rPr>
        <w:t>Privacy of personal health information, particularly personal health information stored or transmitted electronically, is a major issue in the United States. The Privacy Standards under the Health Insurance Portability and Accountability Act of 1996 (or HIPAA) establish a set of basic national privacy standards for the protection of individually identifiable health information by health plans, healthcare clearinghouses and healthcare providers (referred to as covered entities) and their business associates. Only covered entities are directly subject to potential civil and criminal liability under the Privacy Standards. Accordingly, the Privacy Standards do not apply directly to us. However, portions of our business, such as those managing employee or plan member health information for employers or health plans, are or may be business associates of covered entities and are bound by certain contracts and agreements to use and disclose protected health information in a manner consistent with the Privacy Standards. Depending on the facts and circumstances, we could potentially be subject to criminal liability for aiding and abetting or conspiring with a covered entity to violate the Privacy Standards. We cannot assure you that we will adequately address the risks created by the Privacy Standards. In addition, we are unable to predict what changes to the Privacy Standards might be made in the future or how those changes could affect our business. Any new legislation or regulation in the area of privacy of personal information, including personal health information, could also affect the way we operate our business and could harm our business.</w:t>
      </w:r>
    </w:p>
    <w:p>
      <w:pPr>
        <w:spacing w:after="0" w:line="227" w:lineRule="exact"/>
        <w:rPr>
          <w:sz w:val="20"/>
          <w:szCs w:val="20"/>
          <w:color w:val="auto"/>
        </w:rPr>
      </w:pPr>
    </w:p>
    <w:p>
      <w:pPr>
        <w:jc w:val="both"/>
        <w:ind w:firstLine="648"/>
        <w:spacing w:after="0" w:line="270" w:lineRule="auto"/>
        <w:rPr>
          <w:sz w:val="20"/>
          <w:szCs w:val="20"/>
          <w:color w:val="auto"/>
        </w:rPr>
      </w:pPr>
      <w:r>
        <w:rPr>
          <w:rFonts w:ascii="Arial" w:cs="Arial" w:eastAsia="Arial" w:hAnsi="Arial"/>
          <w:sz w:val="17"/>
          <w:szCs w:val="17"/>
          <w:color w:val="auto"/>
        </w:rPr>
        <w:t>In addition, internet user privacy and the use of consumer information to track online activities are major issues both in the United States and abroad. For example, in December 2007, the FTC published for comment proposed principles to govern tracking of consumers’ activities online in order to deliver advertising targeted to the interests of individual consumers. We have privacy policies posted on our Web sites that we believe comply with applicable laws requiring notice to users about our information collection, use and disclosure practices. However, whether and how existing privacy and consumer protection laws in various jurisdictions apply to the Internet is still uncertain. We also notify users about our information collection, use and disclosure practices relating to data we receive through offline means such as paper health risk assessments. We cannot assure you that the privacy policies and other statements we provide to users of our products and services, or our practices will be found sufficient to protect us from liability or adverse publicity in this area. A determination by a state or federal agency or court that any of our practices do not meet applicable standards, or the implementation of new standards or requirements, could adversely affect our business.</w:t>
      </w:r>
    </w:p>
    <w:p>
      <w:pPr>
        <w:spacing w:after="0" w:line="23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We may not be successful in protecting our intellectual property and proprietary rights</w:t>
      </w:r>
    </w:p>
    <w:p>
      <w:pPr>
        <w:spacing w:after="0" w:line="279" w:lineRule="exact"/>
        <w:rPr>
          <w:sz w:val="20"/>
          <w:szCs w:val="20"/>
          <w:color w:val="auto"/>
        </w:rPr>
      </w:pPr>
    </w:p>
    <w:p>
      <w:pPr>
        <w:jc w:val="both"/>
        <w:ind w:firstLine="648"/>
        <w:spacing w:after="0" w:line="255" w:lineRule="auto"/>
        <w:rPr>
          <w:sz w:val="20"/>
          <w:szCs w:val="20"/>
          <w:color w:val="auto"/>
        </w:rPr>
      </w:pPr>
      <w:r>
        <w:rPr>
          <w:rFonts w:ascii="Arial" w:cs="Arial" w:eastAsia="Arial" w:hAnsi="Arial"/>
          <w:sz w:val="18"/>
          <w:szCs w:val="18"/>
          <w:color w:val="auto"/>
        </w:rPr>
        <w:t>Our intellectual property and proprietary rights are important to our businesses. The steps that we take to protect our intellectual property, proprietary information and trade secrets may prove to be inadequate and, whether or not adequate, may be expensive. We rely on a combination of trade secret, patent and other intellectual property laws and confidentiality procedures and non-disclosure contractual provisions to protect our intellectual property. We cannot assure you that we will be able to detect potential or actual misappropriation or infringement of our intellectual property, proprietary information or trade secrets. Even if we detect misappropriation or infringement by a third party, we cannot assure you that we will be able to enforce our rights at a reasonable cost, or at all. In addition, our rights to intellectual property, proprietary information and trade secrets may not prevent independent third-party development and commercialization of competing products or services.</w:t>
      </w:r>
    </w:p>
    <w:p>
      <w:pPr>
        <w:spacing w:after="0" w:line="243" w:lineRule="exact"/>
        <w:rPr>
          <w:sz w:val="20"/>
          <w:szCs w:val="20"/>
          <w:color w:val="auto"/>
        </w:rPr>
      </w:pPr>
    </w:p>
    <w:p>
      <w:pPr>
        <w:jc w:val="both"/>
        <w:spacing w:after="0" w:line="277" w:lineRule="auto"/>
        <w:rPr>
          <w:sz w:val="20"/>
          <w:szCs w:val="20"/>
          <w:color w:val="auto"/>
        </w:rPr>
      </w:pPr>
      <w:r>
        <w:rPr>
          <w:rFonts w:ascii="Arial" w:cs="Arial" w:eastAsia="Arial" w:hAnsi="Arial"/>
          <w:sz w:val="18"/>
          <w:szCs w:val="18"/>
          <w:b w:val="1"/>
          <w:bCs w:val="1"/>
          <w:i w:val="1"/>
          <w:iCs w:val="1"/>
          <w:color w:val="auto"/>
        </w:rPr>
        <w:t>Third parties may claim that we are infringing their intellectual property, and we could suffer significant litigation or licensing expenses or be prevented from providing certain services, which may harm our business</w:t>
      </w:r>
    </w:p>
    <w:p>
      <w:pPr>
        <w:spacing w:after="0" w:line="224" w:lineRule="exact"/>
        <w:rPr>
          <w:sz w:val="20"/>
          <w:szCs w:val="20"/>
          <w:color w:val="auto"/>
        </w:rPr>
      </w:pPr>
    </w:p>
    <w:p>
      <w:pPr>
        <w:jc w:val="both"/>
        <w:ind w:firstLine="648"/>
        <w:spacing w:after="0" w:line="273" w:lineRule="auto"/>
        <w:rPr>
          <w:sz w:val="20"/>
          <w:szCs w:val="20"/>
          <w:color w:val="auto"/>
        </w:rPr>
      </w:pPr>
      <w:r>
        <w:rPr>
          <w:rFonts w:ascii="Arial" w:cs="Arial" w:eastAsia="Arial" w:hAnsi="Arial"/>
          <w:sz w:val="17"/>
          <w:szCs w:val="17"/>
          <w:color w:val="auto"/>
        </w:rPr>
        <w:t>We could be subject to claims that we are misappropriating or infringing intellectual property or other proprietary rights of others. These claims, even if not meritorious, could be expensive to defend and divert management’s attention from our operations. If we become liable to third parties for infringing these rights, we could be required to pay a substantial damage award and to develop non-infringing technology, obtain a license or cease selling the products or services that use or contain the infringing intellectual property. We may be unable to develop non-infringing products or services or obtain a license on commercially reasonable terms, or at all. We may also be required to indemnify our customers if they become subject to third-party claims relating to intellectual property that we license or otherwise provide to them, which could be costly.</w:t>
      </w:r>
    </w:p>
    <w:p>
      <w:pPr>
        <w:spacing w:after="0" w:line="200" w:lineRule="exact"/>
        <w:rPr>
          <w:sz w:val="20"/>
          <w:szCs w:val="20"/>
          <w:color w:val="auto"/>
        </w:rPr>
      </w:pPr>
    </w:p>
    <w:p>
      <w:pPr>
        <w:spacing w:after="0" w:line="27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246620" cy="88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611" w:right="239" w:bottom="1440" w:gutter="0" w:footer="0" w:header="0"/>
        </w:sectPr>
      </w:pPr>
    </w:p>
    <w:bookmarkStart w:id="11" w:name="page12"/>
    <w:bookmarkEnd w:id="11"/>
    <w:p>
      <w:pPr>
        <w:spacing w:after="0"/>
        <w:rPr>
          <w:sz w:val="20"/>
          <w:szCs w:val="20"/>
          <w:color w:val="auto"/>
        </w:rPr>
      </w:pPr>
      <w:r>
        <w:rPr>
          <w:rFonts w:ascii="Arial" w:cs="Arial" w:eastAsia="Arial" w:hAnsi="Arial"/>
          <w:sz w:val="18"/>
          <w:szCs w:val="18"/>
          <w:b w:val="1"/>
          <w:bCs w:val="1"/>
          <w:i w:val="1"/>
          <w:iCs w:val="1"/>
          <w:color w:val="auto"/>
        </w:rPr>
        <w:t>Third parties may challenge the enforceability of our online agreements</w:t>
      </w:r>
    </w:p>
    <w:p>
      <w:pPr>
        <w:spacing w:after="0" w:line="279"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18"/>
          <w:szCs w:val="18"/>
          <w:color w:val="auto"/>
        </w:rPr>
        <w:t>The law governing the validity and enforceability of online agreements and other electronic transactions is evolving. We could be subject to claims by third parties that the online terms and conditions for use of our Web sites, including disclaimers or limitations of liability, are unenforceable. A finding by a court that these terms and conditions or other online agreements are invalid could harm our business.</w:t>
      </w:r>
    </w:p>
    <w:p>
      <w:pPr>
        <w:spacing w:after="0" w:line="23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We may be subject to claims brought against us as a result of content we provide</w:t>
      </w:r>
    </w:p>
    <w:p>
      <w:pPr>
        <w:spacing w:after="0" w:line="279" w:lineRule="exact"/>
        <w:rPr>
          <w:sz w:val="20"/>
          <w:szCs w:val="20"/>
          <w:color w:val="auto"/>
        </w:rPr>
      </w:pPr>
    </w:p>
    <w:p>
      <w:pPr>
        <w:jc w:val="both"/>
        <w:ind w:firstLine="648"/>
        <w:spacing w:after="0" w:line="272" w:lineRule="auto"/>
        <w:rPr>
          <w:sz w:val="20"/>
          <w:szCs w:val="20"/>
          <w:color w:val="auto"/>
        </w:rPr>
      </w:pPr>
      <w:r>
        <w:rPr>
          <w:rFonts w:ascii="Arial" w:cs="Arial" w:eastAsia="Arial" w:hAnsi="Arial"/>
          <w:sz w:val="17"/>
          <w:szCs w:val="17"/>
          <w:color w:val="auto"/>
        </w:rPr>
        <w:t>Consumers access health-related information through our online services, including information regarding particular medical conditions and possible adverse reactions or side effects from medications. If our content, or content we obtain from third parties, contains inaccuracies, it is possible that consumers, employees, health plan members or others may sue us for various causes of action. Although our Web sites contain terms and conditions, including disclaimers of liability, that are intended to reduce or eliminate our liability, the law governing the validity and enforceability of online agreements and other electronic transactions is evolving. We could be subject to claims by third parties that our online agreements with consumers and physicians that provide the terms and conditions for use of our public or private portals are unenforceable. A finding by a court that these agreements are invalid and that we are subject to liability could harm our business and require costly changes to our business.</w:t>
      </w:r>
    </w:p>
    <w:p>
      <w:pPr>
        <w:spacing w:after="0" w:line="232" w:lineRule="exact"/>
        <w:rPr>
          <w:sz w:val="20"/>
          <w:szCs w:val="20"/>
          <w:color w:val="auto"/>
        </w:rPr>
      </w:pPr>
    </w:p>
    <w:p>
      <w:pPr>
        <w:jc w:val="both"/>
        <w:ind w:firstLine="648"/>
        <w:spacing w:after="0" w:line="297" w:lineRule="auto"/>
        <w:rPr>
          <w:sz w:val="20"/>
          <w:szCs w:val="20"/>
          <w:color w:val="auto"/>
        </w:rPr>
      </w:pPr>
      <w:r>
        <w:rPr>
          <w:rFonts w:ascii="Arial" w:cs="Arial" w:eastAsia="Arial" w:hAnsi="Arial"/>
          <w:sz w:val="16"/>
          <w:szCs w:val="16"/>
          <w:color w:val="auto"/>
        </w:rPr>
        <w:t>We have editorial procedures in place to provide quality control of the information that we publish or provide. However, we cannot assure you that our editorial and other quality control procedures will be sufficient to ensure that there are no errors or omissions in particular content. Even if potential claims do not result in liability to us, investigating and defending against these claims could be expensive and time consuming and could divert management’s attention away from our operations. In addition, our business is based on establishing the reputation of our portals as trustworthy and dependable sources of healthcare information. Allegations of impropriety or inaccuracy, even if unfounded, could therefore harm our reputation and business.</w:t>
      </w:r>
    </w:p>
    <w:p>
      <w:pPr>
        <w:spacing w:after="0" w:line="20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Risk Factors Related to Our Stock</w:t>
      </w:r>
    </w:p>
    <w:p>
      <w:pPr>
        <w:spacing w:after="0" w:line="283"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We have a history of operating losses and expect to report future losses that may cause our stock price to decline and a loss of your investment.</w:t>
      </w:r>
    </w:p>
    <w:p>
      <w:pPr>
        <w:spacing w:after="0" w:line="302" w:lineRule="exact"/>
        <w:rPr>
          <w:sz w:val="20"/>
          <w:szCs w:val="20"/>
          <w:color w:val="auto"/>
        </w:rPr>
      </w:pPr>
    </w:p>
    <w:p>
      <w:pPr>
        <w:jc w:val="both"/>
        <w:ind w:firstLine="648"/>
        <w:spacing w:after="0" w:line="276" w:lineRule="auto"/>
        <w:rPr>
          <w:sz w:val="20"/>
          <w:szCs w:val="20"/>
          <w:color w:val="auto"/>
        </w:rPr>
      </w:pPr>
      <w:r>
        <w:rPr>
          <w:rFonts w:ascii="Arial" w:cs="Arial" w:eastAsia="Arial" w:hAnsi="Arial"/>
          <w:sz w:val="17"/>
          <w:szCs w:val="17"/>
          <w:color w:val="auto"/>
        </w:rPr>
        <w:t>For the operating period since inception (January 31, 2006) through June 30, 2008, we have incurred a net cumulative loss of $963,592. We expect to continue to incur losses as we spend additional capital to develop and market our products and establish our infrastructure and organization to support anticipated operations. We cannot be certain whether we will ever earn a significant amount of revenues or profit, or if we do, that we will be able to continue earning such revenues or profit. Also, any economic weakness or global recession may limit our ability to develop and ultimately market our technologies. Any of these factors could cause our stock price to decline and result in a loss of a portion or all of your investment.</w:t>
      </w:r>
    </w:p>
    <w:p>
      <w:pPr>
        <w:spacing w:after="0" w:line="22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We may need to raise additional capital. If we are unable to raise additional capital, our business may fail.</w:t>
      </w:r>
    </w:p>
    <w:p>
      <w:pPr>
        <w:spacing w:after="0" w:line="279"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18"/>
          <w:szCs w:val="18"/>
          <w:color w:val="auto"/>
        </w:rPr>
        <w:t>Because we are a development stage company and have no revenues, we need to obtain capital to provide cash for our operations. Our current working capital is not expected to be sufficient to carry out all of our plans and to fund our operating losses until we are able to generate enough revenues to sustain our business. If we are unable to obtain adequate funding, we may not be able to successfully develop and market our products and our business will most likely fail. To secure additional financing, we may need to borrow money or sell more securities. Under these circumstances, we may be unable to secure additional financing on favorable terms or at all.</w:t>
      </w:r>
    </w:p>
    <w:p>
      <w:pPr>
        <w:spacing w:after="0" w:line="242" w:lineRule="exact"/>
        <w:rPr>
          <w:sz w:val="20"/>
          <w:szCs w:val="20"/>
          <w:color w:val="auto"/>
        </w:rPr>
      </w:pPr>
    </w:p>
    <w:p>
      <w:pPr>
        <w:jc w:val="both"/>
        <w:ind w:firstLine="648"/>
        <w:spacing w:after="0" w:line="286" w:lineRule="auto"/>
        <w:rPr>
          <w:sz w:val="20"/>
          <w:szCs w:val="20"/>
          <w:color w:val="auto"/>
        </w:rPr>
      </w:pPr>
      <w:r>
        <w:rPr>
          <w:rFonts w:ascii="Arial" w:cs="Arial" w:eastAsia="Arial" w:hAnsi="Arial"/>
          <w:sz w:val="17"/>
          <w:szCs w:val="17"/>
          <w:color w:val="auto"/>
        </w:rPr>
        <w:t>Selling additional stock, either privately or publicly, would dilute the equity interests of our stockholders. If we borrow money, we will have to pay interest and may also have to agree to restrictions that limit our operating flexibility. If we are unable to obtain adequate financing, we may have to curtail business operations which would have a material negative effect on operating results and most likely result in a lower stock price.</w:t>
      </w:r>
    </w:p>
    <w:p>
      <w:pPr>
        <w:spacing w:after="0" w:line="220" w:lineRule="exact"/>
        <w:rPr>
          <w:sz w:val="20"/>
          <w:szCs w:val="20"/>
          <w:color w:val="auto"/>
        </w:rPr>
      </w:pPr>
    </w:p>
    <w:p>
      <w:pPr>
        <w:jc w:val="both"/>
        <w:spacing w:after="0" w:line="342" w:lineRule="auto"/>
        <w:rPr>
          <w:sz w:val="20"/>
          <w:szCs w:val="20"/>
          <w:color w:val="auto"/>
        </w:rPr>
      </w:pPr>
      <w:r>
        <w:rPr>
          <w:rFonts w:ascii="Arial" w:cs="Arial" w:eastAsia="Arial" w:hAnsi="Arial"/>
          <w:sz w:val="16"/>
          <w:szCs w:val="16"/>
          <w:b w:val="1"/>
          <w:bCs w:val="1"/>
          <w:i w:val="1"/>
          <w:iCs w:val="1"/>
          <w:color w:val="auto"/>
        </w:rPr>
        <w:t>The price and trading volume of our common stock is subject to certain factors beyond our control that may result in significant price and volume volatility, which substantially increases the risk that you may not be able to sell your shares at or above the price that you pay for the shares.</w:t>
      </w:r>
    </w:p>
    <w:p>
      <w:pPr>
        <w:spacing w:after="0" w:line="178" w:lineRule="exact"/>
        <w:rPr>
          <w:sz w:val="20"/>
          <w:szCs w:val="20"/>
          <w:color w:val="auto"/>
        </w:rPr>
      </w:pPr>
    </w:p>
    <w:p>
      <w:pPr>
        <w:ind w:left="660"/>
        <w:spacing w:after="0"/>
        <w:rPr>
          <w:sz w:val="20"/>
          <w:szCs w:val="20"/>
          <w:color w:val="auto"/>
        </w:rPr>
      </w:pPr>
      <w:r>
        <w:rPr>
          <w:rFonts w:ascii="Arial" w:cs="Arial" w:eastAsia="Arial" w:hAnsi="Arial"/>
          <w:sz w:val="18"/>
          <w:szCs w:val="18"/>
          <w:color w:val="auto"/>
        </w:rPr>
        <w:t>Factors beyond our control, that may cause our share price to fluctuate significantly include, but are not limited to, the following:</w:t>
      </w:r>
    </w:p>
    <w:p>
      <w:pPr>
        <w:spacing w:after="0" w:line="279" w:lineRule="exact"/>
        <w:rPr>
          <w:sz w:val="20"/>
          <w:szCs w:val="20"/>
          <w:color w:val="auto"/>
        </w:rPr>
      </w:pPr>
    </w:p>
    <w:p>
      <w:pPr>
        <w:ind w:left="1160" w:hanging="571"/>
        <w:spacing w:after="0"/>
        <w:tabs>
          <w:tab w:leader="none" w:pos="1160" w:val="left"/>
        </w:tabs>
        <w:numPr>
          <w:ilvl w:val="0"/>
          <w:numId w:val="10"/>
        </w:numPr>
        <w:rPr>
          <w:rFonts w:ascii="Arial" w:cs="Arial" w:eastAsia="Arial" w:hAnsi="Arial"/>
          <w:sz w:val="18"/>
          <w:szCs w:val="18"/>
          <w:color w:val="auto"/>
        </w:rPr>
      </w:pPr>
      <w:r>
        <w:rPr>
          <w:rFonts w:ascii="Arial" w:cs="Arial" w:eastAsia="Arial" w:hAnsi="Arial"/>
          <w:sz w:val="18"/>
          <w:szCs w:val="18"/>
          <w:color w:val="auto"/>
        </w:rPr>
        <w:t>the development of a future market for our products;</w:t>
      </w:r>
    </w:p>
    <w:p>
      <w:pPr>
        <w:spacing w:after="0" w:line="279" w:lineRule="exact"/>
        <w:rPr>
          <w:rFonts w:ascii="Arial" w:cs="Arial" w:eastAsia="Arial" w:hAnsi="Arial"/>
          <w:sz w:val="18"/>
          <w:szCs w:val="18"/>
          <w:color w:val="auto"/>
        </w:rPr>
      </w:pPr>
    </w:p>
    <w:p>
      <w:pPr>
        <w:ind w:left="1160" w:hanging="571"/>
        <w:spacing w:after="0"/>
        <w:tabs>
          <w:tab w:leader="none" w:pos="1160" w:val="left"/>
        </w:tabs>
        <w:numPr>
          <w:ilvl w:val="0"/>
          <w:numId w:val="10"/>
        </w:numPr>
        <w:rPr>
          <w:rFonts w:ascii="Arial" w:cs="Arial" w:eastAsia="Arial" w:hAnsi="Arial"/>
          <w:sz w:val="18"/>
          <w:szCs w:val="18"/>
          <w:color w:val="auto"/>
        </w:rPr>
      </w:pPr>
      <w:r>
        <w:rPr>
          <w:rFonts w:ascii="Arial" w:cs="Arial" w:eastAsia="Arial" w:hAnsi="Arial"/>
          <w:sz w:val="18"/>
          <w:szCs w:val="18"/>
          <w:color w:val="auto"/>
        </w:rPr>
        <w:t>changes in market valuations of similar companies;</w:t>
      </w:r>
    </w:p>
    <w:p>
      <w:pPr>
        <w:spacing w:after="0" w:line="200" w:lineRule="exact"/>
        <w:rPr>
          <w:sz w:val="20"/>
          <w:szCs w:val="20"/>
          <w:color w:val="auto"/>
        </w:rPr>
      </w:pPr>
    </w:p>
    <w:p>
      <w:pPr>
        <w:spacing w:after="0" w:line="32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246620" cy="889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638" w:right="239" w:bottom="1440" w:gutter="0" w:footer="0" w:header="0"/>
        </w:sectPr>
      </w:pPr>
    </w:p>
    <w:bookmarkStart w:id="12" w:name="page13"/>
    <w:bookmarkEnd w:id="12"/>
    <w:p>
      <w:pPr>
        <w:ind w:left="1160" w:hanging="571"/>
        <w:spacing w:after="0"/>
        <w:tabs>
          <w:tab w:leader="none" w:pos="1160" w:val="left"/>
        </w:tabs>
        <w:numPr>
          <w:ilvl w:val="0"/>
          <w:numId w:val="11"/>
        </w:numPr>
        <w:rPr>
          <w:rFonts w:ascii="Arial" w:cs="Arial" w:eastAsia="Arial" w:hAnsi="Arial"/>
          <w:sz w:val="16"/>
          <w:szCs w:val="16"/>
          <w:color w:val="auto"/>
        </w:rPr>
      </w:pPr>
      <w:r>
        <w:rPr>
          <w:rFonts w:ascii="Arial" w:cs="Arial" w:eastAsia="Arial" w:hAnsi="Arial"/>
          <w:sz w:val="16"/>
          <w:szCs w:val="16"/>
          <w:color w:val="auto"/>
        </w:rPr>
        <w:t>announcement by us or our competitors of significant contracts, acquisitions, strategic partnerships, joint ventures or capital commitments;</w:t>
      </w:r>
    </w:p>
    <w:p>
      <w:pPr>
        <w:spacing w:after="0" w:line="302" w:lineRule="exact"/>
        <w:rPr>
          <w:rFonts w:ascii="Arial" w:cs="Arial" w:eastAsia="Arial" w:hAnsi="Arial"/>
          <w:sz w:val="16"/>
          <w:szCs w:val="16"/>
          <w:color w:val="auto"/>
        </w:rPr>
      </w:pPr>
    </w:p>
    <w:p>
      <w:pPr>
        <w:ind w:left="1160" w:hanging="571"/>
        <w:spacing w:after="0"/>
        <w:tabs>
          <w:tab w:leader="none" w:pos="1160" w:val="left"/>
        </w:tabs>
        <w:numPr>
          <w:ilvl w:val="0"/>
          <w:numId w:val="11"/>
        </w:numPr>
        <w:rPr>
          <w:rFonts w:ascii="Arial" w:cs="Arial" w:eastAsia="Arial" w:hAnsi="Arial"/>
          <w:sz w:val="18"/>
          <w:szCs w:val="18"/>
          <w:color w:val="auto"/>
        </w:rPr>
      </w:pPr>
      <w:r>
        <w:rPr>
          <w:rFonts w:ascii="Arial" w:cs="Arial" w:eastAsia="Arial" w:hAnsi="Arial"/>
          <w:sz w:val="18"/>
          <w:szCs w:val="18"/>
          <w:color w:val="auto"/>
        </w:rPr>
        <w:t>additions or departures of key personnel; and</w:t>
      </w:r>
    </w:p>
    <w:p>
      <w:pPr>
        <w:spacing w:after="0" w:line="279" w:lineRule="exact"/>
        <w:rPr>
          <w:rFonts w:ascii="Arial" w:cs="Arial" w:eastAsia="Arial" w:hAnsi="Arial"/>
          <w:sz w:val="18"/>
          <w:szCs w:val="18"/>
          <w:color w:val="auto"/>
        </w:rPr>
      </w:pPr>
    </w:p>
    <w:p>
      <w:pPr>
        <w:ind w:left="1160" w:hanging="571"/>
        <w:spacing w:after="0"/>
        <w:tabs>
          <w:tab w:leader="none" w:pos="1160" w:val="left"/>
        </w:tabs>
        <w:numPr>
          <w:ilvl w:val="0"/>
          <w:numId w:val="11"/>
        </w:numPr>
        <w:rPr>
          <w:rFonts w:ascii="Arial" w:cs="Arial" w:eastAsia="Arial" w:hAnsi="Arial"/>
          <w:sz w:val="18"/>
          <w:szCs w:val="18"/>
          <w:color w:val="auto"/>
        </w:rPr>
      </w:pPr>
      <w:r>
        <w:rPr>
          <w:rFonts w:ascii="Arial" w:cs="Arial" w:eastAsia="Arial" w:hAnsi="Arial"/>
          <w:sz w:val="18"/>
          <w:szCs w:val="18"/>
          <w:color w:val="auto"/>
        </w:rPr>
        <w:t>fluctuations in stock market price and volume.</w:t>
      </w:r>
    </w:p>
    <w:p>
      <w:pPr>
        <w:spacing w:after="0" w:line="279"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18"/>
          <w:szCs w:val="18"/>
          <w:color w:val="auto"/>
        </w:rPr>
        <w:t>Additionally, in recent years the stock market in general, and technology stocks in particular, have experienced extreme price and volume fluctuations. In some cases these fluctuations are unrelated or disproportionate to the operating performance of the underlying company. These market and industry factors may materially and adversely affect our stock price regardless of our operating performance. The historical trading of our common stock is not necessarily an indicator of how it will trade in the future and our trading price as of the date of this prospectus is not necessarily an indicator of what the trading price of our common stock might be in the future.</w:t>
      </w:r>
    </w:p>
    <w:p>
      <w:pPr>
        <w:spacing w:after="0" w:line="242"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18"/>
          <w:szCs w:val="18"/>
          <w:color w:val="auto"/>
        </w:rPr>
        <w:t>In the past, class action litigation has often been brought against companies following periods of volatility in the market price of those companies' common stock. If we become involved in this type of litigation in the future it could result in substantial costs and diversion of management attention and resources, which could have a further negative effect on your investment in our stock.</w:t>
      </w:r>
    </w:p>
    <w:p>
      <w:pPr>
        <w:spacing w:after="0" w:line="235"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Our issuance of common stock at a price below prevailing trading prices at the time of issuance may cause our stock price to decline.</w:t>
      </w:r>
    </w:p>
    <w:p>
      <w:pPr>
        <w:spacing w:after="0" w:line="291" w:lineRule="exact"/>
        <w:rPr>
          <w:sz w:val="20"/>
          <w:szCs w:val="20"/>
          <w:color w:val="auto"/>
        </w:rPr>
      </w:pPr>
    </w:p>
    <w:p>
      <w:pPr>
        <w:jc w:val="both"/>
        <w:ind w:firstLine="648"/>
        <w:spacing w:after="0" w:line="254" w:lineRule="auto"/>
        <w:rPr>
          <w:sz w:val="20"/>
          <w:szCs w:val="20"/>
          <w:color w:val="auto"/>
        </w:rPr>
      </w:pPr>
      <w:r>
        <w:rPr>
          <w:rFonts w:ascii="Arial" w:cs="Arial" w:eastAsia="Arial" w:hAnsi="Arial"/>
          <w:sz w:val="18"/>
          <w:szCs w:val="18"/>
          <w:color w:val="auto"/>
        </w:rPr>
        <w:t>As of January 30, 2009 there was outstanding $3,500,000 worth of preferred stock that is convertible into approximately 3,500,000 shares of common stock at $1.00 per share and warrants to purchase 6,600,000 shares of common stock, having an exercise price of $2.00 per share and warrants to purchase 350,000 shares of common stock, having an exercise price of $1.00 per share. These, as well as those we may issue in the future, including dividends we may issue from time to time to the holders of Series A Preferred Stock, may result in shares of common stock being issued for consideration that is less than the trading price of our common stock at the time the shares are issued. We may also issue shares of common stock in the future at a discount to the trading price of our common stock. Any such below market issuances, or the potential for such issuances, could cause our stock price to decline. Moreover, if investors holding a significant number of these shares decided to sell them in a short period of time, such sales could contribute significant downward pressure on the trading price of our stock.</w:t>
      </w:r>
    </w:p>
    <w:p>
      <w:pPr>
        <w:spacing w:after="0" w:line="246"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Our issuance of shares of preferred stock, warrants and stock options may have a negative effect on the trading price of our common stock.</w:t>
      </w:r>
    </w:p>
    <w:p>
      <w:pPr>
        <w:spacing w:after="0" w:line="291" w:lineRule="exact"/>
        <w:rPr>
          <w:sz w:val="20"/>
          <w:szCs w:val="20"/>
          <w:color w:val="auto"/>
        </w:rPr>
      </w:pPr>
    </w:p>
    <w:p>
      <w:pPr>
        <w:jc w:val="both"/>
        <w:ind w:firstLine="648"/>
        <w:spacing w:after="0" w:line="271" w:lineRule="auto"/>
        <w:rPr>
          <w:sz w:val="20"/>
          <w:szCs w:val="20"/>
          <w:color w:val="auto"/>
        </w:rPr>
      </w:pPr>
      <w:r>
        <w:rPr>
          <w:rFonts w:ascii="Arial" w:cs="Arial" w:eastAsia="Arial" w:hAnsi="Arial"/>
          <w:sz w:val="17"/>
          <w:szCs w:val="17"/>
          <w:color w:val="auto"/>
        </w:rPr>
        <w:t>We currently have a large number of shares of preferred stock, stock options and warrants outstanding. The conversion and exercise of these shares of preferred stock, stock options and warrants could cause significant dilution to our stockholders. Currently, upon the exercise of all outstanding Warrants, an additional 7,200,000 shares of Common Stock would be outstanding; upon conversion of all outstanding Series A Preferred Stock, an additional 3,500,000 shares of Common Stock would be outstanding and upon exercise of all outstanding options, an additional 365,000 shares of Common Stock would be outstanding. Moreover, we intend to continue to minimize our use of cash for consulting services by granting stock options and warrants to consultants at or below the current market price, which will cause additional dilution to our stockholders. In addition to the potential dilutive effect of issuing a large number of stock options and warrants, there is the potential that a large number of the shares may be sold in the public market at any given time, which could place additional downward pressure on the trading price of our common stock.</w:t>
      </w:r>
    </w:p>
    <w:p>
      <w:pPr>
        <w:spacing w:after="0" w:line="23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You may experience dilution of your ownership interests due to the future issuance of additional shares of our common stock.</w:t>
      </w:r>
    </w:p>
    <w:p>
      <w:pPr>
        <w:spacing w:after="0" w:line="279" w:lineRule="exact"/>
        <w:rPr>
          <w:sz w:val="20"/>
          <w:szCs w:val="20"/>
          <w:color w:val="auto"/>
        </w:rPr>
      </w:pPr>
    </w:p>
    <w:p>
      <w:pPr>
        <w:jc w:val="both"/>
        <w:ind w:firstLine="648"/>
        <w:spacing w:after="0" w:line="270" w:lineRule="auto"/>
        <w:rPr>
          <w:sz w:val="20"/>
          <w:szCs w:val="20"/>
          <w:color w:val="auto"/>
        </w:rPr>
      </w:pPr>
      <w:r>
        <w:rPr>
          <w:rFonts w:ascii="Arial" w:cs="Arial" w:eastAsia="Arial" w:hAnsi="Arial"/>
          <w:sz w:val="17"/>
          <w:szCs w:val="17"/>
          <w:color w:val="auto"/>
        </w:rPr>
        <w:t>Our board of directors may authorize the issuance of additional common or preferred shares under applicable state law without shareholder approval. We are authorized to issue 500,000,000 shares of common stock and 10,000,000 shares of preferred stock with such designations, preferences and rights as may be determined by our board of directors. We may also issue additional shares of our common stock or other securities that are convertible into or exercisable for common stock in connection with the hiring of personnel, future acquisitions, future private placements of our securities for capital raising purposes or for other business purposes. Future sales of substantial amounts of our common stock, or the perception that sales could occur, could have a material adverse effect on the price of our common stock. If we need to raise additional capital to expand or continue operations, it may be necessary for us to issue additional equity or convertible debt securities. If we issue equity or convertible debt securities, the net tangible book value per share may decrease, the percentage ownership of our current stockholders may be diluted and such equity securities may have rights, preferences or privileges senior or more advantageous to our common stockholders.</w:t>
      </w:r>
    </w:p>
    <w:p>
      <w:pPr>
        <w:spacing w:after="0" w:line="236"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b w:val="1"/>
          <w:bCs w:val="1"/>
          <w:i w:val="1"/>
          <w:iCs w:val="1"/>
          <w:color w:val="auto"/>
        </w:rPr>
        <w:t>There is no assurance of an established public trading market, which would adversely affect the ability of investors in our company to sell their securities in the public markets.</w:t>
      </w:r>
    </w:p>
    <w:p>
      <w:pPr>
        <w:spacing w:after="0" w:line="224" w:lineRule="exact"/>
        <w:rPr>
          <w:sz w:val="20"/>
          <w:szCs w:val="20"/>
          <w:color w:val="auto"/>
        </w:rPr>
      </w:pPr>
    </w:p>
    <w:p>
      <w:pPr>
        <w:jc w:val="both"/>
        <w:ind w:firstLine="648"/>
        <w:spacing w:after="0" w:line="255" w:lineRule="auto"/>
        <w:rPr>
          <w:sz w:val="20"/>
          <w:szCs w:val="20"/>
          <w:color w:val="auto"/>
        </w:rPr>
      </w:pPr>
      <w:r>
        <w:rPr>
          <w:rFonts w:ascii="Arial" w:cs="Arial" w:eastAsia="Arial" w:hAnsi="Arial"/>
          <w:sz w:val="18"/>
          <w:szCs w:val="18"/>
          <w:color w:val="auto"/>
        </w:rPr>
        <w:t>Although our common stock trades on the Pink Sheets, a regular trading market for our common stock may not be sustained in the future. The Pink Sheets is an inter-dealer market that provides significantly less liquidity than a national securities exchange or automated quotation system. Quotes for stocks included on the Pink Sheets are not listed in the financial sections of newspapers as are those for stocks listed on national securities exchanges or automated quotation systems. Therefore, prices for securities traded solely on the Pink Sheets may be difficult to obtain and holders of common stock may be unable to resell their securities at or near their original offering price or at any price. Market prices for our common stock may be influenced by a number of factors, including:</w:t>
      </w:r>
    </w:p>
    <w:p>
      <w:pPr>
        <w:spacing w:after="0" w:line="200" w:lineRule="exact"/>
        <w:rPr>
          <w:sz w:val="20"/>
          <w:szCs w:val="20"/>
          <w:color w:val="auto"/>
        </w:rPr>
      </w:pPr>
    </w:p>
    <w:p>
      <w:pPr>
        <w:spacing w:after="0" w:line="29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246620" cy="889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638" w:right="239" w:bottom="1440" w:gutter="0" w:footer="0" w:header="0"/>
        </w:sectPr>
      </w:pPr>
    </w:p>
    <w:bookmarkStart w:id="13" w:name="page14"/>
    <w:bookmarkEnd w:id="13"/>
    <w:p>
      <w:pPr>
        <w:ind w:left="1060" w:hanging="458"/>
        <w:spacing w:after="0"/>
        <w:tabs>
          <w:tab w:leader="none" w:pos="1060" w:val="left"/>
        </w:tabs>
        <w:numPr>
          <w:ilvl w:val="0"/>
          <w:numId w:val="12"/>
        </w:numPr>
        <w:rPr>
          <w:rFonts w:ascii="Arial" w:cs="Arial" w:eastAsia="Arial" w:hAnsi="Arial"/>
          <w:sz w:val="18"/>
          <w:szCs w:val="18"/>
          <w:color w:val="auto"/>
        </w:rPr>
      </w:pPr>
      <w:r>
        <w:rPr>
          <w:rFonts w:ascii="Arial" w:cs="Arial" w:eastAsia="Arial" w:hAnsi="Arial"/>
          <w:sz w:val="18"/>
          <w:szCs w:val="18"/>
          <w:color w:val="auto"/>
        </w:rPr>
        <w:t>the issuance of new equity securities;</w:t>
      </w:r>
    </w:p>
    <w:p>
      <w:pPr>
        <w:spacing w:after="0" w:line="23" w:lineRule="exact"/>
        <w:rPr>
          <w:rFonts w:ascii="Arial" w:cs="Arial" w:eastAsia="Arial" w:hAnsi="Arial"/>
          <w:sz w:val="18"/>
          <w:szCs w:val="18"/>
          <w:color w:val="auto"/>
        </w:rPr>
      </w:pPr>
    </w:p>
    <w:p>
      <w:pPr>
        <w:ind w:left="1060" w:hanging="458"/>
        <w:spacing w:after="0"/>
        <w:tabs>
          <w:tab w:leader="none" w:pos="1060" w:val="left"/>
        </w:tabs>
        <w:numPr>
          <w:ilvl w:val="0"/>
          <w:numId w:val="12"/>
        </w:numPr>
        <w:rPr>
          <w:rFonts w:ascii="Arial" w:cs="Arial" w:eastAsia="Arial" w:hAnsi="Arial"/>
          <w:sz w:val="18"/>
          <w:szCs w:val="18"/>
          <w:color w:val="auto"/>
        </w:rPr>
      </w:pPr>
      <w:r>
        <w:rPr>
          <w:rFonts w:ascii="Arial" w:cs="Arial" w:eastAsia="Arial" w:hAnsi="Arial"/>
          <w:sz w:val="18"/>
          <w:szCs w:val="18"/>
          <w:color w:val="auto"/>
        </w:rPr>
        <w:t>changes in interest rates;</w:t>
      </w:r>
    </w:p>
    <w:p>
      <w:pPr>
        <w:spacing w:after="0" w:line="9" w:lineRule="exact"/>
        <w:rPr>
          <w:rFonts w:ascii="Arial" w:cs="Arial" w:eastAsia="Arial" w:hAnsi="Arial"/>
          <w:sz w:val="18"/>
          <w:szCs w:val="18"/>
          <w:color w:val="auto"/>
        </w:rPr>
      </w:pPr>
    </w:p>
    <w:p>
      <w:pPr>
        <w:ind w:left="1060" w:right="20" w:hanging="458"/>
        <w:spacing w:after="0" w:line="250" w:lineRule="auto"/>
        <w:tabs>
          <w:tab w:leader="none" w:pos="1060" w:val="left"/>
        </w:tabs>
        <w:numPr>
          <w:ilvl w:val="0"/>
          <w:numId w:val="12"/>
        </w:numPr>
        <w:rPr>
          <w:rFonts w:ascii="Arial" w:cs="Arial" w:eastAsia="Arial" w:hAnsi="Arial"/>
          <w:sz w:val="18"/>
          <w:szCs w:val="18"/>
          <w:color w:val="auto"/>
        </w:rPr>
      </w:pPr>
      <w:r>
        <w:rPr>
          <w:rFonts w:ascii="Arial" w:cs="Arial" w:eastAsia="Arial" w:hAnsi="Arial"/>
          <w:sz w:val="18"/>
          <w:szCs w:val="18"/>
          <w:color w:val="auto"/>
        </w:rPr>
        <w:t>competitive developments, including announcements by competitors of new products or services or significant contracts, acquisitions, strategic partnerships, joint ventures or capital commitments;</w:t>
      </w:r>
    </w:p>
    <w:p>
      <w:pPr>
        <w:ind w:left="1060" w:hanging="458"/>
        <w:spacing w:after="0"/>
        <w:tabs>
          <w:tab w:leader="none" w:pos="1060" w:val="left"/>
        </w:tabs>
        <w:numPr>
          <w:ilvl w:val="0"/>
          <w:numId w:val="12"/>
        </w:numPr>
        <w:rPr>
          <w:rFonts w:ascii="Arial" w:cs="Arial" w:eastAsia="Arial" w:hAnsi="Arial"/>
          <w:sz w:val="18"/>
          <w:szCs w:val="18"/>
          <w:color w:val="auto"/>
        </w:rPr>
      </w:pPr>
      <w:r>
        <w:rPr>
          <w:rFonts w:ascii="Arial" w:cs="Arial" w:eastAsia="Arial" w:hAnsi="Arial"/>
          <w:sz w:val="18"/>
          <w:szCs w:val="18"/>
          <w:color w:val="auto"/>
        </w:rPr>
        <w:t>variations in quarterly operating results;</w:t>
      </w:r>
    </w:p>
    <w:p>
      <w:pPr>
        <w:spacing w:after="0" w:line="9" w:lineRule="exact"/>
        <w:rPr>
          <w:rFonts w:ascii="Arial" w:cs="Arial" w:eastAsia="Arial" w:hAnsi="Arial"/>
          <w:sz w:val="18"/>
          <w:szCs w:val="18"/>
          <w:color w:val="auto"/>
        </w:rPr>
      </w:pPr>
    </w:p>
    <w:p>
      <w:pPr>
        <w:ind w:left="1060" w:hanging="458"/>
        <w:spacing w:after="0"/>
        <w:tabs>
          <w:tab w:leader="none" w:pos="1060" w:val="left"/>
        </w:tabs>
        <w:numPr>
          <w:ilvl w:val="0"/>
          <w:numId w:val="12"/>
        </w:numPr>
        <w:rPr>
          <w:rFonts w:ascii="Arial" w:cs="Arial" w:eastAsia="Arial" w:hAnsi="Arial"/>
          <w:sz w:val="18"/>
          <w:szCs w:val="18"/>
          <w:color w:val="auto"/>
        </w:rPr>
      </w:pPr>
      <w:r>
        <w:rPr>
          <w:rFonts w:ascii="Arial" w:cs="Arial" w:eastAsia="Arial" w:hAnsi="Arial"/>
          <w:sz w:val="18"/>
          <w:szCs w:val="18"/>
          <w:color w:val="auto"/>
        </w:rPr>
        <w:t>change in financial estimates by securities analysts;</w:t>
      </w:r>
    </w:p>
    <w:p>
      <w:pPr>
        <w:spacing w:after="0" w:line="9" w:lineRule="exact"/>
        <w:rPr>
          <w:rFonts w:ascii="Arial" w:cs="Arial" w:eastAsia="Arial" w:hAnsi="Arial"/>
          <w:sz w:val="18"/>
          <w:szCs w:val="18"/>
          <w:color w:val="auto"/>
        </w:rPr>
      </w:pPr>
    </w:p>
    <w:p>
      <w:pPr>
        <w:ind w:left="1060" w:hanging="458"/>
        <w:spacing w:after="0"/>
        <w:tabs>
          <w:tab w:leader="none" w:pos="1060" w:val="left"/>
        </w:tabs>
        <w:numPr>
          <w:ilvl w:val="0"/>
          <w:numId w:val="12"/>
        </w:numPr>
        <w:rPr>
          <w:rFonts w:ascii="Arial" w:cs="Arial" w:eastAsia="Arial" w:hAnsi="Arial"/>
          <w:sz w:val="18"/>
          <w:szCs w:val="18"/>
          <w:color w:val="auto"/>
        </w:rPr>
      </w:pPr>
      <w:r>
        <w:rPr>
          <w:rFonts w:ascii="Arial" w:cs="Arial" w:eastAsia="Arial" w:hAnsi="Arial"/>
          <w:sz w:val="18"/>
          <w:szCs w:val="18"/>
          <w:color w:val="auto"/>
        </w:rPr>
        <w:t>the depth and liquidity of the market for our common stock;</w:t>
      </w:r>
    </w:p>
    <w:p>
      <w:pPr>
        <w:spacing w:after="0" w:line="9" w:lineRule="exact"/>
        <w:rPr>
          <w:rFonts w:ascii="Arial" w:cs="Arial" w:eastAsia="Arial" w:hAnsi="Arial"/>
          <w:sz w:val="18"/>
          <w:szCs w:val="18"/>
          <w:color w:val="auto"/>
        </w:rPr>
      </w:pPr>
    </w:p>
    <w:p>
      <w:pPr>
        <w:ind w:left="1060" w:hanging="458"/>
        <w:spacing w:after="0"/>
        <w:tabs>
          <w:tab w:leader="none" w:pos="1060" w:val="left"/>
        </w:tabs>
        <w:numPr>
          <w:ilvl w:val="0"/>
          <w:numId w:val="12"/>
        </w:numPr>
        <w:rPr>
          <w:rFonts w:ascii="Arial" w:cs="Arial" w:eastAsia="Arial" w:hAnsi="Arial"/>
          <w:sz w:val="18"/>
          <w:szCs w:val="18"/>
          <w:color w:val="auto"/>
        </w:rPr>
      </w:pPr>
      <w:r>
        <w:rPr>
          <w:rFonts w:ascii="Arial" w:cs="Arial" w:eastAsia="Arial" w:hAnsi="Arial"/>
          <w:sz w:val="18"/>
          <w:szCs w:val="18"/>
          <w:color w:val="auto"/>
        </w:rPr>
        <w:t>investor perceptions of our company and the technologies industries generally; and</w:t>
      </w:r>
    </w:p>
    <w:p>
      <w:pPr>
        <w:spacing w:after="0" w:line="9" w:lineRule="exact"/>
        <w:rPr>
          <w:rFonts w:ascii="Arial" w:cs="Arial" w:eastAsia="Arial" w:hAnsi="Arial"/>
          <w:sz w:val="18"/>
          <w:szCs w:val="18"/>
          <w:color w:val="auto"/>
        </w:rPr>
      </w:pPr>
    </w:p>
    <w:p>
      <w:pPr>
        <w:ind w:left="1060" w:hanging="458"/>
        <w:spacing w:after="0"/>
        <w:tabs>
          <w:tab w:leader="none" w:pos="1060" w:val="left"/>
        </w:tabs>
        <w:numPr>
          <w:ilvl w:val="0"/>
          <w:numId w:val="12"/>
        </w:numPr>
        <w:rPr>
          <w:rFonts w:ascii="Arial" w:cs="Arial" w:eastAsia="Arial" w:hAnsi="Arial"/>
          <w:sz w:val="18"/>
          <w:szCs w:val="18"/>
          <w:color w:val="auto"/>
        </w:rPr>
      </w:pPr>
      <w:r>
        <w:rPr>
          <w:rFonts w:ascii="Arial" w:cs="Arial" w:eastAsia="Arial" w:hAnsi="Arial"/>
          <w:sz w:val="18"/>
          <w:szCs w:val="18"/>
          <w:color w:val="auto"/>
        </w:rPr>
        <w:t>general economic and other national conditions.</w:t>
      </w:r>
    </w:p>
    <w:p>
      <w:pPr>
        <w:spacing w:after="0" w:line="26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Our limited prior public market and trading market may cause volatility in the market price of our common stock.</w:t>
      </w:r>
    </w:p>
    <w:p>
      <w:pPr>
        <w:spacing w:after="0" w:line="279"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Our common stock has only been quoted for trading since January 4, 2008. Our common stock is currently traded on a limited basis on the Pink Sheets. The quotation of our common stock on the Pink Sheets does not assure that a meaningful, consistent and liquid trading market currently exists, and in recent years such market has experienced extreme price and volume fluctuations that have particularly affected the market prices of many smaller companies like us. Our common stock is thus subject to volatility. In the absence of an active trading market:</w:t>
      </w:r>
    </w:p>
    <w:p>
      <w:pPr>
        <w:spacing w:after="0" w:line="241" w:lineRule="exact"/>
        <w:rPr>
          <w:sz w:val="20"/>
          <w:szCs w:val="20"/>
          <w:color w:val="auto"/>
        </w:rPr>
      </w:pPr>
    </w:p>
    <w:p>
      <w:pPr>
        <w:ind w:left="1060" w:hanging="458"/>
        <w:spacing w:after="0"/>
        <w:tabs>
          <w:tab w:leader="none" w:pos="1060" w:val="left"/>
        </w:tabs>
        <w:numPr>
          <w:ilvl w:val="0"/>
          <w:numId w:val="13"/>
        </w:numPr>
        <w:rPr>
          <w:rFonts w:ascii="Arial" w:cs="Arial" w:eastAsia="Arial" w:hAnsi="Arial"/>
          <w:sz w:val="18"/>
          <w:szCs w:val="18"/>
          <w:color w:val="auto"/>
        </w:rPr>
      </w:pPr>
      <w:r>
        <w:rPr>
          <w:rFonts w:ascii="Arial" w:cs="Arial" w:eastAsia="Arial" w:hAnsi="Arial"/>
          <w:sz w:val="18"/>
          <w:szCs w:val="18"/>
          <w:color w:val="auto"/>
        </w:rPr>
        <w:t>investors may have difficulty buying and selling or obtaining market quotations;</w:t>
      </w:r>
    </w:p>
    <w:p>
      <w:pPr>
        <w:spacing w:after="0" w:line="23" w:lineRule="exact"/>
        <w:rPr>
          <w:rFonts w:ascii="Arial" w:cs="Arial" w:eastAsia="Arial" w:hAnsi="Arial"/>
          <w:sz w:val="18"/>
          <w:szCs w:val="18"/>
          <w:color w:val="auto"/>
        </w:rPr>
      </w:pPr>
    </w:p>
    <w:p>
      <w:pPr>
        <w:ind w:left="1060" w:hanging="458"/>
        <w:spacing w:after="0"/>
        <w:tabs>
          <w:tab w:leader="none" w:pos="1060" w:val="left"/>
        </w:tabs>
        <w:numPr>
          <w:ilvl w:val="0"/>
          <w:numId w:val="13"/>
        </w:numPr>
        <w:rPr>
          <w:rFonts w:ascii="Arial" w:cs="Arial" w:eastAsia="Arial" w:hAnsi="Arial"/>
          <w:sz w:val="18"/>
          <w:szCs w:val="18"/>
          <w:color w:val="auto"/>
        </w:rPr>
      </w:pPr>
      <w:r>
        <w:rPr>
          <w:rFonts w:ascii="Arial" w:cs="Arial" w:eastAsia="Arial" w:hAnsi="Arial"/>
          <w:sz w:val="18"/>
          <w:szCs w:val="18"/>
          <w:color w:val="auto"/>
        </w:rPr>
        <w:t>market visibility for our common stock may be limited; and</w:t>
      </w:r>
    </w:p>
    <w:p>
      <w:pPr>
        <w:spacing w:after="0" w:line="9" w:lineRule="exact"/>
        <w:rPr>
          <w:rFonts w:ascii="Arial" w:cs="Arial" w:eastAsia="Arial" w:hAnsi="Arial"/>
          <w:sz w:val="18"/>
          <w:szCs w:val="18"/>
          <w:color w:val="auto"/>
        </w:rPr>
      </w:pPr>
    </w:p>
    <w:p>
      <w:pPr>
        <w:ind w:left="1060" w:hanging="458"/>
        <w:spacing w:after="0"/>
        <w:tabs>
          <w:tab w:leader="none" w:pos="1060" w:val="left"/>
        </w:tabs>
        <w:numPr>
          <w:ilvl w:val="0"/>
          <w:numId w:val="13"/>
        </w:numPr>
        <w:rPr>
          <w:rFonts w:ascii="Arial" w:cs="Arial" w:eastAsia="Arial" w:hAnsi="Arial"/>
          <w:sz w:val="18"/>
          <w:szCs w:val="18"/>
          <w:color w:val="auto"/>
        </w:rPr>
      </w:pPr>
      <w:r>
        <w:rPr>
          <w:rFonts w:ascii="Arial" w:cs="Arial" w:eastAsia="Arial" w:hAnsi="Arial"/>
          <w:sz w:val="18"/>
          <w:szCs w:val="18"/>
          <w:color w:val="auto"/>
        </w:rPr>
        <w:t>lack of visibility for our common stock may have a depressive effect on the market for our common stock.</w:t>
      </w:r>
    </w:p>
    <w:p>
      <w:pPr>
        <w:spacing w:after="0" w:line="26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Our common stock is a "Penny Stock."</w:t>
      </w:r>
    </w:p>
    <w:p>
      <w:pPr>
        <w:spacing w:after="0" w:line="279" w:lineRule="exact"/>
        <w:rPr>
          <w:sz w:val="20"/>
          <w:szCs w:val="20"/>
          <w:color w:val="auto"/>
        </w:rPr>
      </w:pPr>
    </w:p>
    <w:p>
      <w:pPr>
        <w:jc w:val="both"/>
        <w:ind w:firstLine="648"/>
        <w:spacing w:after="0" w:line="288" w:lineRule="auto"/>
        <w:rPr>
          <w:sz w:val="20"/>
          <w:szCs w:val="20"/>
          <w:color w:val="auto"/>
        </w:rPr>
      </w:pPr>
      <w:r>
        <w:rPr>
          <w:rFonts w:ascii="Arial" w:cs="Arial" w:eastAsia="Arial" w:hAnsi="Arial"/>
          <w:sz w:val="16"/>
          <w:szCs w:val="16"/>
          <w:color w:val="auto"/>
        </w:rPr>
        <w:t>Our common stock is a “low-priced” security, or a penny stock, under rules promulgated under the Exchange Act. A stock could be considered to be a "penny stock" if it meets one or more of the definitions in Rules 15g-2 through 15g-6 promulgated under Section 15(g) of the Exchange Act. These include but are not limited to the following: (i) the stock trades at a price less than $5.00 per share; (ii) it is NOT traded on a "recognized" national exchange;</w:t>
      </w:r>
    </w:p>
    <w:p>
      <w:pPr>
        <w:jc w:val="both"/>
        <w:ind w:firstLine="8"/>
        <w:spacing w:after="0" w:line="254" w:lineRule="auto"/>
        <w:tabs>
          <w:tab w:leader="none" w:pos="325" w:val="left"/>
        </w:tabs>
        <w:numPr>
          <w:ilvl w:val="0"/>
          <w:numId w:val="14"/>
        </w:numPr>
        <w:rPr>
          <w:rFonts w:ascii="Arial" w:cs="Arial" w:eastAsia="Arial" w:hAnsi="Arial"/>
          <w:sz w:val="18"/>
          <w:szCs w:val="18"/>
          <w:color w:val="auto"/>
        </w:rPr>
      </w:pPr>
      <w:r>
        <w:rPr>
          <w:rFonts w:ascii="Arial" w:cs="Arial" w:eastAsia="Arial" w:hAnsi="Arial"/>
          <w:sz w:val="18"/>
          <w:szCs w:val="18"/>
          <w:color w:val="auto"/>
        </w:rPr>
        <w:t>it is NOT quoted on The NASDAQ Stock Market, or even if so, has a price less than $5.00 per share; or (iv) is issued by a company with net tangible assets less than $2.0 million, if in business more than a continuous three years, or with average revenues of less than $6.0 million for the past three years. The principal result or effect of being designated a "penny stock" is that securities broker-dealers cannot recommend the stock but must trade in it on an unsolicited basis.</w:t>
      </w:r>
    </w:p>
    <w:p>
      <w:pPr>
        <w:spacing w:after="0" w:line="244" w:lineRule="exact"/>
        <w:rPr>
          <w:sz w:val="20"/>
          <w:szCs w:val="20"/>
          <w:color w:val="auto"/>
        </w:rPr>
      </w:pPr>
    </w:p>
    <w:p>
      <w:pPr>
        <w:jc w:val="both"/>
        <w:ind w:firstLine="648"/>
        <w:spacing w:after="0" w:line="272" w:lineRule="auto"/>
        <w:rPr>
          <w:sz w:val="20"/>
          <w:szCs w:val="20"/>
          <w:color w:val="auto"/>
        </w:rPr>
      </w:pPr>
      <w:r>
        <w:rPr>
          <w:rFonts w:ascii="Arial" w:cs="Arial" w:eastAsia="Arial" w:hAnsi="Arial"/>
          <w:sz w:val="17"/>
          <w:szCs w:val="17"/>
          <w:color w:val="auto"/>
        </w:rPr>
        <w:t>In accordance with these rules, broker-dealers participating in transactions in low-priced securities must first deliver a risk disclosure document which describes the risks associated with such stocks, the broker-dealer’s duties in selling the stock, the customer’s rights and remedies and certain market and other information. Furthermore, the broker-dealer must make a suitability determination approving the customer for low-priced stock transactions based on the customer’s financial situation, investment experience and objectives. Broker-dealers must also disclose these restrictions in writing to the customer, obtain specific written consent from the customer, and provide monthly account statements to the customer. The effect of these restrictions probably decreases the willingness of broker-dealers to make a market in our common stock, decreases liquidity of our common stock and increases transaction costs for sales and purchases of our common stock as compared to other securities.</w:t>
      </w:r>
    </w:p>
    <w:p>
      <w:pPr>
        <w:spacing w:after="0" w:line="23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Broker-dealer requirements may affect trading and liquidity.</w:t>
      </w:r>
    </w:p>
    <w:p>
      <w:pPr>
        <w:spacing w:after="0" w:line="279" w:lineRule="exact"/>
        <w:rPr>
          <w:sz w:val="20"/>
          <w:szCs w:val="20"/>
          <w:color w:val="auto"/>
        </w:rPr>
      </w:pPr>
    </w:p>
    <w:p>
      <w:pPr>
        <w:jc w:val="both"/>
        <w:ind w:firstLine="648"/>
        <w:spacing w:after="0" w:line="288" w:lineRule="auto"/>
        <w:rPr>
          <w:sz w:val="20"/>
          <w:szCs w:val="20"/>
          <w:color w:val="auto"/>
        </w:rPr>
      </w:pPr>
      <w:r>
        <w:rPr>
          <w:rFonts w:ascii="Arial" w:cs="Arial" w:eastAsia="Arial" w:hAnsi="Arial"/>
          <w:sz w:val="16"/>
          <w:szCs w:val="16"/>
          <w:color w:val="auto"/>
        </w:rPr>
        <w:t>Section 15(g) of the Securities Exchange Act of 1934, as amended, and Rule 15g-2 promulgated thereunder by the SEC require broker-dealers dealing in penny stocks to provide potential investors with a document disclosing the risks of penny stocks and to obtain a manually signed and dated written receipt of the document before effecting any transaction in a penny stock for the investor's account. Moreover, Rule 15g-9 requires broker-dealers in penny stocks to approve the account of any investor for transactions in such stocks before selling any penny stock to that investor. This procedure requires the broker-dealer to (i) obtain from the investor information concerning his or her financial situation, investment experience and investment objectives; (ii) reasonably determine, based on that information, that transactions in penny stocks are suitable for the investor and that the investor has sufficient knowledge and experience as to be reasonably capable of evaluating the risks of penny stock transactions; (iii) provide the investor with a written statement setting forth the basis on which the broker-dealer made the determination in (ii) above; and (iv) receive a signed and dated copy of such statement from the investor, confirming that it accurately reflects the investor's financial situation, investment experience and investment objectives. Compliance with these requirements may make it more difficult for holders of our common stock to resell their shares to third parties or to otherwise dispose of them in the market or otherwise.</w:t>
      </w:r>
    </w:p>
    <w:p>
      <w:pPr>
        <w:spacing w:after="0" w:line="200" w:lineRule="exact"/>
        <w:rPr>
          <w:sz w:val="20"/>
          <w:szCs w:val="20"/>
          <w:color w:val="auto"/>
        </w:rPr>
      </w:pPr>
    </w:p>
    <w:p>
      <w:pPr>
        <w:spacing w:after="0" w:line="26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246620" cy="889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638" w:right="239" w:bottom="1440" w:gutter="0" w:footer="0" w:header="0"/>
        </w:sectPr>
      </w:pPr>
    </w:p>
    <w:bookmarkStart w:id="14" w:name="page15"/>
    <w:bookmarkEnd w:id="14"/>
    <w:p>
      <w:pPr>
        <w:spacing w:after="0"/>
        <w:rPr>
          <w:sz w:val="20"/>
          <w:szCs w:val="20"/>
          <w:color w:val="auto"/>
        </w:rPr>
      </w:pPr>
      <w:r>
        <w:rPr>
          <w:rFonts w:ascii="Arial" w:cs="Arial" w:eastAsia="Arial" w:hAnsi="Arial"/>
          <w:sz w:val="18"/>
          <w:szCs w:val="18"/>
          <w:b w:val="1"/>
          <w:bCs w:val="1"/>
          <w:i w:val="1"/>
          <w:iCs w:val="1"/>
          <w:color w:val="auto"/>
        </w:rPr>
        <w:t>Risks Due to Sale Restrictions Imposed by State “Blue Sky Laws”.</w:t>
      </w:r>
    </w:p>
    <w:p>
      <w:pPr>
        <w:spacing w:after="0" w:line="279"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18"/>
          <w:szCs w:val="18"/>
          <w:color w:val="auto"/>
        </w:rPr>
        <w:t>There are state regulations, which might affect the transferability of our shares. We have not registered its shares for sale under the securities or "blue sky" laws of any state and we have no plans to register or qualify its shares in any state. In all states except for Arkansas, Georgia, Illinois, Louisiana, New York, North Dakota, Ohio, Oregon and Tennessee, shareholders can make unsolicited sales of securities through broker dealers. Current shareholders, and persons who desire to purchase the shares in any trading market that may develop in the future, should be aware that there may be significant state restrictions upon the ability of new investors to purchase the securities.</w:t>
      </w:r>
    </w:p>
    <w:p>
      <w:pPr>
        <w:spacing w:after="0" w:line="242" w:lineRule="exact"/>
        <w:rPr>
          <w:sz w:val="20"/>
          <w:szCs w:val="20"/>
          <w:color w:val="auto"/>
        </w:rPr>
      </w:pPr>
    </w:p>
    <w:p>
      <w:pPr>
        <w:jc w:val="both"/>
        <w:spacing w:after="0" w:line="277" w:lineRule="auto"/>
        <w:rPr>
          <w:sz w:val="20"/>
          <w:szCs w:val="20"/>
          <w:color w:val="auto"/>
        </w:rPr>
      </w:pPr>
      <w:r>
        <w:rPr>
          <w:rFonts w:ascii="Arial" w:cs="Arial" w:eastAsia="Arial" w:hAnsi="Arial"/>
          <w:sz w:val="18"/>
          <w:szCs w:val="18"/>
          <w:b w:val="1"/>
          <w:bCs w:val="1"/>
          <w:i w:val="1"/>
          <w:iCs w:val="1"/>
          <w:color w:val="auto"/>
        </w:rPr>
        <w:t>Shares eligible for future sale may adversely affect the market price of our common stock, as the future sale of a substantial amount of our restricted stock in the public marketplace could reduce the price of our common stock.</w:t>
      </w:r>
    </w:p>
    <w:p>
      <w:pPr>
        <w:spacing w:after="0" w:line="224" w:lineRule="exact"/>
        <w:rPr>
          <w:sz w:val="20"/>
          <w:szCs w:val="20"/>
          <w:color w:val="auto"/>
        </w:rPr>
      </w:pPr>
    </w:p>
    <w:p>
      <w:pPr>
        <w:jc w:val="both"/>
        <w:ind w:firstLine="648"/>
        <w:spacing w:after="0" w:line="253" w:lineRule="auto"/>
        <w:rPr>
          <w:sz w:val="20"/>
          <w:szCs w:val="20"/>
          <w:color w:val="auto"/>
        </w:rPr>
      </w:pPr>
      <w:r>
        <w:rPr>
          <w:rFonts w:ascii="Arial" w:cs="Arial" w:eastAsia="Arial" w:hAnsi="Arial"/>
          <w:sz w:val="18"/>
          <w:szCs w:val="18"/>
          <w:color w:val="auto"/>
        </w:rPr>
        <w:t>From time to time, certain of our stockholders may be eligible to sell their shares of common stock by means of ordinary brokerage transactions in the open market pursuant to Rule 144 of the Securities Act of 1933, as amended, subject to certain requirements. In general, under Rule 144, unaffiliated stockholders (or stockholders whose shares are aggregated) who have satisfied a six month holding period may sell shares of our common stock, so long as we have filed all required reports under Section 13 or 15(d) of the Exchange Act during the 12-month period preceding such sale. Once a period of six months has elapsed since the date the common stock was acquired from us or from an affiliate of ours, unaffiliated stockholders can freely sell shares of our common stock. 12 months after acquiring shares from us or an affiliate, unaffiliated stockholders can freely sell their shares without any restriction or requirement that we are current in our SEC filings. Because we were a shell company until December 27, 2007, our stockholders holding unregistered shares of common stock are initially subject to a 12 month holding period, instead of a six month holding period, which began to run on January 4, 2008, the date we filed a “super” Form 8-K with the SEC. Any substantial sale of common stock pursuant to Rule 144 may have an adverse affect on the market price of our common stock.</w:t>
      </w:r>
    </w:p>
    <w:p>
      <w:pPr>
        <w:spacing w:after="0" w:line="249" w:lineRule="exact"/>
        <w:rPr>
          <w:sz w:val="20"/>
          <w:szCs w:val="20"/>
          <w:color w:val="auto"/>
        </w:rPr>
      </w:pPr>
    </w:p>
    <w:p>
      <w:pPr>
        <w:jc w:val="both"/>
        <w:spacing w:after="0" w:line="277" w:lineRule="auto"/>
        <w:rPr>
          <w:sz w:val="20"/>
          <w:szCs w:val="20"/>
          <w:color w:val="auto"/>
        </w:rPr>
      </w:pPr>
      <w:r>
        <w:rPr>
          <w:rFonts w:ascii="Arial" w:cs="Arial" w:eastAsia="Arial" w:hAnsi="Arial"/>
          <w:sz w:val="18"/>
          <w:szCs w:val="18"/>
          <w:b w:val="1"/>
          <w:bCs w:val="1"/>
          <w:i w:val="1"/>
          <w:iCs w:val="1"/>
          <w:color w:val="auto"/>
        </w:rPr>
        <w:t>Failure to Achieve and Maintain Internal Controls in Accordance with Sections 302 and 404(a) of the Sarbanes-Oxley Act of 2002 Could Have A Material Adverse Effect on Our Business and Stock Price.</w:t>
      </w:r>
    </w:p>
    <w:p>
      <w:pPr>
        <w:spacing w:after="0" w:line="224" w:lineRule="exact"/>
        <w:rPr>
          <w:sz w:val="20"/>
          <w:szCs w:val="20"/>
          <w:color w:val="auto"/>
        </w:rPr>
      </w:pPr>
    </w:p>
    <w:p>
      <w:pPr>
        <w:jc w:val="both"/>
        <w:ind w:firstLine="648"/>
        <w:spacing w:after="0" w:line="255" w:lineRule="auto"/>
        <w:rPr>
          <w:sz w:val="20"/>
          <w:szCs w:val="20"/>
          <w:color w:val="auto"/>
        </w:rPr>
      </w:pPr>
      <w:r>
        <w:rPr>
          <w:rFonts w:ascii="Arial" w:cs="Arial" w:eastAsia="Arial" w:hAnsi="Arial"/>
          <w:sz w:val="18"/>
          <w:szCs w:val="18"/>
          <w:color w:val="auto"/>
        </w:rPr>
        <w:t>If we fail to maintain adequate internal controls or fail to implement required new or improved controls, as such control standards are modified, supplemented or amended from time to time; we may not be able to assert that we can conclude on an ongoing basis that we have effective internal controls over financial reporting. Effective internal controls are necessary for us to produce reliable financial reports and are important in the prevention of financial fraud. If we cannot produce reliable financial reports or prevent fraud, our business and operating results could be harmed, investors could lose confidence in our reported financial information, and there could be a material adverse effect on our stock price. We have examined and evaluated our internal control procedures to satisfy the requirements of Section 404(a) of the Sarbanes-Oxley Act, as required for this Prospectus on Form S-1 for the year ending December 31, 2007.</w:t>
      </w:r>
    </w:p>
    <w:p>
      <w:pPr>
        <w:spacing w:after="0" w:line="243" w:lineRule="exact"/>
        <w:rPr>
          <w:sz w:val="20"/>
          <w:szCs w:val="20"/>
          <w:color w:val="auto"/>
        </w:rPr>
      </w:pPr>
    </w:p>
    <w:p>
      <w:pPr>
        <w:jc w:val="both"/>
        <w:spacing w:after="0" w:line="277" w:lineRule="auto"/>
        <w:rPr>
          <w:sz w:val="20"/>
          <w:szCs w:val="20"/>
          <w:color w:val="auto"/>
        </w:rPr>
      </w:pPr>
      <w:r>
        <w:rPr>
          <w:rFonts w:ascii="Arial" w:cs="Arial" w:eastAsia="Arial" w:hAnsi="Arial"/>
          <w:sz w:val="18"/>
          <w:szCs w:val="18"/>
          <w:b w:val="1"/>
          <w:bCs w:val="1"/>
          <w:i w:val="1"/>
          <w:iCs w:val="1"/>
          <w:color w:val="auto"/>
        </w:rPr>
        <w:t>Because we have no plans to pay dividends on our common stock, stockholders must look solely to appreciation of our common stock to realize a gain on their investments.</w:t>
      </w:r>
    </w:p>
    <w:p>
      <w:pPr>
        <w:spacing w:after="0" w:line="224"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18"/>
          <w:szCs w:val="18"/>
          <w:color w:val="auto"/>
        </w:rPr>
        <w:t>We do not anticipate paying any dividends on our common stock in the foreseeable future. We currently intend to retain future earnings, if any, to finance the expansion of our business. Our future dividend policy is within the discretion of our board of directors and will depend upon various factors, including our business, financial condition, results of operations, capital requirements and investment opportunities. In addition, our senior credit facility limits the payment of dividends without the prior written consent of the lenders. Accordingly, stockholders must look solely to appreciation of our common stock to realize a gain on their investment. This appreciation may not occur.</w:t>
      </w:r>
    </w:p>
    <w:p>
      <w:pPr>
        <w:spacing w:after="0" w:line="242"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There are certain anti-takeover provisions that exist in connection with the September 8, 2008 issuance of the Series A Convertible Preferred Stock.</w:t>
      </w:r>
    </w:p>
    <w:p>
      <w:pPr>
        <w:spacing w:after="0" w:line="302" w:lineRule="exact"/>
        <w:rPr>
          <w:sz w:val="20"/>
          <w:szCs w:val="20"/>
          <w:color w:val="auto"/>
        </w:rPr>
      </w:pPr>
    </w:p>
    <w:p>
      <w:pPr>
        <w:jc w:val="both"/>
        <w:ind w:firstLine="648"/>
        <w:spacing w:after="0" w:line="290" w:lineRule="auto"/>
        <w:rPr>
          <w:sz w:val="20"/>
          <w:szCs w:val="20"/>
          <w:color w:val="auto"/>
        </w:rPr>
      </w:pPr>
      <w:r>
        <w:rPr>
          <w:rFonts w:ascii="Arial" w:cs="Arial" w:eastAsia="Arial" w:hAnsi="Arial"/>
          <w:sz w:val="16"/>
          <w:szCs w:val="16"/>
          <w:color w:val="auto"/>
        </w:rPr>
        <w:t>In the event that we effect any merger or consolidation, a sale of all or substantially all of our assets, engage in a tender offer or exchange offer, or reclassify our common stock or any compulsory share exchange pursuant to which the common stock is effectively converted into or exchanged for other securities, cash or property, then, upon any subsequent exercise of the holders of the Series A Preferred Stock has certain redemption rights. Holders of the Series A Preferred Stock shall have the right to redeem in cash at a price equal to one hundred twenty percent (120%) of the stated value of the Series A Preferred Stock plus all accrued and unpaid dividends thereon at the time of such request. Redemption of the Series A Preferred Stock may be made, at our option in (a) cash or (b) shares of our common stock eligible for public resale by the holder under an effective registration statement covering such shares. If such a merger, consolidation, sale of all or substantially all of our asserts, tender offer or reclassification would ultimately be in the best interests of the shareholders, such anti-takeover provisions may dissuade potential suitors from engaging in such a transaction.</w:t>
      </w:r>
    </w:p>
    <w:p>
      <w:pPr>
        <w:spacing w:after="0" w:line="22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There are certain anti-takeover provisions that exist in connection with our September 8, 2008 private placement.</w:t>
      </w:r>
    </w:p>
    <w:p>
      <w:pPr>
        <w:spacing w:after="0" w:line="279" w:lineRule="exact"/>
        <w:rPr>
          <w:sz w:val="20"/>
          <w:szCs w:val="20"/>
          <w:color w:val="auto"/>
        </w:rPr>
      </w:pPr>
    </w:p>
    <w:p>
      <w:pPr>
        <w:jc w:val="both"/>
        <w:ind w:firstLine="648"/>
        <w:spacing w:after="0" w:line="270" w:lineRule="auto"/>
        <w:rPr>
          <w:sz w:val="20"/>
          <w:szCs w:val="20"/>
          <w:color w:val="auto"/>
        </w:rPr>
      </w:pPr>
      <w:r>
        <w:rPr>
          <w:rFonts w:ascii="Arial" w:cs="Arial" w:eastAsia="Arial" w:hAnsi="Arial"/>
          <w:sz w:val="17"/>
          <w:szCs w:val="17"/>
          <w:color w:val="auto"/>
        </w:rPr>
        <w:t>In the event that we effect any merger or consolidation, a sale of all or substantially all of our assets, engage in a tender offer or exchange offer, or reclassify our common stock or any compulsory share exchange pursuant to which the common stock is effectively converted into or exchanged for other securities, cash or property, then, upon any subsequent exercise of the warrants issued in the September 8, 2008 private placement, the warrant holders shall have the right to receive, for each share of common stock that would have been issuable upon such exercise immediately prior to the occurrence of any merger, consolidation or disposition of assets, the number of shares of common stock of the successor or acquiring corporation or of the company, if it is the surviving corporation, and any additional consideration receivable as a result of such merger, consolidation or disposition of assets, by a holder of the number of shares of Common Stock for which this Warrant is exercisable immediately prior to such event. Further, if we enter into a “change of control transaction”, the Series A Stock issued in the September 8, 2008 private placement has certain redemption rights, as previously described. If any merger, consolidation or disposition of assets or change of control transaction would ultimately be in the best interests of the stockholders, such anti-takeover provisions may dissuade potential suitors from engaging in such a transaction.</w:t>
      </w:r>
    </w:p>
    <w:p>
      <w:pPr>
        <w:spacing w:after="0" w:line="200" w:lineRule="exact"/>
        <w:rPr>
          <w:sz w:val="20"/>
          <w:szCs w:val="20"/>
          <w:color w:val="auto"/>
        </w:rPr>
      </w:pPr>
    </w:p>
    <w:p>
      <w:pPr>
        <w:spacing w:after="0" w:line="27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246620" cy="889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638" w:right="239" w:bottom="275" w:gutter="0" w:footer="0" w:header="0"/>
        </w:sectPr>
      </w:pPr>
    </w:p>
    <w:bookmarkStart w:id="15" w:name="page16"/>
    <w:bookmarkEnd w:id="15"/>
    <w:p>
      <w:pPr>
        <w:jc w:val="center"/>
        <w:spacing w:after="0"/>
        <w:rPr>
          <w:sz w:val="20"/>
          <w:szCs w:val="20"/>
          <w:color w:val="auto"/>
        </w:rPr>
      </w:pPr>
      <w:r>
        <w:rPr>
          <w:rFonts w:ascii="Arial" w:cs="Arial" w:eastAsia="Arial" w:hAnsi="Arial"/>
          <w:sz w:val="18"/>
          <w:szCs w:val="18"/>
          <w:b w:val="1"/>
          <w:bCs w:val="1"/>
          <w:color w:val="auto"/>
        </w:rPr>
        <w:t>CAUTIONARY NOTE REGARDING FORWARD-LOOKING STATEMENTS</w:t>
      </w:r>
    </w:p>
    <w:p>
      <w:pPr>
        <w:spacing w:after="0" w:line="283" w:lineRule="exact"/>
        <w:rPr>
          <w:sz w:val="20"/>
          <w:szCs w:val="20"/>
          <w:color w:val="auto"/>
        </w:rPr>
      </w:pPr>
    </w:p>
    <w:p>
      <w:pPr>
        <w:jc w:val="both"/>
        <w:ind w:firstLine="648"/>
        <w:spacing w:after="0" w:line="255" w:lineRule="auto"/>
        <w:rPr>
          <w:sz w:val="20"/>
          <w:szCs w:val="20"/>
          <w:color w:val="auto"/>
        </w:rPr>
      </w:pPr>
      <w:r>
        <w:rPr>
          <w:rFonts w:ascii="Arial" w:cs="Arial" w:eastAsia="Arial" w:hAnsi="Arial"/>
          <w:sz w:val="18"/>
          <w:szCs w:val="18"/>
          <w:color w:val="auto"/>
        </w:rPr>
        <w:t>Statements in this prospectus may be “forward-looking statements.” Forward-looking statements include, but are not limited to, statements that express our intentions, beliefs, expectations, strategies, predictions or any other statements relating to our future activities or other future events or conditions. These statements are based on current expectations, estimates and projections about our business based, in part, on assumptions made by management. These statements are not guarantees of future performance and involve risks, uncertainties and assumptions that are difficult to predict. Therefore, actual outcomes and results may, and are likely to, differ materially from what is expressed or forecasted in the forward-looking statements due to numerous factors, including those described above and those risks discussed from time to time in this prospectus, including the risks described under “Risk Factors,” “Management’s Discussion and Analysis” and “Our Business.”</w:t>
      </w:r>
    </w:p>
    <w:p>
      <w:pPr>
        <w:spacing w:after="0" w:line="243" w:lineRule="exact"/>
        <w:rPr>
          <w:sz w:val="20"/>
          <w:szCs w:val="20"/>
          <w:color w:val="auto"/>
        </w:rPr>
      </w:pPr>
    </w:p>
    <w:p>
      <w:pPr>
        <w:jc w:val="both"/>
        <w:ind w:firstLine="648"/>
        <w:spacing w:after="0" w:line="271" w:lineRule="auto"/>
        <w:rPr>
          <w:sz w:val="20"/>
          <w:szCs w:val="20"/>
          <w:color w:val="auto"/>
        </w:rPr>
      </w:pPr>
      <w:r>
        <w:rPr>
          <w:rFonts w:ascii="Arial" w:cs="Arial" w:eastAsia="Arial" w:hAnsi="Arial"/>
          <w:sz w:val="17"/>
          <w:szCs w:val="17"/>
          <w:color w:val="auto"/>
        </w:rPr>
        <w:t>There are important factors that could cause our actual results to differ materially from those in the forward-looking statements. These factors, include, without limitation, the following: our ability to develop our technology platform and our products; our ability to protect our intellectual property; the risk that we will not be able to develop our technology platform and products in the current projected timeframe; the risk that our products will not achieve performance standards in clinical trials; the risk that the clinical trial process will take longer than projected; the risk that our products will not receive regulatory approval; the risk that the regulatory review process will take longer than projected; the risk that we will not be unsuccessful in implementing our strategic, operating and people initiatives; the risk that we will not be able to commercialize our products; any of which could impact sales, costs and expenses and/or planned strategies. Additional information regarding factors that could cause results to differ can be found in this prospectus and our other recent filings with the Securities and Exchange Commission.</w:t>
      </w:r>
    </w:p>
    <w:p>
      <w:pPr>
        <w:spacing w:after="0" w:line="22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USE OF PROCEEDS</w:t>
      </w:r>
    </w:p>
    <w:p>
      <w:pPr>
        <w:spacing w:after="0" w:line="283"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18"/>
          <w:szCs w:val="18"/>
          <w:color w:val="auto"/>
        </w:rPr>
        <w:t>We will not receive any proceeds from the sale of our common stock offered through this prospectus by the selling security holder. However, we will receive the sale price of any common stock we sell to the selling stockholder upon exercise of the warrants. We expect to use the proceeds received from the exercise of the warrants, if any, for general working capital purposes.</w:t>
      </w:r>
    </w:p>
    <w:p>
      <w:pPr>
        <w:spacing w:after="0" w:line="23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DETERMINATION OF OFFERING PRICE</w:t>
      </w:r>
    </w:p>
    <w:p>
      <w:pPr>
        <w:spacing w:after="0" w:line="283" w:lineRule="exact"/>
        <w:rPr>
          <w:sz w:val="20"/>
          <w:szCs w:val="20"/>
          <w:color w:val="auto"/>
        </w:rPr>
      </w:pPr>
    </w:p>
    <w:p>
      <w:pPr>
        <w:jc w:val="both"/>
        <w:ind w:firstLine="699"/>
        <w:spacing w:after="0" w:line="264" w:lineRule="auto"/>
        <w:rPr>
          <w:sz w:val="20"/>
          <w:szCs w:val="20"/>
          <w:color w:val="auto"/>
        </w:rPr>
      </w:pPr>
      <w:r>
        <w:rPr>
          <w:rFonts w:ascii="Arial" w:cs="Arial" w:eastAsia="Arial" w:hAnsi="Arial"/>
          <w:sz w:val="18"/>
          <w:szCs w:val="18"/>
          <w:color w:val="auto"/>
        </w:rPr>
        <w:t>Our common stock is traded on the Pink Sheets. Consequently, we cannot determine what the actual value of our common stock will be either now or at the time of sale. The selling security holders will sell all or a portion of their shares from time to time on the Pink Sheets at prices prevailing at the time of sale, or related to the market price at the time of sale, or at other negotiated prices.</w:t>
      </w:r>
    </w:p>
    <w:p>
      <w:pPr>
        <w:spacing w:after="0" w:line="200" w:lineRule="exact"/>
        <w:rPr>
          <w:sz w:val="20"/>
          <w:szCs w:val="20"/>
          <w:color w:val="auto"/>
        </w:rPr>
      </w:pPr>
    </w:p>
    <w:p>
      <w:pPr>
        <w:spacing w:after="0" w:line="27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246620" cy="889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607" w:right="239" w:bottom="1440" w:gutter="0" w:footer="0" w:header="0"/>
        </w:sectPr>
      </w:pPr>
    </w:p>
    <w:bookmarkStart w:id="16" w:name="page17"/>
    <w:bookmarkEnd w:id="16"/>
    <w:p>
      <w:pPr>
        <w:jc w:val="center"/>
        <w:ind w:right="180"/>
        <w:spacing w:after="0"/>
        <w:rPr>
          <w:sz w:val="20"/>
          <w:szCs w:val="20"/>
          <w:color w:val="auto"/>
        </w:rPr>
      </w:pPr>
      <w:r>
        <w:rPr>
          <w:rFonts w:ascii="Arial" w:cs="Arial" w:eastAsia="Arial" w:hAnsi="Arial"/>
          <w:sz w:val="18"/>
          <w:szCs w:val="18"/>
          <w:b w:val="1"/>
          <w:bCs w:val="1"/>
          <w:color w:val="auto"/>
        </w:rPr>
        <w:t>SELLING STOCKHOLDERS</w:t>
      </w:r>
    </w:p>
    <w:p>
      <w:pPr>
        <w:spacing w:after="0" w:line="283" w:lineRule="exact"/>
        <w:rPr>
          <w:sz w:val="20"/>
          <w:szCs w:val="20"/>
          <w:color w:val="auto"/>
        </w:rPr>
      </w:pPr>
    </w:p>
    <w:p>
      <w:pPr>
        <w:jc w:val="both"/>
        <w:ind w:firstLine="648"/>
        <w:spacing w:after="0" w:line="269" w:lineRule="auto"/>
        <w:rPr>
          <w:sz w:val="20"/>
          <w:szCs w:val="20"/>
          <w:color w:val="auto"/>
        </w:rPr>
      </w:pPr>
      <w:r>
        <w:rPr>
          <w:rFonts w:ascii="Arial" w:cs="Arial" w:eastAsia="Arial" w:hAnsi="Arial"/>
          <w:sz w:val="17"/>
          <w:szCs w:val="17"/>
          <w:color w:val="auto"/>
        </w:rPr>
        <w:t>The following table sets forth the names of the selling stockholders, the number of shares of common stock owned beneficially by the selling stockholders as of January 30, 2009, and the number of shares of our common stock that may be offered by the selling stockholders pursuant to this prospectus. The table and the other information contained under the captions “Selling Stockholders” and “Plan of Distribution” has been prepared based upon information furnished to us by or on behalf of the selling stockholders. The following table sets forth, as to each of the selling stockholders, the number of shares beneficially owned, the number of share being sold, the number of shares beneficially owned upon completion of the offering and the percentage beneficial ownership upon completion of the offering. The table assumes that all of the securities will be sold in this offering. However, any or all of the securities listed below may be retained by any of the selling shareholders, and therefore, no accurate forecast can be made as to the number of securities that will be held by the selling shareholders upon termination of this offering. As of the date of this prospectus, there is no established trading market in our common stock. The selling shareholders will offer their shares at $4.00 per share until the Company’s shares are quoted on the OTC Bulletin Board and, assuming we secure this qualification, thereafter at prevailing market prices or privately negotiated prices. We will not receive proceeds from the sale of shares from the selling shareholders.</w:t>
      </w:r>
    </w:p>
    <w:p>
      <w:pPr>
        <w:spacing w:after="0" w:line="237"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20" w:type="dxa"/>
            <w:vAlign w:val="bottom"/>
          </w:tcPr>
          <w:p>
            <w:pPr>
              <w:spacing w:after="0"/>
              <w:rPr>
                <w:sz w:val="18"/>
                <w:szCs w:val="18"/>
                <w:color w:val="auto"/>
              </w:rPr>
            </w:pPr>
          </w:p>
        </w:tc>
        <w:tc>
          <w:tcPr>
            <w:tcW w:w="16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80" w:type="dxa"/>
            <w:vAlign w:val="bottom"/>
          </w:tcPr>
          <w:p>
            <w:pPr>
              <w:jc w:val="center"/>
              <w:spacing w:after="0"/>
              <w:rPr>
                <w:sz w:val="20"/>
                <w:szCs w:val="20"/>
                <w:color w:val="auto"/>
              </w:rPr>
            </w:pPr>
            <w:r>
              <w:rPr>
                <w:rFonts w:ascii="Arial" w:cs="Arial" w:eastAsia="Arial" w:hAnsi="Arial"/>
                <w:sz w:val="18"/>
                <w:szCs w:val="18"/>
                <w:color w:val="auto"/>
                <w:w w:val="94"/>
              </w:rPr>
              <w:t>Beneficial</w:t>
            </w:r>
          </w:p>
        </w:tc>
        <w:tc>
          <w:tcPr>
            <w:tcW w:w="120" w:type="dxa"/>
            <w:vAlign w:val="bottom"/>
          </w:tcPr>
          <w:p>
            <w:pPr>
              <w:spacing w:after="0"/>
              <w:rPr>
                <w:sz w:val="18"/>
                <w:szCs w:val="18"/>
                <w:color w:val="auto"/>
              </w:rPr>
            </w:pPr>
          </w:p>
        </w:tc>
        <w:tc>
          <w:tcPr>
            <w:tcW w:w="132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16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80" w:type="dxa"/>
            <w:vAlign w:val="bottom"/>
          </w:tcPr>
          <w:p>
            <w:pPr>
              <w:jc w:val="center"/>
              <w:spacing w:after="0"/>
              <w:rPr>
                <w:sz w:val="20"/>
                <w:szCs w:val="20"/>
                <w:color w:val="auto"/>
              </w:rPr>
            </w:pPr>
            <w:r>
              <w:rPr>
                <w:rFonts w:ascii="Arial" w:cs="Arial" w:eastAsia="Arial" w:hAnsi="Arial"/>
                <w:sz w:val="18"/>
                <w:szCs w:val="18"/>
                <w:color w:val="auto"/>
                <w:w w:val="90"/>
              </w:rPr>
              <w:t>Ownership</w:t>
            </w:r>
          </w:p>
        </w:tc>
        <w:tc>
          <w:tcPr>
            <w:tcW w:w="120" w:type="dxa"/>
            <w:vAlign w:val="bottom"/>
          </w:tcPr>
          <w:p>
            <w:pPr>
              <w:spacing w:after="0"/>
              <w:rPr>
                <w:sz w:val="18"/>
                <w:szCs w:val="18"/>
                <w:color w:val="auto"/>
              </w:rPr>
            </w:pPr>
          </w:p>
        </w:tc>
        <w:tc>
          <w:tcPr>
            <w:tcW w:w="132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16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80" w:type="dxa"/>
            <w:vAlign w:val="bottom"/>
          </w:tcPr>
          <w:p>
            <w:pPr>
              <w:jc w:val="center"/>
              <w:spacing w:after="0"/>
              <w:rPr>
                <w:sz w:val="20"/>
                <w:szCs w:val="20"/>
                <w:color w:val="auto"/>
              </w:rPr>
            </w:pPr>
            <w:r>
              <w:rPr>
                <w:rFonts w:ascii="Arial" w:cs="Arial" w:eastAsia="Arial" w:hAnsi="Arial"/>
                <w:sz w:val="18"/>
                <w:szCs w:val="18"/>
                <w:color w:val="auto"/>
                <w:w w:val="86"/>
              </w:rPr>
              <w:t>Total Shares</w:t>
            </w:r>
          </w:p>
        </w:tc>
        <w:tc>
          <w:tcPr>
            <w:tcW w:w="10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80" w:type="dxa"/>
            <w:vAlign w:val="bottom"/>
          </w:tcPr>
          <w:p>
            <w:pPr>
              <w:jc w:val="center"/>
              <w:spacing w:after="0"/>
              <w:rPr>
                <w:sz w:val="20"/>
                <w:szCs w:val="20"/>
                <w:color w:val="auto"/>
              </w:rPr>
            </w:pPr>
            <w:r>
              <w:rPr>
                <w:rFonts w:ascii="Arial" w:cs="Arial" w:eastAsia="Arial" w:hAnsi="Arial"/>
                <w:sz w:val="18"/>
                <w:szCs w:val="18"/>
                <w:color w:val="auto"/>
                <w:w w:val="93"/>
              </w:rPr>
              <w:t>After the</w:t>
            </w:r>
          </w:p>
        </w:tc>
        <w:tc>
          <w:tcPr>
            <w:tcW w:w="120" w:type="dxa"/>
            <w:vAlign w:val="bottom"/>
          </w:tcPr>
          <w:p>
            <w:pPr>
              <w:spacing w:after="0"/>
              <w:rPr>
                <w:sz w:val="18"/>
                <w:szCs w:val="18"/>
                <w:color w:val="auto"/>
              </w:rPr>
            </w:pPr>
          </w:p>
        </w:tc>
        <w:tc>
          <w:tcPr>
            <w:tcW w:w="1320" w:type="dxa"/>
            <w:vAlign w:val="bottom"/>
          </w:tcPr>
          <w:p>
            <w:pPr>
              <w:jc w:val="center"/>
              <w:spacing w:after="0"/>
              <w:rPr>
                <w:sz w:val="20"/>
                <w:szCs w:val="20"/>
                <w:color w:val="auto"/>
              </w:rPr>
            </w:pPr>
            <w:r>
              <w:rPr>
                <w:rFonts w:ascii="Arial" w:cs="Arial" w:eastAsia="Arial" w:hAnsi="Arial"/>
                <w:sz w:val="18"/>
                <w:szCs w:val="18"/>
                <w:color w:val="auto"/>
                <w:w w:val="86"/>
              </w:rPr>
              <w:t>Percentage</w:t>
            </w:r>
          </w:p>
        </w:tc>
      </w:tr>
      <w:tr>
        <w:trPr>
          <w:trHeight w:val="216"/>
        </w:trPr>
        <w:tc>
          <w:tcPr>
            <w:tcW w:w="20" w:type="dxa"/>
            <w:vAlign w:val="bottom"/>
          </w:tcPr>
          <w:p>
            <w:pPr>
              <w:spacing w:after="0"/>
              <w:rPr>
                <w:sz w:val="18"/>
                <w:szCs w:val="18"/>
                <w:color w:val="auto"/>
              </w:rPr>
            </w:pPr>
          </w:p>
        </w:tc>
        <w:tc>
          <w:tcPr>
            <w:tcW w:w="16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80" w:type="dxa"/>
            <w:vAlign w:val="bottom"/>
          </w:tcPr>
          <w:p>
            <w:pPr>
              <w:jc w:val="center"/>
              <w:spacing w:after="0"/>
              <w:rPr>
                <w:sz w:val="20"/>
                <w:szCs w:val="20"/>
                <w:color w:val="auto"/>
              </w:rPr>
            </w:pPr>
            <w:r>
              <w:rPr>
                <w:rFonts w:ascii="Arial" w:cs="Arial" w:eastAsia="Arial" w:hAnsi="Arial"/>
                <w:sz w:val="18"/>
                <w:szCs w:val="18"/>
                <w:color w:val="auto"/>
                <w:w w:val="97"/>
              </w:rPr>
              <w:t>Held</w:t>
            </w:r>
          </w:p>
        </w:tc>
        <w:tc>
          <w:tcPr>
            <w:tcW w:w="100" w:type="dxa"/>
            <w:vAlign w:val="bottom"/>
          </w:tcPr>
          <w:p>
            <w:pPr>
              <w:spacing w:after="0"/>
              <w:rPr>
                <w:sz w:val="18"/>
                <w:szCs w:val="18"/>
                <w:color w:val="auto"/>
              </w:rPr>
            </w:pPr>
          </w:p>
        </w:tc>
        <w:tc>
          <w:tcPr>
            <w:tcW w:w="1300" w:type="dxa"/>
            <w:vAlign w:val="bottom"/>
          </w:tcPr>
          <w:p>
            <w:pPr>
              <w:jc w:val="center"/>
              <w:spacing w:after="0"/>
              <w:rPr>
                <w:sz w:val="20"/>
                <w:szCs w:val="20"/>
                <w:color w:val="auto"/>
              </w:rPr>
            </w:pPr>
            <w:r>
              <w:rPr>
                <w:rFonts w:ascii="Arial" w:cs="Arial" w:eastAsia="Arial" w:hAnsi="Arial"/>
                <w:sz w:val="18"/>
                <w:szCs w:val="18"/>
                <w:color w:val="auto"/>
                <w:w w:val="89"/>
              </w:rPr>
              <w:t>Total</w:t>
            </w:r>
          </w:p>
        </w:tc>
        <w:tc>
          <w:tcPr>
            <w:tcW w:w="120" w:type="dxa"/>
            <w:vAlign w:val="bottom"/>
          </w:tcPr>
          <w:p>
            <w:pPr>
              <w:spacing w:after="0"/>
              <w:rPr>
                <w:sz w:val="18"/>
                <w:szCs w:val="18"/>
                <w:color w:val="auto"/>
              </w:rPr>
            </w:pPr>
          </w:p>
        </w:tc>
        <w:tc>
          <w:tcPr>
            <w:tcW w:w="16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80" w:type="dxa"/>
            <w:vAlign w:val="bottom"/>
          </w:tcPr>
          <w:p>
            <w:pPr>
              <w:jc w:val="center"/>
              <w:spacing w:after="0"/>
              <w:rPr>
                <w:sz w:val="20"/>
                <w:szCs w:val="20"/>
                <w:color w:val="auto"/>
              </w:rPr>
            </w:pPr>
            <w:r>
              <w:rPr>
                <w:rFonts w:ascii="Arial" w:cs="Arial" w:eastAsia="Arial" w:hAnsi="Arial"/>
                <w:sz w:val="18"/>
                <w:szCs w:val="18"/>
                <w:color w:val="auto"/>
                <w:w w:val="96"/>
              </w:rPr>
              <w:t>Offering</w:t>
            </w:r>
          </w:p>
        </w:tc>
        <w:tc>
          <w:tcPr>
            <w:tcW w:w="120" w:type="dxa"/>
            <w:vAlign w:val="bottom"/>
          </w:tcPr>
          <w:p>
            <w:pPr>
              <w:spacing w:after="0"/>
              <w:rPr>
                <w:sz w:val="18"/>
                <w:szCs w:val="18"/>
                <w:color w:val="auto"/>
              </w:rPr>
            </w:pPr>
          </w:p>
        </w:tc>
        <w:tc>
          <w:tcPr>
            <w:tcW w:w="1320" w:type="dxa"/>
            <w:vAlign w:val="bottom"/>
          </w:tcPr>
          <w:p>
            <w:pPr>
              <w:jc w:val="center"/>
              <w:spacing w:after="0"/>
              <w:rPr>
                <w:sz w:val="20"/>
                <w:szCs w:val="20"/>
                <w:color w:val="auto"/>
              </w:rPr>
            </w:pPr>
            <w:r>
              <w:rPr>
                <w:rFonts w:ascii="Arial" w:cs="Arial" w:eastAsia="Arial" w:hAnsi="Arial"/>
                <w:sz w:val="18"/>
                <w:szCs w:val="18"/>
                <w:color w:val="auto"/>
                <w:w w:val="92"/>
              </w:rPr>
              <w:t>of Common</w:t>
            </w:r>
          </w:p>
        </w:tc>
      </w:tr>
      <w:tr>
        <w:trPr>
          <w:trHeight w:val="216"/>
        </w:trPr>
        <w:tc>
          <w:tcPr>
            <w:tcW w:w="20" w:type="dxa"/>
            <w:vAlign w:val="bottom"/>
          </w:tcPr>
          <w:p>
            <w:pPr>
              <w:spacing w:after="0"/>
              <w:rPr>
                <w:sz w:val="18"/>
                <w:szCs w:val="18"/>
                <w:color w:val="auto"/>
              </w:rPr>
            </w:pPr>
          </w:p>
        </w:tc>
        <w:tc>
          <w:tcPr>
            <w:tcW w:w="16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80" w:type="dxa"/>
            <w:vAlign w:val="bottom"/>
          </w:tcPr>
          <w:p>
            <w:pPr>
              <w:jc w:val="center"/>
              <w:spacing w:after="0"/>
              <w:rPr>
                <w:sz w:val="20"/>
                <w:szCs w:val="20"/>
                <w:color w:val="auto"/>
              </w:rPr>
            </w:pPr>
            <w:r>
              <w:rPr>
                <w:rFonts w:ascii="Arial" w:cs="Arial" w:eastAsia="Arial" w:hAnsi="Arial"/>
                <w:sz w:val="18"/>
                <w:szCs w:val="18"/>
                <w:color w:val="auto"/>
                <w:w w:val="94"/>
              </w:rPr>
              <w:t>Including</w:t>
            </w:r>
          </w:p>
        </w:tc>
        <w:tc>
          <w:tcPr>
            <w:tcW w:w="100" w:type="dxa"/>
            <w:vAlign w:val="bottom"/>
          </w:tcPr>
          <w:p>
            <w:pPr>
              <w:spacing w:after="0"/>
              <w:rPr>
                <w:sz w:val="18"/>
                <w:szCs w:val="18"/>
                <w:color w:val="auto"/>
              </w:rPr>
            </w:pPr>
          </w:p>
        </w:tc>
        <w:tc>
          <w:tcPr>
            <w:tcW w:w="1300" w:type="dxa"/>
            <w:vAlign w:val="bottom"/>
          </w:tcPr>
          <w:p>
            <w:pPr>
              <w:jc w:val="center"/>
              <w:spacing w:after="0"/>
              <w:rPr>
                <w:sz w:val="20"/>
                <w:szCs w:val="20"/>
                <w:color w:val="auto"/>
              </w:rPr>
            </w:pPr>
            <w:r>
              <w:rPr>
                <w:rFonts w:ascii="Arial" w:cs="Arial" w:eastAsia="Arial" w:hAnsi="Arial"/>
                <w:sz w:val="18"/>
                <w:szCs w:val="18"/>
                <w:color w:val="auto"/>
                <w:w w:val="87"/>
              </w:rPr>
              <w:t>Percentage of</w:t>
            </w:r>
          </w:p>
        </w:tc>
        <w:tc>
          <w:tcPr>
            <w:tcW w:w="120" w:type="dxa"/>
            <w:vAlign w:val="bottom"/>
          </w:tcPr>
          <w:p>
            <w:pPr>
              <w:spacing w:after="0"/>
              <w:rPr>
                <w:sz w:val="18"/>
                <w:szCs w:val="18"/>
                <w:color w:val="auto"/>
              </w:rPr>
            </w:pPr>
          </w:p>
        </w:tc>
        <w:tc>
          <w:tcPr>
            <w:tcW w:w="16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80" w:type="dxa"/>
            <w:vAlign w:val="bottom"/>
          </w:tcPr>
          <w:p>
            <w:pPr>
              <w:jc w:val="center"/>
              <w:spacing w:after="0"/>
              <w:rPr>
                <w:sz w:val="20"/>
                <w:szCs w:val="20"/>
                <w:color w:val="auto"/>
              </w:rPr>
            </w:pPr>
            <w:r>
              <w:rPr>
                <w:rFonts w:ascii="Arial" w:cs="Arial" w:eastAsia="Arial" w:hAnsi="Arial"/>
                <w:sz w:val="18"/>
                <w:szCs w:val="18"/>
                <w:color w:val="auto"/>
                <w:w w:val="97"/>
              </w:rPr>
              <w:t>Including</w:t>
            </w:r>
          </w:p>
        </w:tc>
        <w:tc>
          <w:tcPr>
            <w:tcW w:w="120" w:type="dxa"/>
            <w:vAlign w:val="bottom"/>
          </w:tcPr>
          <w:p>
            <w:pPr>
              <w:spacing w:after="0"/>
              <w:rPr>
                <w:sz w:val="18"/>
                <w:szCs w:val="18"/>
                <w:color w:val="auto"/>
              </w:rPr>
            </w:pPr>
          </w:p>
        </w:tc>
        <w:tc>
          <w:tcPr>
            <w:tcW w:w="1320" w:type="dxa"/>
            <w:vAlign w:val="bottom"/>
          </w:tcPr>
          <w:p>
            <w:pPr>
              <w:jc w:val="center"/>
              <w:spacing w:after="0"/>
              <w:rPr>
                <w:sz w:val="20"/>
                <w:szCs w:val="20"/>
                <w:color w:val="auto"/>
              </w:rPr>
            </w:pPr>
            <w:r>
              <w:rPr>
                <w:rFonts w:ascii="Arial" w:cs="Arial" w:eastAsia="Arial" w:hAnsi="Arial"/>
                <w:sz w:val="18"/>
                <w:szCs w:val="18"/>
                <w:color w:val="auto"/>
                <w:w w:val="88"/>
              </w:rPr>
              <w:t>Stock</w:t>
            </w:r>
          </w:p>
        </w:tc>
      </w:tr>
      <w:tr>
        <w:trPr>
          <w:trHeight w:val="216"/>
        </w:trPr>
        <w:tc>
          <w:tcPr>
            <w:tcW w:w="20" w:type="dxa"/>
            <w:vAlign w:val="bottom"/>
          </w:tcPr>
          <w:p>
            <w:pPr>
              <w:spacing w:after="0"/>
              <w:rPr>
                <w:sz w:val="18"/>
                <w:szCs w:val="18"/>
                <w:color w:val="auto"/>
              </w:rPr>
            </w:pPr>
          </w:p>
        </w:tc>
        <w:tc>
          <w:tcPr>
            <w:tcW w:w="16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80" w:type="dxa"/>
            <w:vAlign w:val="bottom"/>
          </w:tcPr>
          <w:p>
            <w:pPr>
              <w:jc w:val="center"/>
              <w:spacing w:after="0"/>
              <w:rPr>
                <w:sz w:val="20"/>
                <w:szCs w:val="20"/>
                <w:color w:val="auto"/>
              </w:rPr>
            </w:pPr>
            <w:r>
              <w:rPr>
                <w:rFonts w:ascii="Arial" w:cs="Arial" w:eastAsia="Arial" w:hAnsi="Arial"/>
                <w:sz w:val="18"/>
                <w:szCs w:val="18"/>
                <w:color w:val="auto"/>
                <w:w w:val="84"/>
              </w:rPr>
              <w:t>Shares</w:t>
            </w:r>
          </w:p>
        </w:tc>
        <w:tc>
          <w:tcPr>
            <w:tcW w:w="100" w:type="dxa"/>
            <w:vAlign w:val="bottom"/>
          </w:tcPr>
          <w:p>
            <w:pPr>
              <w:spacing w:after="0"/>
              <w:rPr>
                <w:sz w:val="18"/>
                <w:szCs w:val="18"/>
                <w:color w:val="auto"/>
              </w:rPr>
            </w:pPr>
          </w:p>
        </w:tc>
        <w:tc>
          <w:tcPr>
            <w:tcW w:w="1300" w:type="dxa"/>
            <w:vAlign w:val="bottom"/>
          </w:tcPr>
          <w:p>
            <w:pPr>
              <w:jc w:val="center"/>
              <w:spacing w:after="0"/>
              <w:rPr>
                <w:sz w:val="20"/>
                <w:szCs w:val="20"/>
                <w:color w:val="auto"/>
              </w:rPr>
            </w:pPr>
            <w:r>
              <w:rPr>
                <w:rFonts w:ascii="Arial" w:cs="Arial" w:eastAsia="Arial" w:hAnsi="Arial"/>
                <w:sz w:val="18"/>
                <w:szCs w:val="18"/>
                <w:color w:val="auto"/>
                <w:w w:val="90"/>
              </w:rPr>
              <w:t>Outstanding</w:t>
            </w:r>
          </w:p>
        </w:tc>
        <w:tc>
          <w:tcPr>
            <w:tcW w:w="120" w:type="dxa"/>
            <w:vAlign w:val="bottom"/>
          </w:tcPr>
          <w:p>
            <w:pPr>
              <w:spacing w:after="0"/>
              <w:rPr>
                <w:sz w:val="18"/>
                <w:szCs w:val="18"/>
                <w:color w:val="auto"/>
              </w:rPr>
            </w:pPr>
          </w:p>
        </w:tc>
        <w:tc>
          <w:tcPr>
            <w:tcW w:w="16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80" w:type="dxa"/>
            <w:vAlign w:val="bottom"/>
          </w:tcPr>
          <w:p>
            <w:pPr>
              <w:jc w:val="center"/>
              <w:spacing w:after="0"/>
              <w:rPr>
                <w:sz w:val="20"/>
                <w:szCs w:val="20"/>
                <w:color w:val="auto"/>
              </w:rPr>
            </w:pPr>
            <w:r>
              <w:rPr>
                <w:rFonts w:ascii="Arial" w:cs="Arial" w:eastAsia="Arial" w:hAnsi="Arial"/>
                <w:sz w:val="18"/>
                <w:szCs w:val="18"/>
                <w:color w:val="auto"/>
                <w:w w:val="84"/>
              </w:rPr>
              <w:t>Shares</w:t>
            </w:r>
          </w:p>
        </w:tc>
        <w:tc>
          <w:tcPr>
            <w:tcW w:w="120" w:type="dxa"/>
            <w:vAlign w:val="bottom"/>
          </w:tcPr>
          <w:p>
            <w:pPr>
              <w:spacing w:after="0"/>
              <w:rPr>
                <w:sz w:val="18"/>
                <w:szCs w:val="18"/>
                <w:color w:val="auto"/>
              </w:rPr>
            </w:pPr>
          </w:p>
        </w:tc>
        <w:tc>
          <w:tcPr>
            <w:tcW w:w="1320" w:type="dxa"/>
            <w:vAlign w:val="bottom"/>
          </w:tcPr>
          <w:p>
            <w:pPr>
              <w:jc w:val="center"/>
              <w:spacing w:after="0"/>
              <w:rPr>
                <w:sz w:val="20"/>
                <w:szCs w:val="20"/>
                <w:color w:val="auto"/>
              </w:rPr>
            </w:pPr>
            <w:r>
              <w:rPr>
                <w:rFonts w:ascii="Arial" w:cs="Arial" w:eastAsia="Arial" w:hAnsi="Arial"/>
                <w:sz w:val="18"/>
                <w:szCs w:val="18"/>
                <w:color w:val="auto"/>
                <w:w w:val="93"/>
              </w:rPr>
              <w:t>Owned After</w:t>
            </w:r>
          </w:p>
        </w:tc>
      </w:tr>
      <w:tr>
        <w:trPr>
          <w:trHeight w:val="216"/>
        </w:trPr>
        <w:tc>
          <w:tcPr>
            <w:tcW w:w="20" w:type="dxa"/>
            <w:vAlign w:val="bottom"/>
          </w:tcPr>
          <w:p>
            <w:pPr>
              <w:spacing w:after="0"/>
              <w:rPr>
                <w:sz w:val="18"/>
                <w:szCs w:val="18"/>
                <w:color w:val="auto"/>
              </w:rPr>
            </w:pPr>
          </w:p>
        </w:tc>
        <w:tc>
          <w:tcPr>
            <w:tcW w:w="16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80" w:type="dxa"/>
            <w:vAlign w:val="bottom"/>
          </w:tcPr>
          <w:p>
            <w:pPr>
              <w:jc w:val="center"/>
              <w:spacing w:after="0"/>
              <w:rPr>
                <w:sz w:val="20"/>
                <w:szCs w:val="20"/>
                <w:color w:val="auto"/>
              </w:rPr>
            </w:pPr>
            <w:r>
              <w:rPr>
                <w:rFonts w:ascii="Arial" w:cs="Arial" w:eastAsia="Arial" w:hAnsi="Arial"/>
                <w:sz w:val="18"/>
                <w:szCs w:val="18"/>
                <w:color w:val="auto"/>
                <w:w w:val="89"/>
              </w:rPr>
              <w:t>Issuable</w:t>
            </w:r>
          </w:p>
        </w:tc>
        <w:tc>
          <w:tcPr>
            <w:tcW w:w="100" w:type="dxa"/>
            <w:vAlign w:val="bottom"/>
          </w:tcPr>
          <w:p>
            <w:pPr>
              <w:spacing w:after="0"/>
              <w:rPr>
                <w:sz w:val="18"/>
                <w:szCs w:val="18"/>
                <w:color w:val="auto"/>
              </w:rPr>
            </w:pPr>
          </w:p>
        </w:tc>
        <w:tc>
          <w:tcPr>
            <w:tcW w:w="1300" w:type="dxa"/>
            <w:vAlign w:val="bottom"/>
          </w:tcPr>
          <w:p>
            <w:pPr>
              <w:jc w:val="center"/>
              <w:spacing w:after="0"/>
              <w:rPr>
                <w:sz w:val="20"/>
                <w:szCs w:val="20"/>
                <w:color w:val="auto"/>
              </w:rPr>
            </w:pPr>
            <w:r>
              <w:rPr>
                <w:rFonts w:ascii="Arial" w:cs="Arial" w:eastAsia="Arial" w:hAnsi="Arial"/>
                <w:sz w:val="18"/>
                <w:szCs w:val="18"/>
                <w:color w:val="auto"/>
                <w:w w:val="84"/>
              </w:rPr>
              <w:t>Shares</w:t>
            </w:r>
          </w:p>
        </w:tc>
        <w:tc>
          <w:tcPr>
            <w:tcW w:w="120" w:type="dxa"/>
            <w:vAlign w:val="bottom"/>
          </w:tcPr>
          <w:p>
            <w:pPr>
              <w:spacing w:after="0"/>
              <w:rPr>
                <w:sz w:val="18"/>
                <w:szCs w:val="18"/>
                <w:color w:val="auto"/>
              </w:rPr>
            </w:pPr>
          </w:p>
        </w:tc>
        <w:tc>
          <w:tcPr>
            <w:tcW w:w="16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80" w:type="dxa"/>
            <w:vAlign w:val="bottom"/>
          </w:tcPr>
          <w:p>
            <w:pPr>
              <w:jc w:val="center"/>
              <w:spacing w:after="0"/>
              <w:rPr>
                <w:sz w:val="20"/>
                <w:szCs w:val="20"/>
                <w:color w:val="auto"/>
              </w:rPr>
            </w:pPr>
            <w:r>
              <w:rPr>
                <w:rFonts w:ascii="Arial" w:cs="Arial" w:eastAsia="Arial" w:hAnsi="Arial"/>
                <w:sz w:val="18"/>
                <w:szCs w:val="18"/>
                <w:color w:val="auto"/>
                <w:w w:val="94"/>
              </w:rPr>
              <w:t>Beneficial</w:t>
            </w:r>
          </w:p>
        </w:tc>
        <w:tc>
          <w:tcPr>
            <w:tcW w:w="100" w:type="dxa"/>
            <w:vAlign w:val="bottom"/>
          </w:tcPr>
          <w:p>
            <w:pPr>
              <w:spacing w:after="0"/>
              <w:rPr>
                <w:sz w:val="18"/>
                <w:szCs w:val="18"/>
                <w:color w:val="auto"/>
              </w:rPr>
            </w:pPr>
          </w:p>
        </w:tc>
        <w:tc>
          <w:tcPr>
            <w:tcW w:w="1200" w:type="dxa"/>
            <w:vAlign w:val="bottom"/>
          </w:tcPr>
          <w:p>
            <w:pPr>
              <w:jc w:val="center"/>
              <w:spacing w:after="0"/>
              <w:rPr>
                <w:sz w:val="20"/>
                <w:szCs w:val="20"/>
                <w:color w:val="auto"/>
              </w:rPr>
            </w:pPr>
            <w:r>
              <w:rPr>
                <w:rFonts w:ascii="Arial" w:cs="Arial" w:eastAsia="Arial" w:hAnsi="Arial"/>
                <w:sz w:val="18"/>
                <w:szCs w:val="18"/>
                <w:color w:val="auto"/>
                <w:w w:val="86"/>
              </w:rPr>
              <w:t>Percentage</w:t>
            </w:r>
          </w:p>
        </w:tc>
        <w:tc>
          <w:tcPr>
            <w:tcW w:w="100" w:type="dxa"/>
            <w:vAlign w:val="bottom"/>
          </w:tcPr>
          <w:p>
            <w:pPr>
              <w:spacing w:after="0"/>
              <w:rPr>
                <w:sz w:val="18"/>
                <w:szCs w:val="18"/>
                <w:color w:val="auto"/>
              </w:rPr>
            </w:pPr>
          </w:p>
        </w:tc>
        <w:tc>
          <w:tcPr>
            <w:tcW w:w="1180" w:type="dxa"/>
            <w:vAlign w:val="bottom"/>
          </w:tcPr>
          <w:p>
            <w:pPr>
              <w:jc w:val="center"/>
              <w:spacing w:after="0"/>
              <w:rPr>
                <w:sz w:val="20"/>
                <w:szCs w:val="20"/>
                <w:color w:val="auto"/>
              </w:rPr>
            </w:pPr>
            <w:r>
              <w:rPr>
                <w:rFonts w:ascii="Arial" w:cs="Arial" w:eastAsia="Arial" w:hAnsi="Arial"/>
                <w:sz w:val="18"/>
                <w:szCs w:val="18"/>
                <w:color w:val="auto"/>
                <w:w w:val="86"/>
              </w:rPr>
              <w:t>Issuable</w:t>
            </w:r>
          </w:p>
        </w:tc>
        <w:tc>
          <w:tcPr>
            <w:tcW w:w="120" w:type="dxa"/>
            <w:vAlign w:val="bottom"/>
          </w:tcPr>
          <w:p>
            <w:pPr>
              <w:spacing w:after="0"/>
              <w:rPr>
                <w:sz w:val="18"/>
                <w:szCs w:val="18"/>
                <w:color w:val="auto"/>
              </w:rPr>
            </w:pPr>
          </w:p>
        </w:tc>
        <w:tc>
          <w:tcPr>
            <w:tcW w:w="1320" w:type="dxa"/>
            <w:vAlign w:val="bottom"/>
          </w:tcPr>
          <w:p>
            <w:pPr>
              <w:jc w:val="center"/>
              <w:spacing w:after="0"/>
              <w:rPr>
                <w:sz w:val="20"/>
                <w:szCs w:val="20"/>
                <w:color w:val="auto"/>
              </w:rPr>
            </w:pPr>
            <w:r>
              <w:rPr>
                <w:rFonts w:ascii="Arial" w:cs="Arial" w:eastAsia="Arial" w:hAnsi="Arial"/>
                <w:sz w:val="18"/>
                <w:szCs w:val="18"/>
                <w:color w:val="auto"/>
                <w:w w:val="96"/>
              </w:rPr>
              <w:t>Offering</w:t>
            </w:r>
          </w:p>
        </w:tc>
      </w:tr>
      <w:tr>
        <w:trPr>
          <w:trHeight w:val="216"/>
        </w:trPr>
        <w:tc>
          <w:tcPr>
            <w:tcW w:w="20" w:type="dxa"/>
            <w:vAlign w:val="bottom"/>
          </w:tcPr>
          <w:p>
            <w:pPr>
              <w:spacing w:after="0"/>
              <w:rPr>
                <w:sz w:val="18"/>
                <w:szCs w:val="18"/>
                <w:color w:val="auto"/>
              </w:rPr>
            </w:pPr>
          </w:p>
        </w:tc>
        <w:tc>
          <w:tcPr>
            <w:tcW w:w="16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80" w:type="dxa"/>
            <w:vAlign w:val="bottom"/>
          </w:tcPr>
          <w:p>
            <w:pPr>
              <w:jc w:val="center"/>
              <w:spacing w:after="0"/>
              <w:rPr>
                <w:sz w:val="20"/>
                <w:szCs w:val="20"/>
                <w:color w:val="auto"/>
              </w:rPr>
            </w:pPr>
            <w:r>
              <w:rPr>
                <w:rFonts w:ascii="Arial" w:cs="Arial" w:eastAsia="Arial" w:hAnsi="Arial"/>
                <w:sz w:val="18"/>
                <w:szCs w:val="18"/>
                <w:color w:val="auto"/>
                <w:w w:val="93"/>
              </w:rPr>
              <w:t>Upon Full</w:t>
            </w:r>
          </w:p>
        </w:tc>
        <w:tc>
          <w:tcPr>
            <w:tcW w:w="100" w:type="dxa"/>
            <w:vAlign w:val="bottom"/>
          </w:tcPr>
          <w:p>
            <w:pPr>
              <w:spacing w:after="0"/>
              <w:rPr>
                <w:sz w:val="18"/>
                <w:szCs w:val="18"/>
                <w:color w:val="auto"/>
              </w:rPr>
            </w:pPr>
          </w:p>
        </w:tc>
        <w:tc>
          <w:tcPr>
            <w:tcW w:w="1300" w:type="dxa"/>
            <w:vAlign w:val="bottom"/>
          </w:tcPr>
          <w:p>
            <w:pPr>
              <w:jc w:val="center"/>
              <w:spacing w:after="0"/>
              <w:rPr>
                <w:sz w:val="20"/>
                <w:szCs w:val="20"/>
                <w:color w:val="auto"/>
              </w:rPr>
            </w:pPr>
            <w:r>
              <w:rPr>
                <w:rFonts w:ascii="Arial" w:cs="Arial" w:eastAsia="Arial" w:hAnsi="Arial"/>
                <w:sz w:val="18"/>
                <w:szCs w:val="18"/>
                <w:color w:val="auto"/>
                <w:w w:val="93"/>
              </w:rPr>
              <w:t>Assuming Full</w:t>
            </w:r>
          </w:p>
        </w:tc>
        <w:tc>
          <w:tcPr>
            <w:tcW w:w="120" w:type="dxa"/>
            <w:vAlign w:val="bottom"/>
          </w:tcPr>
          <w:p>
            <w:pPr>
              <w:spacing w:after="0"/>
              <w:rPr>
                <w:sz w:val="18"/>
                <w:szCs w:val="18"/>
                <w:color w:val="auto"/>
              </w:rPr>
            </w:pPr>
          </w:p>
        </w:tc>
        <w:tc>
          <w:tcPr>
            <w:tcW w:w="1660" w:type="dxa"/>
            <w:vAlign w:val="bottom"/>
          </w:tcPr>
          <w:p>
            <w:pPr>
              <w:jc w:val="center"/>
              <w:spacing w:after="0"/>
              <w:rPr>
                <w:sz w:val="20"/>
                <w:szCs w:val="20"/>
                <w:color w:val="auto"/>
              </w:rPr>
            </w:pPr>
            <w:r>
              <w:rPr>
                <w:rFonts w:ascii="Arial" w:cs="Arial" w:eastAsia="Arial" w:hAnsi="Arial"/>
                <w:sz w:val="18"/>
                <w:szCs w:val="18"/>
                <w:color w:val="auto"/>
                <w:w w:val="88"/>
              </w:rPr>
              <w:t>Shares of</w:t>
            </w:r>
          </w:p>
        </w:tc>
        <w:tc>
          <w:tcPr>
            <w:tcW w:w="100" w:type="dxa"/>
            <w:vAlign w:val="bottom"/>
          </w:tcPr>
          <w:p>
            <w:pPr>
              <w:spacing w:after="0"/>
              <w:rPr>
                <w:sz w:val="18"/>
                <w:szCs w:val="18"/>
                <w:color w:val="auto"/>
              </w:rPr>
            </w:pPr>
          </w:p>
        </w:tc>
        <w:tc>
          <w:tcPr>
            <w:tcW w:w="1180" w:type="dxa"/>
            <w:vAlign w:val="bottom"/>
          </w:tcPr>
          <w:p>
            <w:pPr>
              <w:jc w:val="center"/>
              <w:spacing w:after="0"/>
              <w:rPr>
                <w:sz w:val="20"/>
                <w:szCs w:val="20"/>
                <w:color w:val="auto"/>
              </w:rPr>
            </w:pPr>
            <w:r>
              <w:rPr>
                <w:rFonts w:ascii="Arial" w:cs="Arial" w:eastAsia="Arial" w:hAnsi="Arial"/>
                <w:sz w:val="18"/>
                <w:szCs w:val="18"/>
                <w:color w:val="auto"/>
                <w:w w:val="92"/>
              </w:rPr>
              <w:t>Ownership</w:t>
            </w:r>
          </w:p>
        </w:tc>
        <w:tc>
          <w:tcPr>
            <w:tcW w:w="100" w:type="dxa"/>
            <w:vAlign w:val="bottom"/>
          </w:tcPr>
          <w:p>
            <w:pPr>
              <w:spacing w:after="0"/>
              <w:rPr>
                <w:sz w:val="18"/>
                <w:szCs w:val="18"/>
                <w:color w:val="auto"/>
              </w:rPr>
            </w:pPr>
          </w:p>
        </w:tc>
        <w:tc>
          <w:tcPr>
            <w:tcW w:w="1200" w:type="dxa"/>
            <w:vAlign w:val="bottom"/>
          </w:tcPr>
          <w:p>
            <w:pPr>
              <w:jc w:val="center"/>
              <w:spacing w:after="0"/>
              <w:rPr>
                <w:sz w:val="20"/>
                <w:szCs w:val="20"/>
                <w:color w:val="auto"/>
              </w:rPr>
            </w:pPr>
            <w:r>
              <w:rPr>
                <w:rFonts w:ascii="Arial" w:cs="Arial" w:eastAsia="Arial" w:hAnsi="Arial"/>
                <w:sz w:val="18"/>
                <w:szCs w:val="18"/>
                <w:color w:val="auto"/>
                <w:w w:val="92"/>
              </w:rPr>
              <w:t>of Common</w:t>
            </w:r>
          </w:p>
        </w:tc>
        <w:tc>
          <w:tcPr>
            <w:tcW w:w="100" w:type="dxa"/>
            <w:vAlign w:val="bottom"/>
          </w:tcPr>
          <w:p>
            <w:pPr>
              <w:spacing w:after="0"/>
              <w:rPr>
                <w:sz w:val="18"/>
                <w:szCs w:val="18"/>
                <w:color w:val="auto"/>
              </w:rPr>
            </w:pPr>
          </w:p>
        </w:tc>
        <w:tc>
          <w:tcPr>
            <w:tcW w:w="1180" w:type="dxa"/>
            <w:vAlign w:val="bottom"/>
          </w:tcPr>
          <w:p>
            <w:pPr>
              <w:jc w:val="center"/>
              <w:spacing w:after="0"/>
              <w:rPr>
                <w:sz w:val="20"/>
                <w:szCs w:val="20"/>
                <w:color w:val="auto"/>
              </w:rPr>
            </w:pPr>
            <w:r>
              <w:rPr>
                <w:rFonts w:ascii="Arial" w:cs="Arial" w:eastAsia="Arial" w:hAnsi="Arial"/>
                <w:sz w:val="18"/>
                <w:szCs w:val="18"/>
                <w:color w:val="auto"/>
                <w:w w:val="96"/>
              </w:rPr>
              <w:t>Upon Full</w:t>
            </w:r>
          </w:p>
        </w:tc>
        <w:tc>
          <w:tcPr>
            <w:tcW w:w="120" w:type="dxa"/>
            <w:vAlign w:val="bottom"/>
          </w:tcPr>
          <w:p>
            <w:pPr>
              <w:spacing w:after="0"/>
              <w:rPr>
                <w:sz w:val="18"/>
                <w:szCs w:val="18"/>
                <w:color w:val="auto"/>
              </w:rPr>
            </w:pPr>
          </w:p>
        </w:tc>
        <w:tc>
          <w:tcPr>
            <w:tcW w:w="1320" w:type="dxa"/>
            <w:vAlign w:val="bottom"/>
          </w:tcPr>
          <w:p>
            <w:pPr>
              <w:jc w:val="center"/>
              <w:spacing w:after="0"/>
              <w:rPr>
                <w:sz w:val="20"/>
                <w:szCs w:val="20"/>
                <w:color w:val="auto"/>
              </w:rPr>
            </w:pPr>
            <w:r>
              <w:rPr>
                <w:rFonts w:ascii="Arial" w:cs="Arial" w:eastAsia="Arial" w:hAnsi="Arial"/>
                <w:sz w:val="18"/>
                <w:szCs w:val="18"/>
                <w:color w:val="auto"/>
                <w:w w:val="93"/>
              </w:rPr>
              <w:t>Assuming Full</w:t>
            </w:r>
          </w:p>
        </w:tc>
      </w:tr>
      <w:tr>
        <w:trPr>
          <w:trHeight w:val="216"/>
        </w:trPr>
        <w:tc>
          <w:tcPr>
            <w:tcW w:w="20" w:type="dxa"/>
            <w:vAlign w:val="bottom"/>
          </w:tcPr>
          <w:p>
            <w:pPr>
              <w:spacing w:after="0"/>
              <w:rPr>
                <w:sz w:val="18"/>
                <w:szCs w:val="18"/>
                <w:color w:val="auto"/>
              </w:rPr>
            </w:pPr>
          </w:p>
        </w:tc>
        <w:tc>
          <w:tcPr>
            <w:tcW w:w="16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80" w:type="dxa"/>
            <w:vAlign w:val="bottom"/>
          </w:tcPr>
          <w:p>
            <w:pPr>
              <w:jc w:val="center"/>
              <w:spacing w:after="0"/>
              <w:rPr>
                <w:sz w:val="20"/>
                <w:szCs w:val="20"/>
                <w:color w:val="auto"/>
              </w:rPr>
            </w:pPr>
            <w:r>
              <w:rPr>
                <w:rFonts w:ascii="Arial" w:cs="Arial" w:eastAsia="Arial" w:hAnsi="Arial"/>
                <w:sz w:val="18"/>
                <w:szCs w:val="18"/>
                <w:color w:val="auto"/>
                <w:w w:val="92"/>
              </w:rPr>
              <w:t>Conversion</w:t>
            </w:r>
          </w:p>
        </w:tc>
        <w:tc>
          <w:tcPr>
            <w:tcW w:w="100" w:type="dxa"/>
            <w:vAlign w:val="bottom"/>
          </w:tcPr>
          <w:p>
            <w:pPr>
              <w:spacing w:after="0"/>
              <w:rPr>
                <w:sz w:val="18"/>
                <w:szCs w:val="18"/>
                <w:color w:val="auto"/>
              </w:rPr>
            </w:pPr>
          </w:p>
        </w:tc>
        <w:tc>
          <w:tcPr>
            <w:tcW w:w="1300" w:type="dxa"/>
            <w:vAlign w:val="bottom"/>
          </w:tcPr>
          <w:p>
            <w:pPr>
              <w:jc w:val="center"/>
              <w:spacing w:after="0"/>
              <w:rPr>
                <w:sz w:val="20"/>
                <w:szCs w:val="20"/>
                <w:color w:val="auto"/>
              </w:rPr>
            </w:pPr>
            <w:r>
              <w:rPr>
                <w:rFonts w:ascii="Arial" w:cs="Arial" w:eastAsia="Arial" w:hAnsi="Arial"/>
                <w:sz w:val="18"/>
                <w:szCs w:val="18"/>
                <w:color w:val="auto"/>
                <w:w w:val="90"/>
              </w:rPr>
              <w:t>Conversion</w:t>
            </w:r>
          </w:p>
        </w:tc>
        <w:tc>
          <w:tcPr>
            <w:tcW w:w="120" w:type="dxa"/>
            <w:vAlign w:val="bottom"/>
          </w:tcPr>
          <w:p>
            <w:pPr>
              <w:spacing w:after="0"/>
              <w:rPr>
                <w:sz w:val="18"/>
                <w:szCs w:val="18"/>
                <w:color w:val="auto"/>
              </w:rPr>
            </w:pPr>
          </w:p>
        </w:tc>
        <w:tc>
          <w:tcPr>
            <w:tcW w:w="1660" w:type="dxa"/>
            <w:vAlign w:val="bottom"/>
          </w:tcPr>
          <w:p>
            <w:pPr>
              <w:jc w:val="center"/>
              <w:spacing w:after="0"/>
              <w:rPr>
                <w:sz w:val="20"/>
                <w:szCs w:val="20"/>
                <w:color w:val="auto"/>
              </w:rPr>
            </w:pPr>
            <w:r>
              <w:rPr>
                <w:rFonts w:ascii="Arial" w:cs="Arial" w:eastAsia="Arial" w:hAnsi="Arial"/>
                <w:sz w:val="18"/>
                <w:szCs w:val="18"/>
                <w:color w:val="auto"/>
                <w:w w:val="90"/>
              </w:rPr>
              <w:t>Common Stock</w:t>
            </w:r>
          </w:p>
        </w:tc>
        <w:tc>
          <w:tcPr>
            <w:tcW w:w="100" w:type="dxa"/>
            <w:vAlign w:val="bottom"/>
          </w:tcPr>
          <w:p>
            <w:pPr>
              <w:spacing w:after="0"/>
              <w:rPr>
                <w:sz w:val="18"/>
                <w:szCs w:val="18"/>
                <w:color w:val="auto"/>
              </w:rPr>
            </w:pPr>
          </w:p>
        </w:tc>
        <w:tc>
          <w:tcPr>
            <w:tcW w:w="1180" w:type="dxa"/>
            <w:vAlign w:val="bottom"/>
          </w:tcPr>
          <w:p>
            <w:pPr>
              <w:jc w:val="center"/>
              <w:spacing w:after="0"/>
              <w:rPr>
                <w:sz w:val="20"/>
                <w:szCs w:val="20"/>
                <w:color w:val="auto"/>
              </w:rPr>
            </w:pPr>
            <w:r>
              <w:rPr>
                <w:rFonts w:ascii="Arial" w:cs="Arial" w:eastAsia="Arial" w:hAnsi="Arial"/>
                <w:sz w:val="18"/>
                <w:szCs w:val="18"/>
                <w:color w:val="auto"/>
                <w:w w:val="90"/>
              </w:rPr>
              <w:t>Before</w:t>
            </w:r>
          </w:p>
        </w:tc>
        <w:tc>
          <w:tcPr>
            <w:tcW w:w="100" w:type="dxa"/>
            <w:vAlign w:val="bottom"/>
          </w:tcPr>
          <w:p>
            <w:pPr>
              <w:spacing w:after="0"/>
              <w:rPr>
                <w:sz w:val="18"/>
                <w:szCs w:val="18"/>
                <w:color w:val="auto"/>
              </w:rPr>
            </w:pPr>
          </w:p>
        </w:tc>
        <w:tc>
          <w:tcPr>
            <w:tcW w:w="1200" w:type="dxa"/>
            <w:vAlign w:val="bottom"/>
          </w:tcPr>
          <w:p>
            <w:pPr>
              <w:jc w:val="center"/>
              <w:spacing w:after="0"/>
              <w:rPr>
                <w:sz w:val="20"/>
                <w:szCs w:val="20"/>
                <w:color w:val="auto"/>
              </w:rPr>
            </w:pPr>
            <w:r>
              <w:rPr>
                <w:rFonts w:ascii="Arial" w:cs="Arial" w:eastAsia="Arial" w:hAnsi="Arial"/>
                <w:sz w:val="18"/>
                <w:szCs w:val="18"/>
                <w:color w:val="auto"/>
                <w:w w:val="91"/>
              </w:rPr>
              <w:t>Stock Before</w:t>
            </w:r>
          </w:p>
        </w:tc>
        <w:tc>
          <w:tcPr>
            <w:tcW w:w="100" w:type="dxa"/>
            <w:vAlign w:val="bottom"/>
          </w:tcPr>
          <w:p>
            <w:pPr>
              <w:spacing w:after="0"/>
              <w:rPr>
                <w:sz w:val="18"/>
                <w:szCs w:val="18"/>
                <w:color w:val="auto"/>
              </w:rPr>
            </w:pPr>
          </w:p>
        </w:tc>
        <w:tc>
          <w:tcPr>
            <w:tcW w:w="1180" w:type="dxa"/>
            <w:vAlign w:val="bottom"/>
          </w:tcPr>
          <w:p>
            <w:pPr>
              <w:jc w:val="center"/>
              <w:spacing w:after="0"/>
              <w:rPr>
                <w:sz w:val="20"/>
                <w:szCs w:val="20"/>
                <w:color w:val="auto"/>
              </w:rPr>
            </w:pPr>
            <w:r>
              <w:rPr>
                <w:rFonts w:ascii="Arial" w:cs="Arial" w:eastAsia="Arial" w:hAnsi="Arial"/>
                <w:sz w:val="18"/>
                <w:szCs w:val="18"/>
                <w:color w:val="auto"/>
                <w:w w:val="90"/>
              </w:rPr>
              <w:t>Conversion</w:t>
            </w:r>
          </w:p>
        </w:tc>
        <w:tc>
          <w:tcPr>
            <w:tcW w:w="120" w:type="dxa"/>
            <w:vAlign w:val="bottom"/>
          </w:tcPr>
          <w:p>
            <w:pPr>
              <w:spacing w:after="0"/>
              <w:rPr>
                <w:sz w:val="18"/>
                <w:szCs w:val="18"/>
                <w:color w:val="auto"/>
              </w:rPr>
            </w:pPr>
          </w:p>
        </w:tc>
        <w:tc>
          <w:tcPr>
            <w:tcW w:w="1320" w:type="dxa"/>
            <w:vAlign w:val="bottom"/>
          </w:tcPr>
          <w:p>
            <w:pPr>
              <w:jc w:val="center"/>
              <w:spacing w:after="0"/>
              <w:rPr>
                <w:sz w:val="20"/>
                <w:szCs w:val="20"/>
                <w:color w:val="auto"/>
              </w:rPr>
            </w:pPr>
            <w:r>
              <w:rPr>
                <w:rFonts w:ascii="Arial" w:cs="Arial" w:eastAsia="Arial" w:hAnsi="Arial"/>
                <w:sz w:val="18"/>
                <w:szCs w:val="18"/>
                <w:color w:val="auto"/>
                <w:w w:val="92"/>
              </w:rPr>
              <w:t>Conversion</w:t>
            </w:r>
          </w:p>
        </w:tc>
      </w:tr>
      <w:tr>
        <w:trPr>
          <w:trHeight w:val="216"/>
        </w:trPr>
        <w:tc>
          <w:tcPr>
            <w:tcW w:w="1660" w:type="dxa"/>
            <w:vAlign w:val="bottom"/>
            <w:gridSpan w:val="2"/>
          </w:tcPr>
          <w:p>
            <w:pPr>
              <w:spacing w:after="0"/>
              <w:rPr>
                <w:sz w:val="20"/>
                <w:szCs w:val="20"/>
                <w:color w:val="auto"/>
              </w:rPr>
            </w:pPr>
            <w:r>
              <w:rPr>
                <w:rFonts w:ascii="Arial" w:cs="Arial" w:eastAsia="Arial" w:hAnsi="Arial"/>
                <w:sz w:val="18"/>
                <w:szCs w:val="18"/>
                <w:color w:val="auto"/>
              </w:rPr>
              <w:t>Name of Selling</w:t>
            </w:r>
          </w:p>
        </w:tc>
        <w:tc>
          <w:tcPr>
            <w:tcW w:w="100" w:type="dxa"/>
            <w:vAlign w:val="bottom"/>
          </w:tcPr>
          <w:p>
            <w:pPr>
              <w:spacing w:after="0"/>
              <w:rPr>
                <w:sz w:val="18"/>
                <w:szCs w:val="18"/>
                <w:color w:val="auto"/>
              </w:rPr>
            </w:pPr>
          </w:p>
        </w:tc>
        <w:tc>
          <w:tcPr>
            <w:tcW w:w="1180" w:type="dxa"/>
            <w:vAlign w:val="bottom"/>
          </w:tcPr>
          <w:p>
            <w:pPr>
              <w:jc w:val="center"/>
              <w:spacing w:after="0"/>
              <w:rPr>
                <w:sz w:val="20"/>
                <w:szCs w:val="20"/>
                <w:color w:val="auto"/>
              </w:rPr>
            </w:pPr>
            <w:r>
              <w:rPr>
                <w:rFonts w:ascii="Arial" w:cs="Arial" w:eastAsia="Arial" w:hAnsi="Arial"/>
                <w:sz w:val="18"/>
                <w:szCs w:val="18"/>
                <w:color w:val="auto"/>
                <w:w w:val="90"/>
              </w:rPr>
              <w:t>and/or</w:t>
            </w:r>
          </w:p>
        </w:tc>
        <w:tc>
          <w:tcPr>
            <w:tcW w:w="100" w:type="dxa"/>
            <w:vAlign w:val="bottom"/>
          </w:tcPr>
          <w:p>
            <w:pPr>
              <w:spacing w:after="0"/>
              <w:rPr>
                <w:sz w:val="18"/>
                <w:szCs w:val="18"/>
                <w:color w:val="auto"/>
              </w:rPr>
            </w:pPr>
          </w:p>
        </w:tc>
        <w:tc>
          <w:tcPr>
            <w:tcW w:w="1300" w:type="dxa"/>
            <w:vAlign w:val="bottom"/>
          </w:tcPr>
          <w:p>
            <w:pPr>
              <w:jc w:val="center"/>
              <w:spacing w:after="0"/>
              <w:rPr>
                <w:sz w:val="20"/>
                <w:szCs w:val="20"/>
                <w:color w:val="auto"/>
              </w:rPr>
            </w:pPr>
            <w:r>
              <w:rPr>
                <w:rFonts w:ascii="Arial" w:cs="Arial" w:eastAsia="Arial" w:hAnsi="Arial"/>
                <w:sz w:val="18"/>
                <w:szCs w:val="18"/>
                <w:color w:val="auto"/>
                <w:w w:val="90"/>
              </w:rPr>
              <w:t>and/or</w:t>
            </w:r>
          </w:p>
        </w:tc>
        <w:tc>
          <w:tcPr>
            <w:tcW w:w="120" w:type="dxa"/>
            <w:vAlign w:val="bottom"/>
          </w:tcPr>
          <w:p>
            <w:pPr>
              <w:spacing w:after="0"/>
              <w:rPr>
                <w:sz w:val="18"/>
                <w:szCs w:val="18"/>
                <w:color w:val="auto"/>
              </w:rPr>
            </w:pPr>
          </w:p>
        </w:tc>
        <w:tc>
          <w:tcPr>
            <w:tcW w:w="1660" w:type="dxa"/>
            <w:vAlign w:val="bottom"/>
          </w:tcPr>
          <w:p>
            <w:pPr>
              <w:jc w:val="center"/>
              <w:spacing w:after="0"/>
              <w:rPr>
                <w:sz w:val="20"/>
                <w:szCs w:val="20"/>
                <w:color w:val="auto"/>
              </w:rPr>
            </w:pPr>
            <w:r>
              <w:rPr>
                <w:rFonts w:ascii="Arial" w:cs="Arial" w:eastAsia="Arial" w:hAnsi="Arial"/>
                <w:sz w:val="18"/>
                <w:szCs w:val="18"/>
                <w:color w:val="auto"/>
                <w:w w:val="91"/>
              </w:rPr>
              <w:t>Included in</w:t>
            </w:r>
          </w:p>
        </w:tc>
        <w:tc>
          <w:tcPr>
            <w:tcW w:w="100" w:type="dxa"/>
            <w:vAlign w:val="bottom"/>
          </w:tcPr>
          <w:p>
            <w:pPr>
              <w:spacing w:after="0"/>
              <w:rPr>
                <w:sz w:val="18"/>
                <w:szCs w:val="18"/>
                <w:color w:val="auto"/>
              </w:rPr>
            </w:pPr>
          </w:p>
        </w:tc>
        <w:tc>
          <w:tcPr>
            <w:tcW w:w="1180" w:type="dxa"/>
            <w:vAlign w:val="bottom"/>
          </w:tcPr>
          <w:p>
            <w:pPr>
              <w:jc w:val="center"/>
              <w:spacing w:after="0"/>
              <w:rPr>
                <w:sz w:val="20"/>
                <w:szCs w:val="20"/>
                <w:color w:val="auto"/>
              </w:rPr>
            </w:pPr>
            <w:r>
              <w:rPr>
                <w:rFonts w:ascii="Arial" w:cs="Arial" w:eastAsia="Arial" w:hAnsi="Arial"/>
                <w:sz w:val="18"/>
                <w:szCs w:val="18"/>
                <w:color w:val="auto"/>
                <w:w w:val="96"/>
              </w:rPr>
              <w:t>Offering</w:t>
            </w:r>
          </w:p>
        </w:tc>
        <w:tc>
          <w:tcPr>
            <w:tcW w:w="100" w:type="dxa"/>
            <w:vAlign w:val="bottom"/>
          </w:tcPr>
          <w:p>
            <w:pPr>
              <w:spacing w:after="0"/>
              <w:rPr>
                <w:sz w:val="18"/>
                <w:szCs w:val="18"/>
                <w:color w:val="auto"/>
              </w:rPr>
            </w:pPr>
          </w:p>
        </w:tc>
        <w:tc>
          <w:tcPr>
            <w:tcW w:w="1200" w:type="dxa"/>
            <w:vAlign w:val="bottom"/>
          </w:tcPr>
          <w:p>
            <w:pPr>
              <w:jc w:val="center"/>
              <w:spacing w:after="0"/>
              <w:rPr>
                <w:sz w:val="20"/>
                <w:szCs w:val="20"/>
                <w:color w:val="auto"/>
              </w:rPr>
            </w:pPr>
            <w:r>
              <w:rPr>
                <w:rFonts w:ascii="Arial" w:cs="Arial" w:eastAsia="Arial" w:hAnsi="Arial"/>
                <w:sz w:val="18"/>
                <w:szCs w:val="18"/>
                <w:color w:val="auto"/>
                <w:w w:val="96"/>
              </w:rPr>
              <w:t>Offering</w:t>
            </w:r>
          </w:p>
        </w:tc>
        <w:tc>
          <w:tcPr>
            <w:tcW w:w="100" w:type="dxa"/>
            <w:vAlign w:val="bottom"/>
          </w:tcPr>
          <w:p>
            <w:pPr>
              <w:spacing w:after="0"/>
              <w:rPr>
                <w:sz w:val="18"/>
                <w:szCs w:val="18"/>
                <w:color w:val="auto"/>
              </w:rPr>
            </w:pPr>
          </w:p>
        </w:tc>
        <w:tc>
          <w:tcPr>
            <w:tcW w:w="1180" w:type="dxa"/>
            <w:vAlign w:val="bottom"/>
          </w:tcPr>
          <w:p>
            <w:pPr>
              <w:jc w:val="center"/>
              <w:spacing w:after="0"/>
              <w:rPr>
                <w:sz w:val="20"/>
                <w:szCs w:val="20"/>
                <w:color w:val="auto"/>
              </w:rPr>
            </w:pPr>
            <w:r>
              <w:rPr>
                <w:rFonts w:ascii="Arial" w:cs="Arial" w:eastAsia="Arial" w:hAnsi="Arial"/>
                <w:sz w:val="18"/>
                <w:szCs w:val="18"/>
                <w:color w:val="auto"/>
                <w:w w:val="90"/>
              </w:rPr>
              <w:t>and/or</w:t>
            </w:r>
          </w:p>
        </w:tc>
        <w:tc>
          <w:tcPr>
            <w:tcW w:w="120" w:type="dxa"/>
            <w:vAlign w:val="bottom"/>
          </w:tcPr>
          <w:p>
            <w:pPr>
              <w:spacing w:after="0"/>
              <w:rPr>
                <w:sz w:val="18"/>
                <w:szCs w:val="18"/>
                <w:color w:val="auto"/>
              </w:rPr>
            </w:pPr>
          </w:p>
        </w:tc>
        <w:tc>
          <w:tcPr>
            <w:tcW w:w="1320" w:type="dxa"/>
            <w:vAlign w:val="bottom"/>
          </w:tcPr>
          <w:p>
            <w:pPr>
              <w:jc w:val="center"/>
              <w:spacing w:after="0"/>
              <w:rPr>
                <w:sz w:val="20"/>
                <w:szCs w:val="20"/>
                <w:color w:val="auto"/>
              </w:rPr>
            </w:pPr>
            <w:r>
              <w:rPr>
                <w:rFonts w:ascii="Arial" w:cs="Arial" w:eastAsia="Arial" w:hAnsi="Arial"/>
                <w:sz w:val="18"/>
                <w:szCs w:val="18"/>
                <w:color w:val="auto"/>
                <w:w w:val="90"/>
              </w:rPr>
              <w:t>and/or</w:t>
            </w:r>
          </w:p>
        </w:tc>
      </w:tr>
      <w:tr>
        <w:trPr>
          <w:trHeight w:val="237"/>
        </w:trPr>
        <w:tc>
          <w:tcPr>
            <w:tcW w:w="1660" w:type="dxa"/>
            <w:vAlign w:val="bottom"/>
            <w:gridSpan w:val="2"/>
          </w:tcPr>
          <w:p>
            <w:pPr>
              <w:spacing w:after="0"/>
              <w:rPr>
                <w:sz w:val="20"/>
                <w:szCs w:val="20"/>
                <w:color w:val="auto"/>
              </w:rPr>
            </w:pPr>
            <w:r>
              <w:rPr>
                <w:rFonts w:ascii="Arial" w:cs="Arial" w:eastAsia="Arial" w:hAnsi="Arial"/>
                <w:sz w:val="18"/>
                <w:szCs w:val="18"/>
                <w:color w:val="auto"/>
              </w:rPr>
              <w:t>Stockholder</w:t>
            </w:r>
          </w:p>
        </w:tc>
        <w:tc>
          <w:tcPr>
            <w:tcW w:w="100" w:type="dxa"/>
            <w:vAlign w:val="bottom"/>
          </w:tcPr>
          <w:p>
            <w:pPr>
              <w:spacing w:after="0"/>
              <w:rPr>
                <w:sz w:val="20"/>
                <w:szCs w:val="20"/>
                <w:color w:val="auto"/>
              </w:rPr>
            </w:pPr>
          </w:p>
        </w:tc>
        <w:tc>
          <w:tcPr>
            <w:tcW w:w="1180" w:type="dxa"/>
            <w:vAlign w:val="bottom"/>
          </w:tcPr>
          <w:p>
            <w:pPr>
              <w:jc w:val="center"/>
              <w:spacing w:after="0"/>
              <w:rPr>
                <w:sz w:val="20"/>
                <w:szCs w:val="20"/>
                <w:color w:val="auto"/>
              </w:rPr>
            </w:pPr>
            <w:r>
              <w:rPr>
                <w:rFonts w:ascii="Arial" w:cs="Arial" w:eastAsia="Arial" w:hAnsi="Arial"/>
                <w:sz w:val="18"/>
                <w:szCs w:val="18"/>
                <w:color w:val="auto"/>
                <w:w w:val="89"/>
              </w:rPr>
              <w:t>exercise (3)</w:t>
            </w:r>
          </w:p>
        </w:tc>
        <w:tc>
          <w:tcPr>
            <w:tcW w:w="100" w:type="dxa"/>
            <w:vAlign w:val="bottom"/>
          </w:tcPr>
          <w:p>
            <w:pPr>
              <w:spacing w:after="0"/>
              <w:rPr>
                <w:sz w:val="20"/>
                <w:szCs w:val="20"/>
                <w:color w:val="auto"/>
              </w:rPr>
            </w:pPr>
          </w:p>
        </w:tc>
        <w:tc>
          <w:tcPr>
            <w:tcW w:w="1300" w:type="dxa"/>
            <w:vAlign w:val="bottom"/>
          </w:tcPr>
          <w:p>
            <w:pPr>
              <w:jc w:val="center"/>
              <w:spacing w:after="0"/>
              <w:rPr>
                <w:sz w:val="20"/>
                <w:szCs w:val="20"/>
                <w:color w:val="auto"/>
              </w:rPr>
            </w:pPr>
            <w:r>
              <w:rPr>
                <w:rFonts w:ascii="Arial" w:cs="Arial" w:eastAsia="Arial" w:hAnsi="Arial"/>
                <w:sz w:val="18"/>
                <w:szCs w:val="18"/>
                <w:color w:val="auto"/>
                <w:w w:val="89"/>
              </w:rPr>
              <w:t>exercise (3)</w:t>
            </w:r>
          </w:p>
        </w:tc>
        <w:tc>
          <w:tcPr>
            <w:tcW w:w="120" w:type="dxa"/>
            <w:vAlign w:val="bottom"/>
          </w:tcPr>
          <w:p>
            <w:pPr>
              <w:spacing w:after="0"/>
              <w:rPr>
                <w:sz w:val="20"/>
                <w:szCs w:val="20"/>
                <w:color w:val="auto"/>
              </w:rPr>
            </w:pPr>
          </w:p>
        </w:tc>
        <w:tc>
          <w:tcPr>
            <w:tcW w:w="1660" w:type="dxa"/>
            <w:vAlign w:val="bottom"/>
          </w:tcPr>
          <w:p>
            <w:pPr>
              <w:jc w:val="center"/>
              <w:spacing w:after="0"/>
              <w:rPr>
                <w:sz w:val="20"/>
                <w:szCs w:val="20"/>
                <w:color w:val="auto"/>
              </w:rPr>
            </w:pPr>
            <w:r>
              <w:rPr>
                <w:rFonts w:ascii="Arial" w:cs="Arial" w:eastAsia="Arial" w:hAnsi="Arial"/>
                <w:sz w:val="18"/>
                <w:szCs w:val="18"/>
                <w:color w:val="auto"/>
                <w:w w:val="88"/>
              </w:rPr>
              <w:t>Prospectus (3)</w:t>
            </w:r>
          </w:p>
        </w:tc>
        <w:tc>
          <w:tcPr>
            <w:tcW w:w="1280" w:type="dxa"/>
            <w:vAlign w:val="bottom"/>
            <w:gridSpan w:val="2"/>
          </w:tcPr>
          <w:p>
            <w:pPr>
              <w:jc w:val="center"/>
              <w:spacing w:after="0"/>
              <w:rPr>
                <w:sz w:val="20"/>
                <w:szCs w:val="20"/>
                <w:color w:val="auto"/>
              </w:rPr>
            </w:pPr>
            <w:r>
              <w:rPr>
                <w:rFonts w:ascii="Arial" w:cs="Arial" w:eastAsia="Arial" w:hAnsi="Arial"/>
                <w:sz w:val="18"/>
                <w:szCs w:val="18"/>
                <w:color w:val="auto"/>
                <w:w w:val="96"/>
              </w:rPr>
              <w:t>(1)(2)(3)</w:t>
            </w:r>
          </w:p>
        </w:tc>
        <w:tc>
          <w:tcPr>
            <w:tcW w:w="1300" w:type="dxa"/>
            <w:vAlign w:val="bottom"/>
            <w:gridSpan w:val="2"/>
          </w:tcPr>
          <w:p>
            <w:pPr>
              <w:jc w:val="center"/>
              <w:spacing w:after="0"/>
              <w:rPr>
                <w:sz w:val="20"/>
                <w:szCs w:val="20"/>
                <w:color w:val="auto"/>
              </w:rPr>
            </w:pPr>
            <w:r>
              <w:rPr>
                <w:rFonts w:ascii="Arial" w:cs="Arial" w:eastAsia="Arial" w:hAnsi="Arial"/>
                <w:sz w:val="18"/>
                <w:szCs w:val="18"/>
                <w:color w:val="auto"/>
                <w:w w:val="95"/>
              </w:rPr>
              <w:t>(1)(3)</w:t>
            </w:r>
          </w:p>
        </w:tc>
        <w:tc>
          <w:tcPr>
            <w:tcW w:w="100" w:type="dxa"/>
            <w:vAlign w:val="bottom"/>
          </w:tcPr>
          <w:p>
            <w:pPr>
              <w:spacing w:after="0"/>
              <w:rPr>
                <w:sz w:val="20"/>
                <w:szCs w:val="20"/>
                <w:color w:val="auto"/>
              </w:rPr>
            </w:pPr>
          </w:p>
        </w:tc>
        <w:tc>
          <w:tcPr>
            <w:tcW w:w="1180" w:type="dxa"/>
            <w:vAlign w:val="bottom"/>
          </w:tcPr>
          <w:p>
            <w:pPr>
              <w:jc w:val="center"/>
              <w:spacing w:after="0"/>
              <w:rPr>
                <w:sz w:val="20"/>
                <w:szCs w:val="20"/>
                <w:color w:val="auto"/>
              </w:rPr>
            </w:pPr>
            <w:r>
              <w:rPr>
                <w:rFonts w:ascii="Arial" w:cs="Arial" w:eastAsia="Arial" w:hAnsi="Arial"/>
                <w:sz w:val="18"/>
                <w:szCs w:val="18"/>
                <w:color w:val="auto"/>
                <w:w w:val="89"/>
              </w:rPr>
              <w:t>exercise (4)</w:t>
            </w:r>
          </w:p>
        </w:tc>
        <w:tc>
          <w:tcPr>
            <w:tcW w:w="120" w:type="dxa"/>
            <w:vAlign w:val="bottom"/>
          </w:tcPr>
          <w:p>
            <w:pPr>
              <w:spacing w:after="0"/>
              <w:rPr>
                <w:sz w:val="20"/>
                <w:szCs w:val="20"/>
                <w:color w:val="auto"/>
              </w:rPr>
            </w:pPr>
          </w:p>
        </w:tc>
        <w:tc>
          <w:tcPr>
            <w:tcW w:w="1320" w:type="dxa"/>
            <w:vAlign w:val="bottom"/>
          </w:tcPr>
          <w:p>
            <w:pPr>
              <w:jc w:val="center"/>
              <w:spacing w:after="0"/>
              <w:rPr>
                <w:sz w:val="20"/>
                <w:szCs w:val="20"/>
                <w:color w:val="auto"/>
              </w:rPr>
            </w:pPr>
            <w:r>
              <w:rPr>
                <w:rFonts w:ascii="Arial" w:cs="Arial" w:eastAsia="Arial" w:hAnsi="Arial"/>
                <w:sz w:val="18"/>
                <w:szCs w:val="18"/>
                <w:color w:val="auto"/>
                <w:w w:val="89"/>
              </w:rPr>
              <w:t>exercise (4)</w:t>
            </w:r>
          </w:p>
        </w:tc>
      </w:tr>
      <w:tr>
        <w:trPr>
          <w:trHeight w:val="202"/>
        </w:trPr>
        <w:tc>
          <w:tcPr>
            <w:tcW w:w="20" w:type="dxa"/>
            <w:vAlign w:val="bottom"/>
          </w:tcPr>
          <w:p>
            <w:pPr>
              <w:spacing w:after="0"/>
              <w:rPr>
                <w:sz w:val="17"/>
                <w:szCs w:val="17"/>
                <w:color w:val="auto"/>
              </w:rPr>
            </w:pPr>
          </w:p>
        </w:tc>
        <w:tc>
          <w:tcPr>
            <w:tcW w:w="1640" w:type="dxa"/>
            <w:vAlign w:val="bottom"/>
            <w:tcBorders>
              <w:top w:val="single" w:sz="8" w:color="auto"/>
            </w:tcBorders>
            <w:shd w:val="clear" w:color="auto" w:fill="EEEEEE"/>
          </w:tcPr>
          <w:p>
            <w:pPr>
              <w:spacing w:after="0" w:line="201" w:lineRule="exact"/>
              <w:rPr>
                <w:sz w:val="20"/>
                <w:szCs w:val="20"/>
                <w:color w:val="auto"/>
              </w:rPr>
            </w:pPr>
            <w:r>
              <w:rPr>
                <w:rFonts w:ascii="Arial" w:cs="Arial" w:eastAsia="Arial" w:hAnsi="Arial"/>
                <w:sz w:val="18"/>
                <w:szCs w:val="18"/>
                <w:color w:val="auto"/>
              </w:rPr>
              <w:t>Vicis Capital Master</w:t>
            </w:r>
          </w:p>
        </w:tc>
        <w:tc>
          <w:tcPr>
            <w:tcW w:w="100" w:type="dxa"/>
            <w:vAlign w:val="bottom"/>
            <w:shd w:val="clear" w:color="auto" w:fill="EEEEEE"/>
          </w:tcPr>
          <w:p>
            <w:pPr>
              <w:spacing w:after="0"/>
              <w:rPr>
                <w:sz w:val="17"/>
                <w:szCs w:val="17"/>
                <w:color w:val="auto"/>
              </w:rPr>
            </w:pPr>
          </w:p>
        </w:tc>
        <w:tc>
          <w:tcPr>
            <w:tcW w:w="1180" w:type="dxa"/>
            <w:vAlign w:val="bottom"/>
            <w:tcBorders>
              <w:top w:val="single" w:sz="8" w:color="auto"/>
            </w:tcBorders>
            <w:shd w:val="clear" w:color="auto" w:fill="EEEEEE"/>
          </w:tcPr>
          <w:p>
            <w:pPr>
              <w:spacing w:after="0"/>
              <w:rPr>
                <w:sz w:val="17"/>
                <w:szCs w:val="17"/>
                <w:color w:val="auto"/>
              </w:rPr>
            </w:pPr>
          </w:p>
        </w:tc>
        <w:tc>
          <w:tcPr>
            <w:tcW w:w="100" w:type="dxa"/>
            <w:vAlign w:val="bottom"/>
            <w:shd w:val="clear" w:color="auto" w:fill="EEEEEE"/>
          </w:tcPr>
          <w:p>
            <w:pPr>
              <w:spacing w:after="0"/>
              <w:rPr>
                <w:sz w:val="17"/>
                <w:szCs w:val="17"/>
                <w:color w:val="auto"/>
              </w:rPr>
            </w:pPr>
          </w:p>
        </w:tc>
        <w:tc>
          <w:tcPr>
            <w:tcW w:w="1300" w:type="dxa"/>
            <w:vAlign w:val="bottom"/>
            <w:tcBorders>
              <w:top w:val="single" w:sz="8" w:color="auto"/>
            </w:tcBorders>
            <w:shd w:val="clear" w:color="auto" w:fill="EEEEEE"/>
          </w:tcPr>
          <w:p>
            <w:pPr>
              <w:spacing w:after="0"/>
              <w:rPr>
                <w:sz w:val="17"/>
                <w:szCs w:val="17"/>
                <w:color w:val="auto"/>
              </w:rPr>
            </w:pPr>
          </w:p>
        </w:tc>
        <w:tc>
          <w:tcPr>
            <w:tcW w:w="120" w:type="dxa"/>
            <w:vAlign w:val="bottom"/>
            <w:shd w:val="clear" w:color="auto" w:fill="EEEEEE"/>
          </w:tcPr>
          <w:p>
            <w:pPr>
              <w:spacing w:after="0"/>
              <w:rPr>
                <w:sz w:val="17"/>
                <w:szCs w:val="17"/>
                <w:color w:val="auto"/>
              </w:rPr>
            </w:pPr>
          </w:p>
        </w:tc>
        <w:tc>
          <w:tcPr>
            <w:tcW w:w="1660" w:type="dxa"/>
            <w:vAlign w:val="bottom"/>
            <w:tcBorders>
              <w:top w:val="single" w:sz="8" w:color="auto"/>
            </w:tcBorders>
            <w:shd w:val="clear" w:color="auto" w:fill="EEEEEE"/>
          </w:tcPr>
          <w:p>
            <w:pPr>
              <w:spacing w:after="0"/>
              <w:rPr>
                <w:sz w:val="17"/>
                <w:szCs w:val="17"/>
                <w:color w:val="auto"/>
              </w:rPr>
            </w:pPr>
          </w:p>
        </w:tc>
        <w:tc>
          <w:tcPr>
            <w:tcW w:w="100" w:type="dxa"/>
            <w:vAlign w:val="bottom"/>
            <w:shd w:val="clear" w:color="auto" w:fill="EEEEEE"/>
          </w:tcPr>
          <w:p>
            <w:pPr>
              <w:spacing w:after="0"/>
              <w:rPr>
                <w:sz w:val="17"/>
                <w:szCs w:val="17"/>
                <w:color w:val="auto"/>
              </w:rPr>
            </w:pPr>
          </w:p>
        </w:tc>
        <w:tc>
          <w:tcPr>
            <w:tcW w:w="1180" w:type="dxa"/>
            <w:vAlign w:val="bottom"/>
            <w:tcBorders>
              <w:top w:val="single" w:sz="8" w:color="auto"/>
            </w:tcBorders>
            <w:shd w:val="clear" w:color="auto" w:fill="EEEEEE"/>
          </w:tcPr>
          <w:p>
            <w:pPr>
              <w:spacing w:after="0"/>
              <w:rPr>
                <w:sz w:val="17"/>
                <w:szCs w:val="17"/>
                <w:color w:val="auto"/>
              </w:rPr>
            </w:pPr>
          </w:p>
        </w:tc>
        <w:tc>
          <w:tcPr>
            <w:tcW w:w="100" w:type="dxa"/>
            <w:vAlign w:val="bottom"/>
            <w:shd w:val="clear" w:color="auto" w:fill="EEEEEE"/>
          </w:tcPr>
          <w:p>
            <w:pPr>
              <w:spacing w:after="0"/>
              <w:rPr>
                <w:sz w:val="17"/>
                <w:szCs w:val="17"/>
                <w:color w:val="auto"/>
              </w:rPr>
            </w:pPr>
          </w:p>
        </w:tc>
        <w:tc>
          <w:tcPr>
            <w:tcW w:w="1200" w:type="dxa"/>
            <w:vAlign w:val="bottom"/>
            <w:tcBorders>
              <w:top w:val="single" w:sz="8" w:color="auto"/>
            </w:tcBorders>
            <w:shd w:val="clear" w:color="auto" w:fill="EEEEEE"/>
          </w:tcPr>
          <w:p>
            <w:pPr>
              <w:spacing w:after="0"/>
              <w:rPr>
                <w:sz w:val="17"/>
                <w:szCs w:val="17"/>
                <w:color w:val="auto"/>
              </w:rPr>
            </w:pPr>
          </w:p>
        </w:tc>
        <w:tc>
          <w:tcPr>
            <w:tcW w:w="100" w:type="dxa"/>
            <w:vAlign w:val="bottom"/>
            <w:shd w:val="clear" w:color="auto" w:fill="EEEEEE"/>
          </w:tcPr>
          <w:p>
            <w:pPr>
              <w:spacing w:after="0"/>
              <w:rPr>
                <w:sz w:val="17"/>
                <w:szCs w:val="17"/>
                <w:color w:val="auto"/>
              </w:rPr>
            </w:pPr>
          </w:p>
        </w:tc>
        <w:tc>
          <w:tcPr>
            <w:tcW w:w="1180" w:type="dxa"/>
            <w:vAlign w:val="bottom"/>
            <w:tcBorders>
              <w:top w:val="single" w:sz="8" w:color="auto"/>
            </w:tcBorders>
            <w:shd w:val="clear" w:color="auto" w:fill="EEEEEE"/>
          </w:tcPr>
          <w:p>
            <w:pPr>
              <w:spacing w:after="0"/>
              <w:rPr>
                <w:sz w:val="17"/>
                <w:szCs w:val="17"/>
                <w:color w:val="auto"/>
              </w:rPr>
            </w:pPr>
          </w:p>
        </w:tc>
        <w:tc>
          <w:tcPr>
            <w:tcW w:w="120" w:type="dxa"/>
            <w:vAlign w:val="bottom"/>
            <w:shd w:val="clear" w:color="auto" w:fill="EEEEEE"/>
          </w:tcPr>
          <w:p>
            <w:pPr>
              <w:spacing w:after="0"/>
              <w:rPr>
                <w:sz w:val="17"/>
                <w:szCs w:val="17"/>
                <w:color w:val="auto"/>
              </w:rPr>
            </w:pPr>
          </w:p>
        </w:tc>
        <w:tc>
          <w:tcPr>
            <w:tcW w:w="1320" w:type="dxa"/>
            <w:vAlign w:val="bottom"/>
            <w:tcBorders>
              <w:top w:val="single" w:sz="8" w:color="auto"/>
            </w:tcBorders>
            <w:shd w:val="clear" w:color="auto" w:fill="EEEEEE"/>
          </w:tcPr>
          <w:p>
            <w:pPr>
              <w:spacing w:after="0"/>
              <w:rPr>
                <w:sz w:val="17"/>
                <w:szCs w:val="17"/>
                <w:color w:val="auto"/>
              </w:rPr>
            </w:pPr>
          </w:p>
        </w:tc>
      </w:tr>
      <w:tr>
        <w:trPr>
          <w:trHeight w:val="230"/>
        </w:trPr>
        <w:tc>
          <w:tcPr>
            <w:tcW w:w="20" w:type="dxa"/>
            <w:vAlign w:val="bottom"/>
          </w:tcPr>
          <w:p>
            <w:pPr>
              <w:spacing w:after="0"/>
              <w:rPr>
                <w:sz w:val="20"/>
                <w:szCs w:val="20"/>
                <w:color w:val="auto"/>
              </w:rPr>
            </w:pPr>
          </w:p>
        </w:tc>
        <w:tc>
          <w:tcPr>
            <w:tcW w:w="1640" w:type="dxa"/>
            <w:vAlign w:val="bottom"/>
            <w:shd w:val="clear" w:color="auto" w:fill="EEEEEE"/>
          </w:tcPr>
          <w:p>
            <w:pPr>
              <w:ind w:left="160"/>
              <w:spacing w:after="0"/>
              <w:rPr>
                <w:sz w:val="20"/>
                <w:szCs w:val="20"/>
                <w:color w:val="auto"/>
              </w:rPr>
            </w:pPr>
            <w:r>
              <w:rPr>
                <w:rFonts w:ascii="Arial" w:cs="Arial" w:eastAsia="Arial" w:hAnsi="Arial"/>
                <w:sz w:val="18"/>
                <w:szCs w:val="18"/>
                <w:color w:val="auto"/>
              </w:rPr>
              <w:t>Fund (5)</w:t>
            </w:r>
          </w:p>
        </w:tc>
        <w:tc>
          <w:tcPr>
            <w:tcW w:w="1280" w:type="dxa"/>
            <w:vAlign w:val="bottom"/>
            <w:gridSpan w:val="2"/>
            <w:shd w:val="clear" w:color="auto" w:fill="EEEEEE"/>
          </w:tcPr>
          <w:p>
            <w:pPr>
              <w:jc w:val="right"/>
              <w:spacing w:after="0"/>
              <w:rPr>
                <w:sz w:val="20"/>
                <w:szCs w:val="20"/>
                <w:color w:val="auto"/>
              </w:rPr>
            </w:pPr>
            <w:r>
              <w:rPr>
                <w:rFonts w:ascii="Arial" w:cs="Arial" w:eastAsia="Arial" w:hAnsi="Arial"/>
                <w:sz w:val="18"/>
                <w:szCs w:val="18"/>
                <w:color w:val="auto"/>
              </w:rPr>
              <w:t>9,500,000</w:t>
            </w:r>
          </w:p>
        </w:tc>
        <w:tc>
          <w:tcPr>
            <w:tcW w:w="1400" w:type="dxa"/>
            <w:vAlign w:val="bottom"/>
            <w:gridSpan w:val="2"/>
            <w:shd w:val="clear" w:color="auto" w:fill="EEEEEE"/>
          </w:tcPr>
          <w:p>
            <w:pPr>
              <w:jc w:val="right"/>
              <w:spacing w:after="0"/>
              <w:rPr>
                <w:sz w:val="20"/>
                <w:szCs w:val="20"/>
                <w:color w:val="auto"/>
              </w:rPr>
            </w:pPr>
            <w:r>
              <w:rPr>
                <w:rFonts w:ascii="Arial" w:cs="Arial" w:eastAsia="Arial" w:hAnsi="Arial"/>
                <w:sz w:val="18"/>
                <w:szCs w:val="18"/>
                <w:color w:val="auto"/>
              </w:rPr>
              <w:t>43.93 %</w:t>
            </w:r>
          </w:p>
        </w:tc>
        <w:tc>
          <w:tcPr>
            <w:tcW w:w="1780" w:type="dxa"/>
            <w:vAlign w:val="bottom"/>
            <w:gridSpan w:val="2"/>
            <w:shd w:val="clear" w:color="auto" w:fill="EEEEEE"/>
          </w:tcPr>
          <w:p>
            <w:pPr>
              <w:jc w:val="right"/>
              <w:spacing w:after="0"/>
              <w:rPr>
                <w:sz w:val="20"/>
                <w:szCs w:val="20"/>
                <w:color w:val="auto"/>
              </w:rPr>
            </w:pPr>
            <w:r>
              <w:rPr>
                <w:rFonts w:ascii="Arial" w:cs="Arial" w:eastAsia="Arial" w:hAnsi="Arial"/>
                <w:sz w:val="18"/>
                <w:szCs w:val="18"/>
                <w:color w:val="auto"/>
              </w:rPr>
              <w:t>2,230,000</w:t>
            </w:r>
          </w:p>
        </w:tc>
        <w:tc>
          <w:tcPr>
            <w:tcW w:w="1280" w:type="dxa"/>
            <w:vAlign w:val="bottom"/>
            <w:gridSpan w:val="2"/>
            <w:shd w:val="clear" w:color="auto" w:fill="EEEEEE"/>
          </w:tcPr>
          <w:p>
            <w:pPr>
              <w:jc w:val="right"/>
              <w:spacing w:after="0"/>
              <w:rPr>
                <w:sz w:val="20"/>
                <w:szCs w:val="20"/>
                <w:color w:val="auto"/>
              </w:rPr>
            </w:pPr>
            <w:r>
              <w:rPr>
                <w:rFonts w:ascii="Arial" w:cs="Arial" w:eastAsia="Arial" w:hAnsi="Arial"/>
                <w:sz w:val="18"/>
                <w:szCs w:val="18"/>
                <w:color w:val="auto"/>
              </w:rPr>
              <w:t>605,098</w:t>
            </w:r>
          </w:p>
        </w:tc>
        <w:tc>
          <w:tcPr>
            <w:tcW w:w="1300" w:type="dxa"/>
            <w:vAlign w:val="bottom"/>
            <w:gridSpan w:val="2"/>
            <w:shd w:val="clear" w:color="auto" w:fill="EEEEEE"/>
          </w:tcPr>
          <w:p>
            <w:pPr>
              <w:jc w:val="right"/>
              <w:spacing w:after="0"/>
              <w:rPr>
                <w:sz w:val="20"/>
                <w:szCs w:val="20"/>
                <w:color w:val="auto"/>
              </w:rPr>
            </w:pPr>
            <w:r>
              <w:rPr>
                <w:rFonts w:ascii="Arial" w:cs="Arial" w:eastAsia="Arial" w:hAnsi="Arial"/>
                <w:sz w:val="18"/>
                <w:szCs w:val="18"/>
                <w:color w:val="auto"/>
              </w:rPr>
              <w:t>4.99%</w:t>
            </w:r>
          </w:p>
        </w:tc>
        <w:tc>
          <w:tcPr>
            <w:tcW w:w="1280" w:type="dxa"/>
            <w:vAlign w:val="bottom"/>
            <w:gridSpan w:val="2"/>
            <w:shd w:val="clear" w:color="auto" w:fill="EEEEEE"/>
          </w:tcPr>
          <w:p>
            <w:pPr>
              <w:jc w:val="right"/>
              <w:spacing w:after="0"/>
              <w:rPr>
                <w:sz w:val="20"/>
                <w:szCs w:val="20"/>
                <w:color w:val="auto"/>
              </w:rPr>
            </w:pPr>
            <w:r>
              <w:rPr>
                <w:rFonts w:ascii="Arial" w:cs="Arial" w:eastAsia="Arial" w:hAnsi="Arial"/>
                <w:sz w:val="18"/>
                <w:szCs w:val="18"/>
                <w:color w:val="auto"/>
              </w:rPr>
              <w:t>7,270,000</w:t>
            </w:r>
          </w:p>
        </w:tc>
        <w:tc>
          <w:tcPr>
            <w:tcW w:w="1440" w:type="dxa"/>
            <w:vAlign w:val="bottom"/>
            <w:gridSpan w:val="2"/>
            <w:shd w:val="clear" w:color="auto" w:fill="EEEEEE"/>
          </w:tcPr>
          <w:p>
            <w:pPr>
              <w:jc w:val="right"/>
              <w:spacing w:after="0"/>
              <w:rPr>
                <w:sz w:val="20"/>
                <w:szCs w:val="20"/>
                <w:color w:val="auto"/>
              </w:rPr>
            </w:pPr>
            <w:r>
              <w:rPr>
                <w:rFonts w:ascii="Arial" w:cs="Arial" w:eastAsia="Arial" w:hAnsi="Arial"/>
                <w:sz w:val="18"/>
                <w:szCs w:val="18"/>
                <w:color w:val="auto"/>
              </w:rPr>
              <w:t>33.62 %</w:t>
            </w:r>
          </w:p>
        </w:tc>
      </w:tr>
    </w:tbl>
    <w:p>
      <w:pPr>
        <w:spacing w:after="0" w:line="256" w:lineRule="exact"/>
        <w:rPr>
          <w:sz w:val="20"/>
          <w:szCs w:val="20"/>
          <w:color w:val="auto"/>
        </w:rPr>
      </w:pPr>
    </w:p>
    <w:p>
      <w:pPr>
        <w:ind w:left="260" w:hanging="252"/>
        <w:spacing w:after="0"/>
        <w:tabs>
          <w:tab w:leader="none" w:pos="260" w:val="left"/>
        </w:tabs>
        <w:numPr>
          <w:ilvl w:val="0"/>
          <w:numId w:val="15"/>
        </w:numPr>
        <w:rPr>
          <w:rFonts w:ascii="Arial" w:cs="Arial" w:eastAsia="Arial" w:hAnsi="Arial"/>
          <w:sz w:val="18"/>
          <w:szCs w:val="18"/>
          <w:color w:val="auto"/>
        </w:rPr>
      </w:pPr>
      <w:r>
        <w:rPr>
          <w:rFonts w:ascii="Arial" w:cs="Arial" w:eastAsia="Arial" w:hAnsi="Arial"/>
          <w:sz w:val="18"/>
          <w:szCs w:val="18"/>
          <w:color w:val="auto"/>
        </w:rPr>
        <w:t>These columns represent the aggregate maximum number and percentage of shares that the selling stockholders can own at one time.</w:t>
      </w:r>
    </w:p>
    <w:p>
      <w:pPr>
        <w:spacing w:after="0" w:line="279" w:lineRule="exact"/>
        <w:rPr>
          <w:rFonts w:ascii="Arial" w:cs="Arial" w:eastAsia="Arial" w:hAnsi="Arial"/>
          <w:sz w:val="18"/>
          <w:szCs w:val="18"/>
          <w:color w:val="auto"/>
        </w:rPr>
      </w:pPr>
    </w:p>
    <w:p>
      <w:pPr>
        <w:jc w:val="both"/>
        <w:ind w:firstLine="8"/>
        <w:spacing w:after="0" w:line="302" w:lineRule="auto"/>
        <w:tabs>
          <w:tab w:leader="none" w:pos="266" w:val="left"/>
        </w:tabs>
        <w:numPr>
          <w:ilvl w:val="0"/>
          <w:numId w:val="15"/>
        </w:numPr>
        <w:rPr>
          <w:rFonts w:ascii="Arial" w:cs="Arial" w:eastAsia="Arial" w:hAnsi="Arial"/>
          <w:sz w:val="16"/>
          <w:szCs w:val="16"/>
          <w:color w:val="auto"/>
        </w:rPr>
      </w:pPr>
      <w:r>
        <w:rPr>
          <w:rFonts w:ascii="Arial" w:cs="Arial" w:eastAsia="Arial" w:hAnsi="Arial"/>
          <w:sz w:val="16"/>
          <w:szCs w:val="16"/>
          <w:color w:val="auto"/>
        </w:rPr>
        <w:t>The number and percentage of shares beneficially owned is determined in accordance with Rule 13d-3 of the Securities Exchange Act of 1934, and the information is not necessarily indicative of beneficial ownership for any other purpose. Under such rule, beneficial ownership includes any shares as to which the selling stockholders has sole or shared voting power or investment power and also any shares, which the selling stockholders has the right to acquire within 60 days. The percentage of shares owned by each selling stockholder is based on a total outstanding number of 12,126,209 as of January 30, 2009.</w:t>
      </w:r>
    </w:p>
    <w:p>
      <w:pPr>
        <w:spacing w:after="0" w:line="208" w:lineRule="exact"/>
        <w:rPr>
          <w:rFonts w:ascii="Arial" w:cs="Arial" w:eastAsia="Arial" w:hAnsi="Arial"/>
          <w:sz w:val="16"/>
          <w:szCs w:val="16"/>
          <w:color w:val="auto"/>
        </w:rPr>
      </w:pPr>
    </w:p>
    <w:p>
      <w:pPr>
        <w:jc w:val="both"/>
        <w:ind w:firstLine="8"/>
        <w:spacing w:after="0" w:line="271" w:lineRule="auto"/>
        <w:tabs>
          <w:tab w:leader="none" w:pos="264" w:val="left"/>
        </w:tabs>
        <w:numPr>
          <w:ilvl w:val="0"/>
          <w:numId w:val="15"/>
        </w:numPr>
        <w:rPr>
          <w:rFonts w:ascii="Arial" w:cs="Arial" w:eastAsia="Arial" w:hAnsi="Arial"/>
          <w:sz w:val="17"/>
          <w:szCs w:val="17"/>
          <w:color w:val="auto"/>
        </w:rPr>
      </w:pPr>
      <w:r>
        <w:rPr>
          <w:rFonts w:ascii="Arial" w:cs="Arial" w:eastAsia="Arial" w:hAnsi="Arial"/>
          <w:sz w:val="17"/>
          <w:szCs w:val="17"/>
          <w:color w:val="auto"/>
        </w:rPr>
        <w:t>The selling stockholders purchased the securities which are convertible into the shares being offered in this prospectus in our September 8, 2008 private placement. The selling stockholders have contractually agreed to restrict their ability to convert their shares of Series A Preferred Stock into shares of common stock and to exercise their warrants to purchase shares of common stock such that the number of shares of common stock held by them in the aggregate and their affiliates after such conversion or exercise does not exceed 4.99% of the then issued and outstanding shares of common stock as determined in accordance with Section 13(d) of the Exchange Act. Accordingly, the number of shares of common stock set forth in the table for the selling stockholders exceeds the number of shares of common stock that the selling stockholders could own beneficially at any given time through their ownership of the Series A Preferred Stock and the warrants. In that regard, the beneficial ownership of the common stock by the selling stockholder set forth in the table is not determined in accordance with Rule 13d-3 under the Securities Exchange Act of 1934, as amended.</w:t>
      </w:r>
    </w:p>
    <w:p>
      <w:pPr>
        <w:spacing w:after="0" w:line="232" w:lineRule="exact"/>
        <w:rPr>
          <w:rFonts w:ascii="Arial" w:cs="Arial" w:eastAsia="Arial" w:hAnsi="Arial"/>
          <w:sz w:val="17"/>
          <w:szCs w:val="17"/>
          <w:color w:val="auto"/>
        </w:rPr>
      </w:pPr>
    </w:p>
    <w:p>
      <w:pPr>
        <w:ind w:left="260" w:hanging="252"/>
        <w:spacing w:after="0"/>
        <w:tabs>
          <w:tab w:leader="none" w:pos="260" w:val="left"/>
        </w:tabs>
        <w:numPr>
          <w:ilvl w:val="0"/>
          <w:numId w:val="15"/>
        </w:numPr>
        <w:rPr>
          <w:rFonts w:ascii="Arial" w:cs="Arial" w:eastAsia="Arial" w:hAnsi="Arial"/>
          <w:sz w:val="18"/>
          <w:szCs w:val="18"/>
          <w:color w:val="auto"/>
        </w:rPr>
      </w:pPr>
      <w:r>
        <w:rPr>
          <w:rFonts w:ascii="Arial" w:cs="Arial" w:eastAsia="Arial" w:hAnsi="Arial"/>
          <w:sz w:val="18"/>
          <w:szCs w:val="18"/>
          <w:color w:val="auto"/>
        </w:rPr>
        <w:t>Assumes that all securities registered will be sold.</w:t>
      </w:r>
    </w:p>
    <w:p>
      <w:pPr>
        <w:spacing w:after="0" w:line="279" w:lineRule="exact"/>
        <w:rPr>
          <w:rFonts w:ascii="Arial" w:cs="Arial" w:eastAsia="Arial" w:hAnsi="Arial"/>
          <w:sz w:val="18"/>
          <w:szCs w:val="18"/>
          <w:color w:val="auto"/>
        </w:rPr>
      </w:pPr>
    </w:p>
    <w:p>
      <w:pPr>
        <w:jc w:val="both"/>
        <w:ind w:firstLine="8"/>
        <w:spacing w:after="0" w:line="259" w:lineRule="auto"/>
        <w:tabs>
          <w:tab w:leader="none" w:pos="259" w:val="left"/>
        </w:tabs>
        <w:numPr>
          <w:ilvl w:val="0"/>
          <w:numId w:val="15"/>
        </w:numPr>
        <w:rPr>
          <w:rFonts w:ascii="Arial" w:cs="Arial" w:eastAsia="Arial" w:hAnsi="Arial"/>
          <w:sz w:val="18"/>
          <w:szCs w:val="18"/>
          <w:color w:val="auto"/>
        </w:rPr>
      </w:pPr>
      <w:r>
        <w:rPr>
          <w:rFonts w:ascii="Arial" w:cs="Arial" w:eastAsia="Arial" w:hAnsi="Arial"/>
          <w:sz w:val="18"/>
          <w:szCs w:val="18"/>
          <w:color w:val="auto"/>
        </w:rPr>
        <w:t>Chris Phillips holds investment and dispositive power of the shares held by Vicis Capital Master Fund. Shares beneficially owned represent an aggregate of 9,500,000 shares of Common Stock, consisting of (i) 3,500,000 shares issuable upon the conversion of the Series A Preferred Stock; and (ii) 6,000,000 shares issuable upon the exercise of the Series A Warrants. The selling stockholder has informed us that it is not a broker-dealer or affiliate of a broker-dealer.</w:t>
      </w:r>
    </w:p>
    <w:p>
      <w:pPr>
        <w:spacing w:after="0" w:line="241" w:lineRule="exact"/>
        <w:rPr>
          <w:sz w:val="20"/>
          <w:szCs w:val="20"/>
          <w:color w:val="auto"/>
        </w:rPr>
      </w:pPr>
    </w:p>
    <w:p>
      <w:pPr>
        <w:ind w:right="20" w:firstLine="648"/>
        <w:spacing w:after="0" w:line="277" w:lineRule="auto"/>
        <w:rPr>
          <w:sz w:val="20"/>
          <w:szCs w:val="20"/>
          <w:color w:val="auto"/>
        </w:rPr>
      </w:pPr>
      <w:r>
        <w:rPr>
          <w:rFonts w:ascii="Arial" w:cs="Arial" w:eastAsia="Arial" w:hAnsi="Arial"/>
          <w:sz w:val="18"/>
          <w:szCs w:val="18"/>
          <w:color w:val="auto"/>
        </w:rPr>
        <w:t>The selling stockholders has not, or within the past three years, held any position, office or material relationship with us or with any of our predecessors or affiliates.</w:t>
      </w:r>
    </w:p>
    <w:p>
      <w:pPr>
        <w:spacing w:after="0" w:line="200" w:lineRule="exact"/>
        <w:rPr>
          <w:sz w:val="20"/>
          <w:szCs w:val="20"/>
          <w:color w:val="auto"/>
        </w:rPr>
      </w:pPr>
    </w:p>
    <w:p>
      <w:pPr>
        <w:spacing w:after="0" w:line="26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246620" cy="889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634" w:right="239" w:bottom="1440" w:gutter="0" w:footer="0" w:header="0"/>
        </w:sectPr>
      </w:pPr>
    </w:p>
    <w:bookmarkStart w:id="17" w:name="page18"/>
    <w:bookmarkEnd w:id="17"/>
    <w:p>
      <w:pPr>
        <w:spacing w:after="0"/>
        <w:rPr>
          <w:sz w:val="20"/>
          <w:szCs w:val="20"/>
          <w:color w:val="auto"/>
        </w:rPr>
      </w:pPr>
      <w:r>
        <w:rPr>
          <w:rFonts w:ascii="Arial" w:cs="Arial" w:eastAsia="Arial" w:hAnsi="Arial"/>
          <w:sz w:val="18"/>
          <w:szCs w:val="18"/>
          <w:b w:val="1"/>
          <w:bCs w:val="1"/>
          <w:color w:val="auto"/>
        </w:rPr>
        <w:t>The September 8, 2008 Private Placement</w:t>
      </w:r>
    </w:p>
    <w:p>
      <w:pPr>
        <w:spacing w:after="0" w:line="283"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The following is a description of the selling stockholders relationships to us and how each of the selling stockholders acquired its shares to be sold in this offering:</w:t>
      </w:r>
    </w:p>
    <w:p>
      <w:pPr>
        <w:spacing w:after="0" w:line="224" w:lineRule="exact"/>
        <w:rPr>
          <w:sz w:val="20"/>
          <w:szCs w:val="20"/>
          <w:color w:val="auto"/>
        </w:rPr>
      </w:pPr>
    </w:p>
    <w:p>
      <w:pPr>
        <w:jc w:val="both"/>
        <w:ind w:firstLine="648"/>
        <w:spacing w:after="0" w:line="312" w:lineRule="auto"/>
        <w:rPr>
          <w:sz w:val="20"/>
          <w:szCs w:val="20"/>
          <w:color w:val="auto"/>
        </w:rPr>
      </w:pPr>
      <w:r>
        <w:rPr>
          <w:rFonts w:ascii="Arial" w:cs="Arial" w:eastAsia="Arial" w:hAnsi="Arial"/>
          <w:sz w:val="16"/>
          <w:szCs w:val="16"/>
          <w:color w:val="auto"/>
        </w:rPr>
        <w:t>On September 8, 2008, we entered into a private placement (the "Private Placement") with the selling stockholders pursuant to which we sold various securities in consideration of an aggregate purchase price of $3,500,000. After all disbursements and fees ancillary to the Private Placement were paid, we received net proceeds of $2,985,000. In connection with this private placement, we issued the following securities to the selling stockholders:</w:t>
      </w:r>
    </w:p>
    <w:p>
      <w:pPr>
        <w:spacing w:after="0" w:line="201" w:lineRule="exact"/>
        <w:rPr>
          <w:sz w:val="20"/>
          <w:szCs w:val="20"/>
          <w:color w:val="auto"/>
        </w:rPr>
      </w:pPr>
    </w:p>
    <w:p>
      <w:pPr>
        <w:ind w:left="1160" w:hanging="571"/>
        <w:spacing w:after="0"/>
        <w:tabs>
          <w:tab w:leader="none" w:pos="1160" w:val="left"/>
        </w:tabs>
        <w:numPr>
          <w:ilvl w:val="0"/>
          <w:numId w:val="16"/>
        </w:numPr>
        <w:rPr>
          <w:rFonts w:ascii="Arial" w:cs="Arial" w:eastAsia="Arial" w:hAnsi="Arial"/>
          <w:sz w:val="18"/>
          <w:szCs w:val="18"/>
          <w:color w:val="auto"/>
        </w:rPr>
      </w:pPr>
      <w:r>
        <w:rPr>
          <w:rFonts w:ascii="Arial" w:cs="Arial" w:eastAsia="Arial" w:hAnsi="Arial"/>
          <w:sz w:val="18"/>
          <w:szCs w:val="18"/>
          <w:color w:val="auto"/>
        </w:rPr>
        <w:t>35 shares of Series A Preferred Stock; and</w:t>
      </w:r>
    </w:p>
    <w:p>
      <w:pPr>
        <w:spacing w:after="0" w:line="23" w:lineRule="exact"/>
        <w:rPr>
          <w:rFonts w:ascii="Arial" w:cs="Arial" w:eastAsia="Arial" w:hAnsi="Arial"/>
          <w:sz w:val="18"/>
          <w:szCs w:val="18"/>
          <w:color w:val="auto"/>
        </w:rPr>
      </w:pPr>
    </w:p>
    <w:p>
      <w:pPr>
        <w:ind w:left="1160" w:hanging="571"/>
        <w:spacing w:after="0"/>
        <w:tabs>
          <w:tab w:leader="none" w:pos="1160" w:val="left"/>
        </w:tabs>
        <w:numPr>
          <w:ilvl w:val="0"/>
          <w:numId w:val="16"/>
        </w:numPr>
        <w:rPr>
          <w:rFonts w:ascii="Arial" w:cs="Arial" w:eastAsia="Arial" w:hAnsi="Arial"/>
          <w:sz w:val="16"/>
          <w:szCs w:val="16"/>
          <w:color w:val="auto"/>
        </w:rPr>
      </w:pPr>
      <w:r>
        <w:rPr>
          <w:rFonts w:ascii="Arial" w:cs="Arial" w:eastAsia="Arial" w:hAnsi="Arial"/>
          <w:sz w:val="16"/>
          <w:szCs w:val="16"/>
          <w:color w:val="auto"/>
        </w:rPr>
        <w:t>Series A Common Stock Purchase Warrants to purchase 6,000,000 shares of common stock at $2.00 per share for a period of five years.</w:t>
      </w:r>
    </w:p>
    <w:p>
      <w:pPr>
        <w:spacing w:after="0" w:line="288" w:lineRule="exact"/>
        <w:rPr>
          <w:sz w:val="20"/>
          <w:szCs w:val="20"/>
          <w:color w:val="auto"/>
        </w:rPr>
      </w:pPr>
    </w:p>
    <w:p>
      <w:pPr>
        <w:jc w:val="both"/>
        <w:ind w:firstLine="648"/>
        <w:spacing w:after="0" w:line="270" w:lineRule="auto"/>
        <w:rPr>
          <w:sz w:val="20"/>
          <w:szCs w:val="20"/>
          <w:color w:val="auto"/>
        </w:rPr>
      </w:pPr>
      <w:r>
        <w:rPr>
          <w:rFonts w:ascii="Arial" w:cs="Arial" w:eastAsia="Arial" w:hAnsi="Arial"/>
          <w:sz w:val="17"/>
          <w:szCs w:val="17"/>
          <w:color w:val="auto"/>
        </w:rPr>
        <w:t>Holders of the Series A Preferred Stock (each a “Holder”, collectively, the “Holders”) are entitled to receive cumulative preferred dividends at the rate per share of 10% per annum, payable on the first day of September and February of each year. So long as certain equity conditions are met, we may elect to pay dividends in either (i) cash, or (ii) shares of our C ommon Stock that are eligible for public resale by the Holder under an effective registration statement covering such shares; provided however, we shall not be permitted to issued registered shares of Common Stock as dividend payments in the event that the market price is less than $0.50. In addition, we must make dividend payments in cash if we are unable to make dividend payments in shares of Common Stock that are eligible for public resale by the Holder under an effective registration statement covering such shares. The number of shares of Common Stock to be issued as payment of a dividend shall be determined by dividing (i) the total amount of the dividend to be paid in Common Stock by (ii) ninety percent (90%) of the average closing price of the Common Stock for the five-(5) day period prior to such date on the Pink Sheets as reported by Bloomberg Financial L.P. or other eligible market on which the Common Stock trades on.</w:t>
      </w:r>
    </w:p>
    <w:p>
      <w:pPr>
        <w:spacing w:after="0" w:line="236" w:lineRule="exact"/>
        <w:rPr>
          <w:sz w:val="20"/>
          <w:szCs w:val="20"/>
          <w:color w:val="auto"/>
        </w:rPr>
      </w:pPr>
    </w:p>
    <w:p>
      <w:pPr>
        <w:jc w:val="both"/>
        <w:ind w:firstLine="648"/>
        <w:spacing w:after="0" w:line="255" w:lineRule="auto"/>
        <w:rPr>
          <w:sz w:val="20"/>
          <w:szCs w:val="20"/>
          <w:color w:val="auto"/>
        </w:rPr>
      </w:pPr>
      <w:r>
        <w:rPr>
          <w:rFonts w:ascii="Arial" w:cs="Arial" w:eastAsia="Arial" w:hAnsi="Arial"/>
          <w:sz w:val="18"/>
          <w:szCs w:val="18"/>
          <w:color w:val="auto"/>
        </w:rPr>
        <w:t>Each share of Series A Preferred Stock is convertible at the option of the Holder into that number of shares of Common Stock of the Company equal to the Stated Value ($100,000) divided by a per share price of the Common Stock of $1.00 per share (the “Conversion Price”). A holder may effect a conversion at any time after the earlier of (x) the time that the Securities and Exchange Commission (“SEC”) declares effective a registration statement registering the shares of Common Stock to be sold by the Holder that underlie the shares of Series A Preferred Stock held by such Holder (the “Conversion Shares’) and (y) the time such Conversion Shares are eligible for resale by the Holder pursuant to Rule 144 of the Securities Act of 1933, as amended, (the “Conversion Eligibility Date”).</w:t>
      </w:r>
    </w:p>
    <w:p>
      <w:pPr>
        <w:spacing w:after="0" w:line="247" w:lineRule="exact"/>
        <w:rPr>
          <w:sz w:val="20"/>
          <w:szCs w:val="20"/>
          <w:color w:val="auto"/>
        </w:rPr>
      </w:pPr>
    </w:p>
    <w:p>
      <w:pPr>
        <w:jc w:val="both"/>
        <w:ind w:firstLine="648"/>
        <w:spacing w:after="0" w:line="290" w:lineRule="auto"/>
        <w:rPr>
          <w:sz w:val="20"/>
          <w:szCs w:val="20"/>
          <w:color w:val="auto"/>
        </w:rPr>
      </w:pPr>
      <w:r>
        <w:rPr>
          <w:rFonts w:ascii="Arial" w:cs="Arial" w:eastAsia="Arial" w:hAnsi="Arial"/>
          <w:sz w:val="16"/>
          <w:szCs w:val="16"/>
          <w:color w:val="auto"/>
        </w:rPr>
        <w:t>If after the Conversion Eligibility Date the market price for the Common Stock for any ten consecutive trading days exceeds $2.00 (subject to adjustment for reverse and forward stock splits, stock combinations and other similar transactions of the Common Stock that may occur) and the average daily trading volume for the Common Stock during such ten day period exceeds 100,000 shares (such period, the “Threshold Period”), the Company may, at any time after the fifth trading day after the end of any such period, deliver a notice to the Holder (a “Forced Conversion Notice” and the date such notice is received by the Holder, the “Forced Conversion Notice Date”) to cause the Holder to immediately convert all and not less than all of the Stated Value of the shares held by such Holder plus accumulated and unpaid dividends at the then current Conversion Price (a “Forced Conversion”). The Company may only effect a Forced Conversion Notice if all of the conditions specified below are met through the applicable Threshold Period until the date of the applicable Forced Conversion and through and including the date such shares of Common Stock are issued to the Holder.</w:t>
      </w:r>
    </w:p>
    <w:p>
      <w:pPr>
        <w:spacing w:after="0" w:line="220" w:lineRule="exact"/>
        <w:rPr>
          <w:sz w:val="20"/>
          <w:szCs w:val="20"/>
          <w:color w:val="auto"/>
        </w:rPr>
      </w:pPr>
    </w:p>
    <w:p>
      <w:pPr>
        <w:jc w:val="both"/>
        <w:ind w:firstLine="648"/>
        <w:spacing w:after="0" w:line="293" w:lineRule="auto"/>
        <w:rPr>
          <w:sz w:val="20"/>
          <w:szCs w:val="20"/>
          <w:color w:val="auto"/>
        </w:rPr>
      </w:pPr>
      <w:r>
        <w:rPr>
          <w:rFonts w:ascii="Arial" w:cs="Arial" w:eastAsia="Arial" w:hAnsi="Arial"/>
          <w:sz w:val="16"/>
          <w:szCs w:val="16"/>
          <w:color w:val="auto"/>
        </w:rPr>
        <w:t>The Company may effect a Forced Conversion if at such time the conditions below are satisfied: (A) there is an effective registration statement covering the resale of the shares of Common Stock issuable on conversion of the shares of Series A Preferred Stock held by the Holder, or, alternatively, such shares are saleable by the Holder under the provisions of Rule 144 promulgated under the Securities Act of 1933, as amended (“Rule 144”), without regard to the volume or manner of sale limitations contained therein (and, if requested by the Holder, legal counsel to the Corporation provides a legal opinion to the Holder that such shares may be so resole by the Holder under Rule 144), and (B) the Common Stock of the Company, including the Conversion Shares to be issued on the Forced Conversion Date, are eligible for trading on a market tier of the OTC or other Eligible Market.</w:t>
      </w:r>
    </w:p>
    <w:p>
      <w:pPr>
        <w:spacing w:after="0" w:line="219"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Cumulative Preferred Dividends:</w:t>
      </w:r>
    </w:p>
    <w:p>
      <w:pPr>
        <w:spacing w:after="0" w:line="279" w:lineRule="exact"/>
        <w:rPr>
          <w:sz w:val="20"/>
          <w:szCs w:val="20"/>
          <w:color w:val="auto"/>
        </w:rPr>
      </w:pPr>
    </w:p>
    <w:p>
      <w:pPr>
        <w:jc w:val="both"/>
        <w:ind w:firstLine="648"/>
        <w:spacing w:after="0" w:line="276" w:lineRule="auto"/>
        <w:rPr>
          <w:sz w:val="20"/>
          <w:szCs w:val="20"/>
          <w:color w:val="auto"/>
        </w:rPr>
      </w:pPr>
      <w:r>
        <w:rPr>
          <w:rFonts w:ascii="Arial" w:cs="Arial" w:eastAsia="Arial" w:hAnsi="Arial"/>
          <w:sz w:val="17"/>
          <w:szCs w:val="17"/>
          <w:color w:val="auto"/>
        </w:rPr>
        <w:t>Before any dividends shall be paid or set aside for payment on any junior security of the Company, each Holder of the Series A Preferred Stock shall be entitled to receive dividends payable on the Stated Value of the Series A Preferred Stock at a rate of 10% per annum, which shall be cumulative, accrue daily from the date of issuance and be due and payable on the first day of September and February of each year (each, a “Dividend Date”). Such dividends shall accrue whether or not declared, and the accumulation of unpaid dividends shall bear interest at a rate of 10% per annum. If a Dividend Date is not a business day, then the dividend shall be due and payable on the business day immediately following such Dividend Date.</w:t>
      </w:r>
    </w:p>
    <w:p>
      <w:pPr>
        <w:spacing w:after="0" w:line="200" w:lineRule="exact"/>
        <w:rPr>
          <w:sz w:val="20"/>
          <w:szCs w:val="20"/>
          <w:color w:val="auto"/>
        </w:rPr>
      </w:pPr>
    </w:p>
    <w:p>
      <w:pPr>
        <w:spacing w:after="0" w:line="27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246620" cy="889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634" w:right="239" w:bottom="1440" w:gutter="0" w:footer="0" w:header="0"/>
        </w:sectPr>
      </w:pPr>
    </w:p>
    <w:bookmarkStart w:id="18" w:name="page19"/>
    <w:bookmarkEnd w:id="18"/>
    <w:p>
      <w:pPr>
        <w:jc w:val="both"/>
        <w:ind w:firstLine="648"/>
        <w:spacing w:after="0" w:line="270" w:lineRule="auto"/>
        <w:rPr>
          <w:sz w:val="20"/>
          <w:szCs w:val="20"/>
          <w:color w:val="auto"/>
        </w:rPr>
      </w:pPr>
      <w:r>
        <w:rPr>
          <w:rFonts w:ascii="Arial" w:cs="Arial" w:eastAsia="Arial" w:hAnsi="Arial"/>
          <w:sz w:val="17"/>
          <w:szCs w:val="17"/>
          <w:color w:val="auto"/>
        </w:rPr>
        <w:t>Dividends on the Series A Preferred stock are payable, at the Company’s option in (a) cash or (b) shares of the Company’s Common Stock that are eligible for public resale by the Holder under an effective registration statement covering such shares; provided, however, the Company shall not be permitted to issue registered shares of Common Stock as dividend payments in the event that the market price is less than $0.50. The Company shall provide irrevocable written notice to the Holder of the form of the dividend payment at least thirty days prior to the Dividend Date. If no such notice is provided at least thirty days prior to the Dividend Date, the Company must make the dividend payment in cash. In addition, the Company must make dividend payments in cash if it is unable to make dividend payments in shares of Common Stock that are eligible for public resale by the Holder under an effective registration statement covering such shares. The number of shares of Common Stock to be issued as payment of a dividend shall be determined by dividing (i) the total amount of the dividend to be paid in Common Stock by (ii) ninety percent (90%) of the market price of the Company’s common Stock for the five days immediately preceding th applicable ex-dividend date.</w:t>
      </w:r>
    </w:p>
    <w:p>
      <w:pPr>
        <w:spacing w:after="0" w:line="236" w:lineRule="exact"/>
        <w:rPr>
          <w:sz w:val="20"/>
          <w:szCs w:val="20"/>
          <w:color w:val="auto"/>
        </w:rPr>
      </w:pPr>
    </w:p>
    <w:p>
      <w:pPr>
        <w:jc w:val="both"/>
        <w:ind w:firstLine="648"/>
        <w:spacing w:after="0" w:line="268" w:lineRule="auto"/>
        <w:rPr>
          <w:sz w:val="20"/>
          <w:szCs w:val="20"/>
          <w:color w:val="auto"/>
        </w:rPr>
      </w:pPr>
      <w:r>
        <w:rPr>
          <w:rFonts w:ascii="Arial" w:cs="Arial" w:eastAsia="Arial" w:hAnsi="Arial"/>
          <w:sz w:val="17"/>
          <w:szCs w:val="17"/>
          <w:color w:val="auto"/>
        </w:rPr>
        <w:t>The Series A Preferred Stock has redemption rights upon the occurrence of certain triggering events, including, (i) consolidation or a merger with or into (if the Company is not the surviving corporation) another entity, or (ii) the selling, assignment, transfer, conveyance or disposition of all or substantially all of the properties or our assets to another Person, or (iii) allowing another person or persons to make a purchase, tender or exchange offer that is accepted by the holders of more than the 50% of the outstanding shares of voting stock (not including any shares of voting stock held by the person or persons making or party to, or associated or affiliated with the person or persons making or party to, such purchase, tender or exchange offer), or (iv) consummate a stock purchase agreement or other business combination (including, without limitation, a reorganization, recapitalization, spin-off or scheme of arrangement) with another person whereby such other person acquires more than the 50% of either the outstanding shares of voting stock (not including any shares of voting stock held by the other person or other persons making or party to, or associated or affiliated with the other Persons making or party to, such stock purchase agreement or other business combination), (v) reorganize, recapitalize or reclassify its Common Stock or (vi) any “person” or “group” (as these terms are used for purposes of Sections 13(d) and 14(d) of the Exchange Act) is or shall become the “beneficial owner” (as defined in Rule 13d-3 under the Exchange Act), directly or indirectly, of 50% of the aggregate Voting Stock of the Corporation. Each share of Series A Preferred Stock subject to redemption shall be redeemed by us in cash at a price equal to one hundred twenty percent (120%) of the stated value of the Series A Preferred Stock plus all accrued and unpaid dividends thereon at the time of such request. The number of shares of Common Stock to be issued as payment in redemption shall be determined by dividing (i) the total amount of the dividend to be paid in Common Stock by (ii) ninety percent (90%) of the market price of our Common Stock for the five (5) days immediately preceding the date of redemption.</w:t>
      </w:r>
    </w:p>
    <w:p>
      <w:pPr>
        <w:spacing w:after="0" w:line="237" w:lineRule="exact"/>
        <w:rPr>
          <w:sz w:val="20"/>
          <w:szCs w:val="20"/>
          <w:color w:val="auto"/>
        </w:rPr>
      </w:pPr>
    </w:p>
    <w:p>
      <w:pPr>
        <w:jc w:val="both"/>
        <w:ind w:firstLine="648"/>
        <w:spacing w:after="0" w:line="253" w:lineRule="auto"/>
        <w:rPr>
          <w:sz w:val="20"/>
          <w:szCs w:val="20"/>
          <w:color w:val="auto"/>
        </w:rPr>
      </w:pPr>
      <w:r>
        <w:rPr>
          <w:rFonts w:ascii="Arial" w:cs="Arial" w:eastAsia="Arial" w:hAnsi="Arial"/>
          <w:sz w:val="18"/>
          <w:szCs w:val="18"/>
          <w:color w:val="auto"/>
        </w:rPr>
        <w:t>The Series A Preferred Stock has voting rights. Holders of shares of Series A Preferred Stock shall be entitled to vote on all matters submitted to a vote of the shareholders of the Company and shall have such number of votes equal to the number of shares of Common Stock into which such Holders’ shares of Series A Preferred Stock are convertible pursuant to the provisions hereof and subject to the limitations on conversion contained herein, at the record date for the determination of shareholders entitled to vote on such matters or, if no such record date is established, at the date such vote is taken or any written consent of shareholders is solicited. Except as otherwise required by law, the holders of shares of Series A Preferred Stock and Common Stock shall vote together as a single class, and not as separate classes. In the event that the holders of the Series A Preferred Stock are required to vote separately as a class, the affirmative vote of holders of a majority of the outstanding shares of Series A Preferred Stock shall be required to approve each such matter to be voted upon, and if any matter is approved by such requisite percentage of holders of Series A Preferred Stock, such matter shall bind all holders of Series A Preferred Stock.</w:t>
      </w:r>
    </w:p>
    <w:p>
      <w:pPr>
        <w:spacing w:after="0" w:line="251" w:lineRule="exact"/>
        <w:rPr>
          <w:sz w:val="20"/>
          <w:szCs w:val="20"/>
          <w:color w:val="auto"/>
        </w:rPr>
      </w:pPr>
    </w:p>
    <w:p>
      <w:pPr>
        <w:jc w:val="both"/>
        <w:ind w:firstLine="648"/>
        <w:spacing w:after="0" w:line="286" w:lineRule="auto"/>
        <w:rPr>
          <w:sz w:val="20"/>
          <w:szCs w:val="20"/>
          <w:color w:val="auto"/>
        </w:rPr>
      </w:pPr>
      <w:r>
        <w:rPr>
          <w:rFonts w:ascii="Arial" w:cs="Arial" w:eastAsia="Arial" w:hAnsi="Arial"/>
          <w:sz w:val="16"/>
          <w:szCs w:val="16"/>
          <w:color w:val="auto"/>
        </w:rPr>
        <w:t>The Series A Preferred Stock is subject to anti-dilution adjustment in the event of stock splits and stock dividends (other than to the Series A Preferred Stock), subsequent equity sales entitling persons to acquire shares of common stock at an effective price per share that is lower than the then Conversion Price of the Series A Preferred Stock and subsequent rights offerings, in the event we issue rights, options or warrant to all holders of common stock and not to the holders of Series A Preferred Stock, pro rata distributions of assets or indebtedness and fundamental transactions, such as a merger, consolidation or recapitalization. The anti-dilution adjustment provides that, if, at any time while the Series A Preferred Stock is outstanding, if we sell or grant any option to purchase or sell or grant any right to reprice our securities, or otherwise dispose of or issue (or announce any sale, grant or any option to purchase or other disposition) any common stock or common stock equivalents entitling any person to acquire shares of common stock at an effective price per share that is lower than the then conversion price (such lower price, the "Base Conversion Price") (if the holder of the common stock or common stock equivalents so issued shall at any time, whether by operation of purchase price adjustments, reset provisions, floating conversion, exercise or exchange prices or otherwise, or due to warrants, options or rights per share which are issued in connection with such issuance, be entitled to receive shares of common stock at an effective price per share that is lower than the conversion price, such issuance shall be deemed to have occurred for less than the conversion price on such date of the dilutive issuance), then all of such shares of common stock or common stock underlying such option shall be deemed to be outstanding and to have been issued and sold by us at the time of the granting or sale of such option for such price per share.</w:t>
      </w:r>
    </w:p>
    <w:p>
      <w:pPr>
        <w:spacing w:after="0" w:line="229" w:lineRule="exact"/>
        <w:rPr>
          <w:sz w:val="20"/>
          <w:szCs w:val="20"/>
          <w:color w:val="auto"/>
        </w:rPr>
      </w:pPr>
    </w:p>
    <w:p>
      <w:pPr>
        <w:ind w:left="660"/>
        <w:spacing w:after="0"/>
        <w:rPr>
          <w:sz w:val="20"/>
          <w:szCs w:val="20"/>
          <w:color w:val="auto"/>
        </w:rPr>
      </w:pPr>
      <w:r>
        <w:rPr>
          <w:rFonts w:ascii="Arial" w:cs="Arial" w:eastAsia="Arial" w:hAnsi="Arial"/>
          <w:sz w:val="16"/>
          <w:szCs w:val="16"/>
          <w:color w:val="auto"/>
        </w:rPr>
        <w:t>The 2,230,000 shares of common stock covered by this prospectus does not include any shares issuable as dividends on the Series A Preferred Stock.</w:t>
      </w:r>
    </w:p>
    <w:p>
      <w:pPr>
        <w:spacing w:after="0" w:line="200" w:lineRule="exact"/>
        <w:rPr>
          <w:sz w:val="20"/>
          <w:szCs w:val="20"/>
          <w:color w:val="auto"/>
        </w:rPr>
      </w:pPr>
    </w:p>
    <w:p>
      <w:pPr>
        <w:spacing w:after="0" w:line="34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246620" cy="889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638" w:right="239" w:bottom="1440" w:gutter="0" w:footer="0" w:header="0"/>
        </w:sectPr>
      </w:pPr>
    </w:p>
    <w:bookmarkStart w:id="19" w:name="page20"/>
    <w:bookmarkEnd w:id="19"/>
    <w:p>
      <w:pPr>
        <w:jc w:val="both"/>
        <w:ind w:firstLine="648"/>
        <w:spacing w:after="0" w:line="255" w:lineRule="auto"/>
        <w:rPr>
          <w:sz w:val="20"/>
          <w:szCs w:val="20"/>
          <w:color w:val="auto"/>
        </w:rPr>
      </w:pPr>
      <w:r>
        <w:rPr>
          <w:rFonts w:ascii="Arial" w:cs="Arial" w:eastAsia="Arial" w:hAnsi="Arial"/>
          <w:sz w:val="18"/>
          <w:szCs w:val="18"/>
          <w:color w:val="auto"/>
        </w:rPr>
        <w:t>Once there is an effective registration statement, we may force conversion of the Series A Preferred Stock into common stock if the market price for 10 consecutive trading days exceeds $2.00 (subject to adjustment for reverse and forward stock splits, stock combinations and other similar transactions of the Common Stock that occur after the date thereof) and the average daily trading volume for the Common Stock during such ten-(10) day period exceeds 100,000 shares, we may, at any time after the fifth (5th) trading day after the end of any such period, deliver a notice to the holder to cause the holder to immediately convert all and not less than all of the stated value of the shares held by such holder plus accumulated and unpaid dividends at the then current conversion price.</w:t>
      </w:r>
    </w:p>
    <w:p>
      <w:pPr>
        <w:spacing w:after="0" w:line="247" w:lineRule="exact"/>
        <w:rPr>
          <w:sz w:val="20"/>
          <w:szCs w:val="20"/>
          <w:color w:val="auto"/>
        </w:rPr>
      </w:pPr>
    </w:p>
    <w:p>
      <w:pPr>
        <w:jc w:val="both"/>
        <w:ind w:firstLine="648"/>
        <w:spacing w:after="0" w:line="308" w:lineRule="auto"/>
        <w:rPr>
          <w:sz w:val="20"/>
          <w:szCs w:val="20"/>
          <w:color w:val="auto"/>
        </w:rPr>
      </w:pPr>
      <w:r>
        <w:rPr>
          <w:rFonts w:ascii="Arial" w:cs="Arial" w:eastAsia="Arial" w:hAnsi="Arial"/>
          <w:sz w:val="17"/>
          <w:szCs w:val="17"/>
          <w:color w:val="auto"/>
        </w:rPr>
        <w:t>So long as any shares of Series A Preferred Stock are outstanding, unless the holders of at least 50% of the then outstanding shares of Series A Preferred Stock shall have otherwise given prior written consent, we shall not, and shall not permit any of our subsidiaries to, directly or indirectly:</w:t>
      </w:r>
    </w:p>
    <w:p>
      <w:pPr>
        <w:spacing w:after="0" w:line="201" w:lineRule="exact"/>
        <w:rPr>
          <w:sz w:val="20"/>
          <w:szCs w:val="20"/>
          <w:color w:val="auto"/>
        </w:rPr>
      </w:pPr>
    </w:p>
    <w:p>
      <w:pPr>
        <w:jc w:val="both"/>
        <w:ind w:firstLine="656"/>
        <w:spacing w:after="0" w:line="302" w:lineRule="auto"/>
        <w:tabs>
          <w:tab w:leader="none" w:pos="834" w:val="left"/>
        </w:tabs>
        <w:numPr>
          <w:ilvl w:val="0"/>
          <w:numId w:val="17"/>
        </w:numPr>
        <w:rPr>
          <w:rFonts w:ascii="Arial" w:cs="Arial" w:eastAsia="Arial" w:hAnsi="Arial"/>
          <w:sz w:val="16"/>
          <w:szCs w:val="16"/>
          <w:color w:val="auto"/>
        </w:rPr>
      </w:pPr>
      <w:r>
        <w:rPr>
          <w:rFonts w:ascii="Arial" w:cs="Arial" w:eastAsia="Arial" w:hAnsi="Arial"/>
          <w:sz w:val="16"/>
          <w:szCs w:val="16"/>
          <w:color w:val="auto"/>
        </w:rPr>
        <w:t>(i) Except with respect to the Series A Preferred Stock, or forward stock splits in the form of a dividend, declare or pay any dividends or make any distributions to any holder(s) of any shares of our capital stock or (ii) purchase, redeem or otherwise acquire any shares of our Common Stock or warrants or rights to acquire such Common Stock, except as may be required by the terms of the Series A Preferred Stock; or (iii) purchase, redeem or otherwise acquire any shares of our preferred stock or warrants or rights to acquire such stock, except as may be required by the terms of such preferred stock;</w:t>
      </w:r>
    </w:p>
    <w:p>
      <w:pPr>
        <w:spacing w:after="0" w:line="208" w:lineRule="exact"/>
        <w:rPr>
          <w:rFonts w:ascii="Arial" w:cs="Arial" w:eastAsia="Arial" w:hAnsi="Arial"/>
          <w:sz w:val="16"/>
          <w:szCs w:val="16"/>
          <w:color w:val="auto"/>
        </w:rPr>
      </w:pPr>
    </w:p>
    <w:p>
      <w:pPr>
        <w:ind w:left="860" w:hanging="204"/>
        <w:spacing w:after="0"/>
        <w:tabs>
          <w:tab w:leader="none" w:pos="860" w:val="left"/>
        </w:tabs>
        <w:numPr>
          <w:ilvl w:val="0"/>
          <w:numId w:val="17"/>
        </w:numPr>
        <w:rPr>
          <w:rFonts w:ascii="Arial" w:cs="Arial" w:eastAsia="Arial" w:hAnsi="Arial"/>
          <w:sz w:val="18"/>
          <w:szCs w:val="18"/>
          <w:color w:val="auto"/>
        </w:rPr>
      </w:pPr>
      <w:r>
        <w:rPr>
          <w:rFonts w:ascii="Arial" w:cs="Arial" w:eastAsia="Arial" w:hAnsi="Arial"/>
          <w:sz w:val="18"/>
          <w:szCs w:val="18"/>
          <w:color w:val="auto"/>
        </w:rPr>
        <w:t>Effect any reclassification, combination or reverse stock split of the Common Stock;</w:t>
      </w:r>
    </w:p>
    <w:p>
      <w:pPr>
        <w:spacing w:after="0" w:line="279" w:lineRule="exact"/>
        <w:rPr>
          <w:rFonts w:ascii="Arial" w:cs="Arial" w:eastAsia="Arial" w:hAnsi="Arial"/>
          <w:sz w:val="18"/>
          <w:szCs w:val="18"/>
          <w:color w:val="auto"/>
        </w:rPr>
      </w:pPr>
    </w:p>
    <w:p>
      <w:pPr>
        <w:ind w:left="840" w:hanging="184"/>
        <w:spacing w:after="0"/>
        <w:tabs>
          <w:tab w:leader="none" w:pos="840" w:val="left"/>
        </w:tabs>
        <w:numPr>
          <w:ilvl w:val="0"/>
          <w:numId w:val="17"/>
        </w:numPr>
        <w:rPr>
          <w:rFonts w:ascii="Arial" w:cs="Arial" w:eastAsia="Arial" w:hAnsi="Arial"/>
          <w:sz w:val="17"/>
          <w:szCs w:val="17"/>
          <w:color w:val="auto"/>
        </w:rPr>
      </w:pPr>
      <w:r>
        <w:rPr>
          <w:rFonts w:ascii="Arial" w:cs="Arial" w:eastAsia="Arial" w:hAnsi="Arial"/>
          <w:sz w:val="17"/>
          <w:szCs w:val="17"/>
          <w:color w:val="auto"/>
        </w:rPr>
        <w:t>Create, incur, assume, suffer, permit to exist, or guarantee, directly or indirectly, any indebtedness, excluding, however, from the following:</w:t>
      </w:r>
    </w:p>
    <w:p>
      <w:pPr>
        <w:spacing w:after="0" w:line="290" w:lineRule="exact"/>
        <w:rPr>
          <w:rFonts w:ascii="Arial" w:cs="Arial" w:eastAsia="Arial" w:hAnsi="Arial"/>
          <w:sz w:val="17"/>
          <w:szCs w:val="17"/>
          <w:color w:val="auto"/>
        </w:rPr>
      </w:pPr>
    </w:p>
    <w:p>
      <w:pPr>
        <w:ind w:left="1420" w:hanging="345"/>
        <w:spacing w:after="0"/>
        <w:tabs>
          <w:tab w:leader="none" w:pos="1420" w:val="left"/>
        </w:tabs>
        <w:numPr>
          <w:ilvl w:val="1"/>
          <w:numId w:val="17"/>
        </w:numPr>
        <w:rPr>
          <w:rFonts w:ascii="Arial" w:cs="Arial" w:eastAsia="Arial" w:hAnsi="Arial"/>
          <w:sz w:val="18"/>
          <w:szCs w:val="18"/>
          <w:color w:val="auto"/>
        </w:rPr>
      </w:pPr>
      <w:r>
        <w:rPr>
          <w:rFonts w:ascii="Arial" w:cs="Arial" w:eastAsia="Arial" w:hAnsi="Arial"/>
          <w:sz w:val="18"/>
          <w:szCs w:val="18"/>
          <w:color w:val="auto"/>
        </w:rPr>
        <w:t>Indebtedness to the extent existing on September 8, 2008 or any replacement indebtedness to existing indebtedness;</w:t>
      </w:r>
    </w:p>
    <w:p>
      <w:pPr>
        <w:spacing w:after="0" w:line="23" w:lineRule="exact"/>
        <w:rPr>
          <w:rFonts w:ascii="Arial" w:cs="Arial" w:eastAsia="Arial" w:hAnsi="Arial"/>
          <w:sz w:val="18"/>
          <w:szCs w:val="18"/>
          <w:color w:val="auto"/>
        </w:rPr>
      </w:pPr>
    </w:p>
    <w:p>
      <w:pPr>
        <w:ind w:left="1420" w:hanging="345"/>
        <w:spacing w:after="0"/>
        <w:tabs>
          <w:tab w:leader="none" w:pos="1420" w:val="left"/>
        </w:tabs>
        <w:numPr>
          <w:ilvl w:val="1"/>
          <w:numId w:val="17"/>
        </w:numPr>
        <w:rPr>
          <w:rFonts w:ascii="Arial" w:cs="Arial" w:eastAsia="Arial" w:hAnsi="Arial"/>
          <w:sz w:val="18"/>
          <w:szCs w:val="18"/>
          <w:color w:val="auto"/>
        </w:rPr>
      </w:pPr>
      <w:r>
        <w:rPr>
          <w:rFonts w:ascii="Arial" w:cs="Arial" w:eastAsia="Arial" w:hAnsi="Arial"/>
          <w:sz w:val="18"/>
          <w:szCs w:val="18"/>
          <w:color w:val="auto"/>
        </w:rPr>
        <w:t>Indebtedness which may be incurred or guaranteed by us in an aggregate principal amount not to exceed $500,000;</w:t>
      </w:r>
    </w:p>
    <w:p>
      <w:pPr>
        <w:spacing w:after="0" w:line="9" w:lineRule="exact"/>
        <w:rPr>
          <w:rFonts w:ascii="Arial" w:cs="Arial" w:eastAsia="Arial" w:hAnsi="Arial"/>
          <w:sz w:val="18"/>
          <w:szCs w:val="18"/>
          <w:color w:val="auto"/>
        </w:rPr>
      </w:pPr>
    </w:p>
    <w:p>
      <w:pPr>
        <w:ind w:left="1420" w:hanging="345"/>
        <w:spacing w:after="0"/>
        <w:tabs>
          <w:tab w:leader="none" w:pos="1420" w:val="left"/>
        </w:tabs>
        <w:numPr>
          <w:ilvl w:val="1"/>
          <w:numId w:val="17"/>
        </w:numPr>
        <w:rPr>
          <w:rFonts w:ascii="Arial" w:cs="Arial" w:eastAsia="Arial" w:hAnsi="Arial"/>
          <w:sz w:val="18"/>
          <w:szCs w:val="18"/>
          <w:color w:val="auto"/>
        </w:rPr>
      </w:pPr>
      <w:r>
        <w:rPr>
          <w:rFonts w:ascii="Arial" w:cs="Arial" w:eastAsia="Arial" w:hAnsi="Arial"/>
          <w:sz w:val="18"/>
          <w:szCs w:val="18"/>
          <w:color w:val="auto"/>
        </w:rPr>
        <w:t>the endorsement of instruments for the purpose of deposit or collection in the ordinary course of business;</w:t>
      </w:r>
    </w:p>
    <w:p>
      <w:pPr>
        <w:spacing w:after="0" w:line="9" w:lineRule="exact"/>
        <w:rPr>
          <w:rFonts w:ascii="Arial" w:cs="Arial" w:eastAsia="Arial" w:hAnsi="Arial"/>
          <w:sz w:val="18"/>
          <w:szCs w:val="18"/>
          <w:color w:val="auto"/>
        </w:rPr>
      </w:pPr>
    </w:p>
    <w:p>
      <w:pPr>
        <w:ind w:left="1420" w:right="20" w:hanging="345"/>
        <w:spacing w:after="0" w:line="250" w:lineRule="auto"/>
        <w:tabs>
          <w:tab w:leader="none" w:pos="1420" w:val="left"/>
        </w:tabs>
        <w:numPr>
          <w:ilvl w:val="1"/>
          <w:numId w:val="17"/>
        </w:numPr>
        <w:rPr>
          <w:rFonts w:ascii="Arial" w:cs="Arial" w:eastAsia="Arial" w:hAnsi="Arial"/>
          <w:sz w:val="18"/>
          <w:szCs w:val="18"/>
          <w:color w:val="auto"/>
        </w:rPr>
      </w:pPr>
      <w:r>
        <w:rPr>
          <w:rFonts w:ascii="Arial" w:cs="Arial" w:eastAsia="Arial" w:hAnsi="Arial"/>
          <w:sz w:val="18"/>
          <w:szCs w:val="18"/>
          <w:color w:val="auto"/>
        </w:rPr>
        <w:t>Indebtedness relating to our contingent obligations and our subsidiaries under guaranties in the ordinary course of business of the obligations of suppliers, customers, and licensees of the company and our subsidiaries;</w:t>
      </w:r>
    </w:p>
    <w:p>
      <w:pPr>
        <w:ind w:left="1420" w:hanging="345"/>
        <w:spacing w:after="0"/>
        <w:tabs>
          <w:tab w:leader="none" w:pos="1420" w:val="left"/>
        </w:tabs>
        <w:numPr>
          <w:ilvl w:val="1"/>
          <w:numId w:val="17"/>
        </w:numPr>
        <w:rPr>
          <w:rFonts w:ascii="Arial" w:cs="Arial" w:eastAsia="Arial" w:hAnsi="Arial"/>
          <w:sz w:val="18"/>
          <w:szCs w:val="18"/>
          <w:color w:val="auto"/>
        </w:rPr>
      </w:pPr>
      <w:r>
        <w:rPr>
          <w:rFonts w:ascii="Arial" w:cs="Arial" w:eastAsia="Arial" w:hAnsi="Arial"/>
          <w:sz w:val="18"/>
          <w:szCs w:val="18"/>
          <w:color w:val="auto"/>
        </w:rPr>
        <w:t>Indebtedness relating to loans from the company to our subsidiaries;</w:t>
      </w:r>
    </w:p>
    <w:p>
      <w:pPr>
        <w:spacing w:after="0" w:line="9" w:lineRule="exact"/>
        <w:rPr>
          <w:rFonts w:ascii="Arial" w:cs="Arial" w:eastAsia="Arial" w:hAnsi="Arial"/>
          <w:sz w:val="18"/>
          <w:szCs w:val="18"/>
          <w:color w:val="auto"/>
        </w:rPr>
      </w:pPr>
    </w:p>
    <w:p>
      <w:pPr>
        <w:ind w:left="1420" w:hanging="345"/>
        <w:spacing w:after="0"/>
        <w:tabs>
          <w:tab w:leader="none" w:pos="1420" w:val="left"/>
        </w:tabs>
        <w:numPr>
          <w:ilvl w:val="1"/>
          <w:numId w:val="17"/>
        </w:numPr>
        <w:rPr>
          <w:rFonts w:ascii="Arial" w:cs="Arial" w:eastAsia="Arial" w:hAnsi="Arial"/>
          <w:sz w:val="18"/>
          <w:szCs w:val="18"/>
          <w:color w:val="auto"/>
        </w:rPr>
      </w:pPr>
      <w:r>
        <w:rPr>
          <w:rFonts w:ascii="Arial" w:cs="Arial" w:eastAsia="Arial" w:hAnsi="Arial"/>
          <w:sz w:val="18"/>
          <w:szCs w:val="18"/>
          <w:color w:val="auto"/>
        </w:rPr>
        <w:t>Indebtedness relating to capital leases in an amount not to exceed $500,000;</w:t>
      </w:r>
    </w:p>
    <w:p>
      <w:pPr>
        <w:spacing w:after="0" w:line="9" w:lineRule="exact"/>
        <w:rPr>
          <w:rFonts w:ascii="Arial" w:cs="Arial" w:eastAsia="Arial" w:hAnsi="Arial"/>
          <w:sz w:val="18"/>
          <w:szCs w:val="18"/>
          <w:color w:val="auto"/>
        </w:rPr>
      </w:pPr>
    </w:p>
    <w:p>
      <w:pPr>
        <w:ind w:left="1420" w:right="20" w:hanging="345"/>
        <w:spacing w:after="0" w:line="250" w:lineRule="auto"/>
        <w:tabs>
          <w:tab w:leader="none" w:pos="1420" w:val="left"/>
        </w:tabs>
        <w:numPr>
          <w:ilvl w:val="1"/>
          <w:numId w:val="17"/>
        </w:numPr>
        <w:rPr>
          <w:rFonts w:ascii="Arial" w:cs="Arial" w:eastAsia="Arial" w:hAnsi="Arial"/>
          <w:sz w:val="18"/>
          <w:szCs w:val="18"/>
          <w:color w:val="auto"/>
        </w:rPr>
      </w:pPr>
      <w:r>
        <w:rPr>
          <w:rFonts w:ascii="Arial" w:cs="Arial" w:eastAsia="Arial" w:hAnsi="Arial"/>
          <w:sz w:val="18"/>
          <w:szCs w:val="18"/>
          <w:color w:val="auto"/>
        </w:rPr>
        <w:t>accounts or notes payable arising out of the purchase of merchandise, supplies, equipment, software, computer programs or services in the ordinary course of business;</w:t>
      </w:r>
    </w:p>
    <w:p>
      <w:pPr>
        <w:ind w:left="1420" w:right="20" w:hanging="345"/>
        <w:spacing w:after="0" w:line="261" w:lineRule="auto"/>
        <w:tabs>
          <w:tab w:leader="none" w:pos="1420" w:val="left"/>
        </w:tabs>
        <w:numPr>
          <w:ilvl w:val="1"/>
          <w:numId w:val="17"/>
        </w:numPr>
        <w:rPr>
          <w:rFonts w:ascii="Arial" w:cs="Arial" w:eastAsia="Arial" w:hAnsi="Arial"/>
          <w:sz w:val="18"/>
          <w:szCs w:val="18"/>
          <w:color w:val="auto"/>
        </w:rPr>
      </w:pPr>
      <w:r>
        <w:rPr>
          <w:rFonts w:ascii="Arial" w:cs="Arial" w:eastAsia="Arial" w:hAnsi="Arial"/>
          <w:sz w:val="18"/>
          <w:szCs w:val="18"/>
          <w:color w:val="auto"/>
        </w:rPr>
        <w:t>Common Stock issued or issuable to financial institutions, or lessors, pursuant to a commercial credit arrangement, equipment financing transaction, accounts receivable factoring, or a similar transaction;</w:t>
      </w:r>
    </w:p>
    <w:p>
      <w:pPr>
        <w:spacing w:after="0" w:line="237" w:lineRule="exact"/>
        <w:rPr>
          <w:rFonts w:ascii="Arial" w:cs="Arial" w:eastAsia="Arial" w:hAnsi="Arial"/>
          <w:sz w:val="18"/>
          <w:szCs w:val="18"/>
          <w:color w:val="auto"/>
        </w:rPr>
      </w:pPr>
    </w:p>
    <w:p>
      <w:pPr>
        <w:ind w:left="860" w:hanging="204"/>
        <w:spacing w:after="0"/>
        <w:tabs>
          <w:tab w:leader="none" w:pos="860" w:val="left"/>
        </w:tabs>
        <w:numPr>
          <w:ilvl w:val="0"/>
          <w:numId w:val="17"/>
        </w:numPr>
        <w:rPr>
          <w:rFonts w:ascii="Arial" w:cs="Arial" w:eastAsia="Arial" w:hAnsi="Arial"/>
          <w:sz w:val="18"/>
          <w:szCs w:val="18"/>
          <w:color w:val="auto"/>
        </w:rPr>
      </w:pPr>
      <w:r>
        <w:rPr>
          <w:rFonts w:ascii="Arial" w:cs="Arial" w:eastAsia="Arial" w:hAnsi="Arial"/>
          <w:sz w:val="18"/>
          <w:szCs w:val="18"/>
          <w:color w:val="auto"/>
        </w:rPr>
        <w:t>Issue securities senior to or equal to that of the Series A Preferred Stock;</w:t>
      </w:r>
    </w:p>
    <w:p>
      <w:pPr>
        <w:spacing w:after="0" w:line="279" w:lineRule="exact"/>
        <w:rPr>
          <w:rFonts w:ascii="Arial" w:cs="Arial" w:eastAsia="Arial" w:hAnsi="Arial"/>
          <w:sz w:val="18"/>
          <w:szCs w:val="18"/>
          <w:color w:val="auto"/>
        </w:rPr>
      </w:pPr>
    </w:p>
    <w:p>
      <w:pPr>
        <w:ind w:firstLine="656"/>
        <w:spacing w:after="0" w:line="277" w:lineRule="auto"/>
        <w:tabs>
          <w:tab w:leader="none" w:pos="843" w:val="left"/>
        </w:tabs>
        <w:numPr>
          <w:ilvl w:val="0"/>
          <w:numId w:val="17"/>
        </w:numPr>
        <w:rPr>
          <w:rFonts w:ascii="Arial" w:cs="Arial" w:eastAsia="Arial" w:hAnsi="Arial"/>
          <w:sz w:val="18"/>
          <w:szCs w:val="18"/>
          <w:color w:val="auto"/>
        </w:rPr>
      </w:pPr>
      <w:r>
        <w:rPr>
          <w:rFonts w:ascii="Arial" w:cs="Arial" w:eastAsia="Arial" w:hAnsi="Arial"/>
          <w:sz w:val="18"/>
          <w:szCs w:val="18"/>
          <w:color w:val="auto"/>
        </w:rPr>
        <w:t>Sell, transfer, lease or dispose of 20% or more of its consolidated assets in any single transaction or series of transactions, or liquidate, dissolve, recapitalize or reorganize in any form of transaction;</w:t>
      </w:r>
    </w:p>
    <w:p>
      <w:pPr>
        <w:spacing w:after="0" w:line="224" w:lineRule="exact"/>
        <w:rPr>
          <w:rFonts w:ascii="Arial" w:cs="Arial" w:eastAsia="Arial" w:hAnsi="Arial"/>
          <w:sz w:val="18"/>
          <w:szCs w:val="18"/>
          <w:color w:val="auto"/>
        </w:rPr>
      </w:pPr>
    </w:p>
    <w:p>
      <w:pPr>
        <w:jc w:val="both"/>
        <w:ind w:firstLine="656"/>
        <w:spacing w:after="0" w:line="270" w:lineRule="auto"/>
        <w:tabs>
          <w:tab w:leader="none" w:pos="841" w:val="left"/>
        </w:tabs>
        <w:numPr>
          <w:ilvl w:val="0"/>
          <w:numId w:val="17"/>
        </w:numPr>
        <w:rPr>
          <w:rFonts w:ascii="Arial" w:cs="Arial" w:eastAsia="Arial" w:hAnsi="Arial"/>
          <w:sz w:val="17"/>
          <w:szCs w:val="17"/>
          <w:color w:val="auto"/>
        </w:rPr>
      </w:pPr>
      <w:r>
        <w:rPr>
          <w:rFonts w:ascii="Arial" w:cs="Arial" w:eastAsia="Arial" w:hAnsi="Arial"/>
          <w:sz w:val="17"/>
          <w:szCs w:val="17"/>
          <w:color w:val="auto"/>
        </w:rPr>
        <w:t>Enter into a change of control transaction, which means the occurrence of (a) an acquisition by an individual or legal entity or “group” (as described in Rule 13d-5(b)(1) promulgated under the Exchange Act) of effective control of in excess of fifty percent (50%) of our voting securities, (b) a replacement at one time or over time of more than one-half of the members of our Board, which is not approved by a majority of those individuals who are members of the Board (or by those individuals who are serving as members of the Board on any date whose nomination to the Board was approved by a majority of the members of the Board who are members on the date hereof), (c) the merger or consolidation of the company or any of our subsidiaries in one or a series of related transactions with or into another entity (except in connection with a merger involving the company solely for the purpose, and with the sole effect, of reorganizing the company under the laws of another jurisdiction; provided that the certificate of incorporation and bylaws (or similar charter or organizational documents) of the surviving entity are substantively identical to those of the company), or (d) the execution by the company of an agreement to which the company is a party or by which it is bound, providing for any of the events set forth above in (a), (b) or (c);</w:t>
      </w:r>
    </w:p>
    <w:p>
      <w:pPr>
        <w:spacing w:after="0" w:line="235" w:lineRule="exact"/>
        <w:rPr>
          <w:rFonts w:ascii="Arial" w:cs="Arial" w:eastAsia="Arial" w:hAnsi="Arial"/>
          <w:sz w:val="17"/>
          <w:szCs w:val="17"/>
          <w:color w:val="auto"/>
        </w:rPr>
      </w:pPr>
    </w:p>
    <w:p>
      <w:pPr>
        <w:ind w:left="840" w:hanging="184"/>
        <w:spacing w:after="0"/>
        <w:tabs>
          <w:tab w:leader="none" w:pos="840" w:val="left"/>
        </w:tabs>
        <w:numPr>
          <w:ilvl w:val="0"/>
          <w:numId w:val="17"/>
        </w:numPr>
        <w:rPr>
          <w:rFonts w:ascii="Arial" w:cs="Arial" w:eastAsia="Arial" w:hAnsi="Arial"/>
          <w:sz w:val="18"/>
          <w:szCs w:val="18"/>
          <w:color w:val="auto"/>
        </w:rPr>
      </w:pPr>
      <w:r>
        <w:rPr>
          <w:rFonts w:ascii="Arial" w:cs="Arial" w:eastAsia="Arial" w:hAnsi="Arial"/>
          <w:sz w:val="18"/>
          <w:szCs w:val="18"/>
          <w:color w:val="auto"/>
        </w:rPr>
        <w:t>Amend or waive any provision of our Articles of Incorporation or Bylaws;</w:t>
      </w:r>
    </w:p>
    <w:p>
      <w:pPr>
        <w:spacing w:after="0" w:line="279" w:lineRule="exact"/>
        <w:rPr>
          <w:rFonts w:ascii="Arial" w:cs="Arial" w:eastAsia="Arial" w:hAnsi="Arial"/>
          <w:sz w:val="18"/>
          <w:szCs w:val="18"/>
          <w:color w:val="auto"/>
        </w:rPr>
      </w:pPr>
    </w:p>
    <w:p>
      <w:pPr>
        <w:ind w:firstLine="656"/>
        <w:spacing w:after="0" w:line="277" w:lineRule="auto"/>
        <w:tabs>
          <w:tab w:leader="none" w:pos="846" w:val="left"/>
        </w:tabs>
        <w:numPr>
          <w:ilvl w:val="0"/>
          <w:numId w:val="17"/>
        </w:numPr>
        <w:rPr>
          <w:rFonts w:ascii="Arial" w:cs="Arial" w:eastAsia="Arial" w:hAnsi="Arial"/>
          <w:sz w:val="18"/>
          <w:szCs w:val="18"/>
          <w:color w:val="auto"/>
        </w:rPr>
      </w:pPr>
      <w:r>
        <w:rPr>
          <w:rFonts w:ascii="Arial" w:cs="Arial" w:eastAsia="Arial" w:hAnsi="Arial"/>
          <w:sz w:val="18"/>
          <w:szCs w:val="18"/>
          <w:color w:val="auto"/>
        </w:rPr>
        <w:t>Engage in any transaction with any of our officers, directors, employees or affiliates of the company or of its subsidiaries, except on terms no less favorable to the company or the subsidiary as could be obtained in an arm’s length transactions; or</w:t>
      </w:r>
    </w:p>
    <w:p>
      <w:pPr>
        <w:spacing w:after="0" w:line="224" w:lineRule="exact"/>
        <w:rPr>
          <w:rFonts w:ascii="Arial" w:cs="Arial" w:eastAsia="Arial" w:hAnsi="Arial"/>
          <w:sz w:val="18"/>
          <w:szCs w:val="18"/>
          <w:color w:val="auto"/>
        </w:rPr>
      </w:pPr>
    </w:p>
    <w:p>
      <w:pPr>
        <w:ind w:left="820" w:hanging="164"/>
        <w:spacing w:after="0"/>
        <w:tabs>
          <w:tab w:leader="none" w:pos="820" w:val="left"/>
        </w:tabs>
        <w:numPr>
          <w:ilvl w:val="0"/>
          <w:numId w:val="17"/>
        </w:numPr>
        <w:rPr>
          <w:rFonts w:ascii="Arial" w:cs="Arial" w:eastAsia="Arial" w:hAnsi="Arial"/>
          <w:sz w:val="18"/>
          <w:szCs w:val="18"/>
          <w:color w:val="auto"/>
        </w:rPr>
      </w:pPr>
      <w:r>
        <w:rPr>
          <w:rFonts w:ascii="Arial" w:cs="Arial" w:eastAsia="Arial" w:hAnsi="Arial"/>
          <w:sz w:val="18"/>
          <w:szCs w:val="18"/>
          <w:color w:val="auto"/>
        </w:rPr>
        <w:t>Divert business or opportunity of the company or our subsidiary to any other corporate or business entity; or</w:t>
      </w:r>
    </w:p>
    <w:p>
      <w:pPr>
        <w:spacing w:after="0" w:line="200" w:lineRule="exact"/>
        <w:rPr>
          <w:sz w:val="20"/>
          <w:szCs w:val="20"/>
          <w:color w:val="auto"/>
        </w:rPr>
      </w:pPr>
    </w:p>
    <w:p>
      <w:pPr>
        <w:spacing w:after="0" w:line="32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246620" cy="889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638" w:right="239" w:bottom="1440" w:gutter="0" w:footer="0" w:header="0"/>
        </w:sectPr>
      </w:pPr>
    </w:p>
    <w:bookmarkStart w:id="20" w:name="page21"/>
    <w:bookmarkEnd w:id="20"/>
    <w:p>
      <w:pPr>
        <w:ind w:firstLine="656"/>
        <w:spacing w:after="0" w:line="277" w:lineRule="auto"/>
        <w:tabs>
          <w:tab w:leader="none" w:pos="815" w:val="left"/>
        </w:tabs>
        <w:numPr>
          <w:ilvl w:val="0"/>
          <w:numId w:val="18"/>
        </w:numPr>
        <w:rPr>
          <w:rFonts w:ascii="Arial" w:cs="Arial" w:eastAsia="Arial" w:hAnsi="Arial"/>
          <w:sz w:val="18"/>
          <w:szCs w:val="18"/>
          <w:color w:val="auto"/>
        </w:rPr>
      </w:pPr>
      <w:r>
        <w:rPr>
          <w:rFonts w:ascii="Arial" w:cs="Arial" w:eastAsia="Arial" w:hAnsi="Arial"/>
          <w:sz w:val="18"/>
          <w:szCs w:val="18"/>
          <w:color w:val="auto"/>
        </w:rPr>
        <w:t>File any registration statement with the Securities and Exchange Commission (“SEC”) until this registration statement or registration statements registering all the conversion shares, warrant shares and other registrable securities is declared effective by the SEC.</w:t>
      </w:r>
    </w:p>
    <w:p>
      <w:pPr>
        <w:spacing w:after="0" w:line="224" w:lineRule="exact"/>
        <w:rPr>
          <w:sz w:val="20"/>
          <w:szCs w:val="20"/>
          <w:color w:val="auto"/>
        </w:rPr>
      </w:pPr>
    </w:p>
    <w:p>
      <w:pPr>
        <w:jc w:val="both"/>
        <w:ind w:right="20" w:firstLine="648"/>
        <w:spacing w:after="0" w:line="264" w:lineRule="auto"/>
        <w:rPr>
          <w:sz w:val="20"/>
          <w:szCs w:val="20"/>
          <w:color w:val="auto"/>
        </w:rPr>
      </w:pPr>
      <w:r>
        <w:rPr>
          <w:rFonts w:ascii="Arial" w:cs="Arial" w:eastAsia="Arial" w:hAnsi="Arial"/>
          <w:sz w:val="18"/>
          <w:szCs w:val="18"/>
          <w:color w:val="auto"/>
        </w:rPr>
        <w:t>In the event of any liquidation or winding up, the holders of shares of Series A Preferred Stock then outstanding shall be entitled to be paid out of the assets of the Corporation available for distribution to its stockholders an amount per share equal to the stated value of the Series A Preferred Stock plus the aggregate amount of accumulated but unpaid dividends on each share of Series A Preferred Stock.</w:t>
      </w:r>
    </w:p>
    <w:p>
      <w:pPr>
        <w:spacing w:after="0" w:line="235" w:lineRule="exact"/>
        <w:rPr>
          <w:sz w:val="20"/>
          <w:szCs w:val="20"/>
          <w:color w:val="auto"/>
        </w:rPr>
      </w:pPr>
    </w:p>
    <w:p>
      <w:pPr>
        <w:jc w:val="both"/>
        <w:ind w:firstLine="648"/>
        <w:spacing w:after="0" w:line="273" w:lineRule="auto"/>
        <w:rPr>
          <w:sz w:val="20"/>
          <w:szCs w:val="20"/>
          <w:color w:val="auto"/>
        </w:rPr>
      </w:pPr>
      <w:r>
        <w:rPr>
          <w:rFonts w:ascii="Arial" w:cs="Arial" w:eastAsia="Arial" w:hAnsi="Arial"/>
          <w:sz w:val="17"/>
          <w:szCs w:val="17"/>
          <w:color w:val="auto"/>
        </w:rPr>
        <w:t>The Series A Warrants are exercisable for a period of seven years at an exercise price of $2.00 per share. The Series A Warrants are exercisable on a cashless basis. In addition, the warrants are subject to anti-dilution adjustments and protections in the event of stock splits and stock dividends, subsequent equity sales entitling persons to acquire shares of common stock at an effective price per share that is lower than the then exercise price of the warrants and subsequent rights offerings, in the event we issue rights, options or warrant to all holders of common stock and not to the warrant holders, pro rata distributions of assets or indebtedness and fundamental transactions, such as a merger, consolidation or recapitalization. The anti-dilution adjustment shall apply the lowest sale price as being the adjusted option price or conversion ratio for existing shareholders.</w:t>
      </w:r>
    </w:p>
    <w:p>
      <w:pPr>
        <w:spacing w:after="0" w:line="232" w:lineRule="exact"/>
        <w:rPr>
          <w:sz w:val="20"/>
          <w:szCs w:val="20"/>
          <w:color w:val="auto"/>
        </w:rPr>
      </w:pPr>
    </w:p>
    <w:p>
      <w:pPr>
        <w:jc w:val="both"/>
        <w:ind w:firstLine="648"/>
        <w:spacing w:after="0" w:line="254" w:lineRule="auto"/>
        <w:rPr>
          <w:sz w:val="20"/>
          <w:szCs w:val="20"/>
          <w:color w:val="auto"/>
        </w:rPr>
      </w:pPr>
      <w:r>
        <w:rPr>
          <w:rFonts w:ascii="Arial" w:cs="Arial" w:eastAsia="Arial" w:hAnsi="Arial"/>
          <w:sz w:val="18"/>
          <w:szCs w:val="18"/>
          <w:color w:val="auto"/>
        </w:rPr>
        <w:t>The Registration Rights Agreement between us and the selling stockholders, which, as amended, requires the Company to make the requisite SEC filings to achieve and subsequently maintain the effectiveness of a registration statement covering the common stock issuable upon exercise of the Series A Preferred shares generally on or before February 6, 2009. Failure to file a required registration statement or to achieve or subsequently maintain the effectiveness of a required registration statement through the required time will subject the Company to liquidated damages equal to one percent (1.0%) of the face value of the Series A Preferred Shares then held by such holder on such date and one-half percent (0.5%) of the face value of the Series A Preferred then held by such holder for each calendar month or portion thereof thereafter from the event date until cured. In no event shall the amount of liquidated damages payable at any time and from time to time to any holder exceed an aggregate of six percent (6.0%) of the face value of the Series A Preferred then held by such holder.</w:t>
      </w:r>
    </w:p>
    <w:p>
      <w:pPr>
        <w:spacing w:after="0" w:line="24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PLAN OF DISTRIBUTION</w:t>
      </w:r>
    </w:p>
    <w:p>
      <w:pPr>
        <w:spacing w:after="0" w:line="283"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The selling security holders and any of their pledgees, donees, assignees and successors-in-interest may, from time to time, sell any or all of their shares of common stock being offered under this prospectus on any stock exchange, market or trading facility on which shares of our common stock are traded or in private transactions. These sales may be at fixed or negotiated prices. The selling security holders may use any one or more of the following methods when disposing of shares:</w:t>
      </w:r>
    </w:p>
    <w:p>
      <w:pPr>
        <w:spacing w:after="0" w:line="241" w:lineRule="exact"/>
        <w:rPr>
          <w:sz w:val="20"/>
          <w:szCs w:val="20"/>
          <w:color w:val="auto"/>
        </w:rPr>
      </w:pPr>
    </w:p>
    <w:p>
      <w:pPr>
        <w:ind w:left="580" w:hanging="326"/>
        <w:spacing w:after="0"/>
        <w:tabs>
          <w:tab w:leader="none" w:pos="580" w:val="left"/>
        </w:tabs>
        <w:numPr>
          <w:ilvl w:val="0"/>
          <w:numId w:val="19"/>
        </w:numPr>
        <w:rPr>
          <w:rFonts w:ascii="Arial" w:cs="Arial" w:eastAsia="Arial" w:hAnsi="Arial"/>
          <w:sz w:val="18"/>
          <w:szCs w:val="18"/>
          <w:color w:val="auto"/>
        </w:rPr>
      </w:pPr>
      <w:r>
        <w:rPr>
          <w:rFonts w:ascii="Arial" w:cs="Arial" w:eastAsia="Arial" w:hAnsi="Arial"/>
          <w:sz w:val="18"/>
          <w:szCs w:val="18"/>
          <w:color w:val="auto"/>
        </w:rPr>
        <w:t>ordinary brokerage transactions and transactions in which the broker-dealer solicits purchasers;</w:t>
      </w:r>
    </w:p>
    <w:p>
      <w:pPr>
        <w:spacing w:after="0" w:line="279" w:lineRule="exact"/>
        <w:rPr>
          <w:rFonts w:ascii="Arial" w:cs="Arial" w:eastAsia="Arial" w:hAnsi="Arial"/>
          <w:sz w:val="18"/>
          <w:szCs w:val="18"/>
          <w:color w:val="auto"/>
        </w:rPr>
      </w:pPr>
    </w:p>
    <w:p>
      <w:pPr>
        <w:ind w:left="580" w:right="60" w:hanging="326"/>
        <w:spacing w:after="0" w:line="277" w:lineRule="auto"/>
        <w:tabs>
          <w:tab w:leader="none" w:pos="580" w:val="left"/>
        </w:tabs>
        <w:numPr>
          <w:ilvl w:val="0"/>
          <w:numId w:val="19"/>
        </w:numPr>
        <w:rPr>
          <w:rFonts w:ascii="Arial" w:cs="Arial" w:eastAsia="Arial" w:hAnsi="Arial"/>
          <w:sz w:val="18"/>
          <w:szCs w:val="18"/>
          <w:color w:val="auto"/>
        </w:rPr>
      </w:pPr>
      <w:r>
        <w:rPr>
          <w:rFonts w:ascii="Arial" w:cs="Arial" w:eastAsia="Arial" w:hAnsi="Arial"/>
          <w:sz w:val="18"/>
          <w:szCs w:val="18"/>
          <w:color w:val="auto"/>
        </w:rPr>
        <w:t>block trades in which the broker-dealer will attempt to sell the shares as agent but may position and resell a portion of the block as principal to facilitate the transaction;</w:t>
      </w:r>
    </w:p>
    <w:p>
      <w:pPr>
        <w:spacing w:after="0" w:line="224" w:lineRule="exact"/>
        <w:rPr>
          <w:rFonts w:ascii="Arial" w:cs="Arial" w:eastAsia="Arial" w:hAnsi="Arial"/>
          <w:sz w:val="18"/>
          <w:szCs w:val="18"/>
          <w:color w:val="auto"/>
        </w:rPr>
      </w:pPr>
    </w:p>
    <w:p>
      <w:pPr>
        <w:ind w:left="580" w:hanging="326"/>
        <w:spacing w:after="0"/>
        <w:tabs>
          <w:tab w:leader="none" w:pos="580" w:val="left"/>
        </w:tabs>
        <w:numPr>
          <w:ilvl w:val="0"/>
          <w:numId w:val="19"/>
        </w:numPr>
        <w:rPr>
          <w:rFonts w:ascii="Arial" w:cs="Arial" w:eastAsia="Arial" w:hAnsi="Arial"/>
          <w:sz w:val="18"/>
          <w:szCs w:val="18"/>
          <w:color w:val="auto"/>
        </w:rPr>
      </w:pPr>
      <w:r>
        <w:rPr>
          <w:rFonts w:ascii="Arial" w:cs="Arial" w:eastAsia="Arial" w:hAnsi="Arial"/>
          <w:sz w:val="18"/>
          <w:szCs w:val="18"/>
          <w:color w:val="auto"/>
        </w:rPr>
        <w:t>purchases by a broker-dealer as principal and resales by the broker-dealer for its account;</w:t>
      </w:r>
    </w:p>
    <w:p>
      <w:pPr>
        <w:spacing w:after="0" w:line="279" w:lineRule="exact"/>
        <w:rPr>
          <w:rFonts w:ascii="Arial" w:cs="Arial" w:eastAsia="Arial" w:hAnsi="Arial"/>
          <w:sz w:val="18"/>
          <w:szCs w:val="18"/>
          <w:color w:val="auto"/>
        </w:rPr>
      </w:pPr>
    </w:p>
    <w:p>
      <w:pPr>
        <w:ind w:left="580" w:hanging="326"/>
        <w:spacing w:after="0"/>
        <w:tabs>
          <w:tab w:leader="none" w:pos="580" w:val="left"/>
        </w:tabs>
        <w:numPr>
          <w:ilvl w:val="0"/>
          <w:numId w:val="19"/>
        </w:numPr>
        <w:rPr>
          <w:rFonts w:ascii="Arial" w:cs="Arial" w:eastAsia="Arial" w:hAnsi="Arial"/>
          <w:sz w:val="18"/>
          <w:szCs w:val="18"/>
          <w:color w:val="auto"/>
        </w:rPr>
      </w:pPr>
      <w:r>
        <w:rPr>
          <w:rFonts w:ascii="Arial" w:cs="Arial" w:eastAsia="Arial" w:hAnsi="Arial"/>
          <w:sz w:val="18"/>
          <w:szCs w:val="18"/>
          <w:color w:val="auto"/>
        </w:rPr>
        <w:t>an exchange distribution in accordance with the rules of the applicable exchange;</w:t>
      </w:r>
    </w:p>
    <w:p>
      <w:pPr>
        <w:spacing w:after="0" w:line="279" w:lineRule="exact"/>
        <w:rPr>
          <w:rFonts w:ascii="Arial" w:cs="Arial" w:eastAsia="Arial" w:hAnsi="Arial"/>
          <w:sz w:val="18"/>
          <w:szCs w:val="18"/>
          <w:color w:val="auto"/>
        </w:rPr>
      </w:pPr>
    </w:p>
    <w:p>
      <w:pPr>
        <w:ind w:left="580" w:hanging="326"/>
        <w:spacing w:after="0"/>
        <w:tabs>
          <w:tab w:leader="none" w:pos="580" w:val="left"/>
        </w:tabs>
        <w:numPr>
          <w:ilvl w:val="0"/>
          <w:numId w:val="19"/>
        </w:numPr>
        <w:rPr>
          <w:rFonts w:ascii="Arial" w:cs="Arial" w:eastAsia="Arial" w:hAnsi="Arial"/>
          <w:sz w:val="18"/>
          <w:szCs w:val="18"/>
          <w:color w:val="auto"/>
        </w:rPr>
      </w:pPr>
      <w:r>
        <w:rPr>
          <w:rFonts w:ascii="Arial" w:cs="Arial" w:eastAsia="Arial" w:hAnsi="Arial"/>
          <w:sz w:val="18"/>
          <w:szCs w:val="18"/>
          <w:color w:val="auto"/>
        </w:rPr>
        <w:t>privately negotiated transactions;</w:t>
      </w:r>
    </w:p>
    <w:p>
      <w:pPr>
        <w:spacing w:after="0" w:line="279" w:lineRule="exact"/>
        <w:rPr>
          <w:rFonts w:ascii="Arial" w:cs="Arial" w:eastAsia="Arial" w:hAnsi="Arial"/>
          <w:sz w:val="18"/>
          <w:szCs w:val="18"/>
          <w:color w:val="auto"/>
        </w:rPr>
      </w:pPr>
    </w:p>
    <w:p>
      <w:pPr>
        <w:ind w:left="580" w:hanging="326"/>
        <w:spacing w:after="0"/>
        <w:tabs>
          <w:tab w:leader="none" w:pos="580" w:val="left"/>
        </w:tabs>
        <w:numPr>
          <w:ilvl w:val="0"/>
          <w:numId w:val="19"/>
        </w:numPr>
        <w:rPr>
          <w:rFonts w:ascii="Arial" w:cs="Arial" w:eastAsia="Arial" w:hAnsi="Arial"/>
          <w:sz w:val="16"/>
          <w:szCs w:val="16"/>
          <w:color w:val="auto"/>
        </w:rPr>
      </w:pPr>
      <w:r>
        <w:rPr>
          <w:rFonts w:ascii="Arial" w:cs="Arial" w:eastAsia="Arial" w:hAnsi="Arial"/>
          <w:sz w:val="16"/>
          <w:szCs w:val="16"/>
          <w:color w:val="auto"/>
        </w:rPr>
        <w:t>to cover short sales made after the date that the registration statement of which this prospectus is a part is declared effective by the Commission;</w:t>
      </w:r>
    </w:p>
    <w:p>
      <w:pPr>
        <w:spacing w:after="0" w:line="302" w:lineRule="exact"/>
        <w:rPr>
          <w:rFonts w:ascii="Arial" w:cs="Arial" w:eastAsia="Arial" w:hAnsi="Arial"/>
          <w:sz w:val="16"/>
          <w:szCs w:val="16"/>
          <w:color w:val="auto"/>
        </w:rPr>
      </w:pPr>
    </w:p>
    <w:p>
      <w:pPr>
        <w:ind w:left="580" w:hanging="326"/>
        <w:spacing w:after="0"/>
        <w:tabs>
          <w:tab w:leader="none" w:pos="580" w:val="left"/>
        </w:tabs>
        <w:numPr>
          <w:ilvl w:val="0"/>
          <w:numId w:val="19"/>
        </w:numPr>
        <w:rPr>
          <w:rFonts w:ascii="Arial" w:cs="Arial" w:eastAsia="Arial" w:hAnsi="Arial"/>
          <w:sz w:val="18"/>
          <w:szCs w:val="18"/>
          <w:color w:val="auto"/>
        </w:rPr>
      </w:pPr>
      <w:r>
        <w:rPr>
          <w:rFonts w:ascii="Arial" w:cs="Arial" w:eastAsia="Arial" w:hAnsi="Arial"/>
          <w:sz w:val="18"/>
          <w:szCs w:val="18"/>
          <w:color w:val="auto"/>
        </w:rPr>
        <w:t>broker-dealers may agree with the selling security holders to sell a specified number of such shares at a stipulated price per share;</w:t>
      </w:r>
    </w:p>
    <w:p>
      <w:pPr>
        <w:spacing w:after="0" w:line="279" w:lineRule="exact"/>
        <w:rPr>
          <w:rFonts w:ascii="Arial" w:cs="Arial" w:eastAsia="Arial" w:hAnsi="Arial"/>
          <w:sz w:val="18"/>
          <w:szCs w:val="18"/>
          <w:color w:val="auto"/>
        </w:rPr>
      </w:pPr>
    </w:p>
    <w:p>
      <w:pPr>
        <w:ind w:left="580" w:hanging="326"/>
        <w:spacing w:after="0"/>
        <w:tabs>
          <w:tab w:leader="none" w:pos="580" w:val="left"/>
        </w:tabs>
        <w:numPr>
          <w:ilvl w:val="0"/>
          <w:numId w:val="19"/>
        </w:numPr>
        <w:rPr>
          <w:rFonts w:ascii="Arial" w:cs="Arial" w:eastAsia="Arial" w:hAnsi="Arial"/>
          <w:sz w:val="18"/>
          <w:szCs w:val="18"/>
          <w:color w:val="auto"/>
        </w:rPr>
      </w:pPr>
      <w:r>
        <w:rPr>
          <w:rFonts w:ascii="Arial" w:cs="Arial" w:eastAsia="Arial" w:hAnsi="Arial"/>
          <w:sz w:val="18"/>
          <w:szCs w:val="18"/>
          <w:color w:val="auto"/>
        </w:rPr>
        <w:t>a combination of any of these methods of sale; and</w:t>
      </w:r>
    </w:p>
    <w:p>
      <w:pPr>
        <w:spacing w:after="0" w:line="279" w:lineRule="exact"/>
        <w:rPr>
          <w:rFonts w:ascii="Arial" w:cs="Arial" w:eastAsia="Arial" w:hAnsi="Arial"/>
          <w:sz w:val="18"/>
          <w:szCs w:val="18"/>
          <w:color w:val="auto"/>
        </w:rPr>
      </w:pPr>
    </w:p>
    <w:p>
      <w:pPr>
        <w:ind w:left="580" w:hanging="326"/>
        <w:spacing w:after="0"/>
        <w:tabs>
          <w:tab w:leader="none" w:pos="580" w:val="left"/>
        </w:tabs>
        <w:numPr>
          <w:ilvl w:val="0"/>
          <w:numId w:val="19"/>
        </w:numPr>
        <w:rPr>
          <w:rFonts w:ascii="Arial" w:cs="Arial" w:eastAsia="Arial" w:hAnsi="Arial"/>
          <w:sz w:val="18"/>
          <w:szCs w:val="18"/>
          <w:color w:val="auto"/>
        </w:rPr>
      </w:pPr>
      <w:r>
        <w:rPr>
          <w:rFonts w:ascii="Arial" w:cs="Arial" w:eastAsia="Arial" w:hAnsi="Arial"/>
          <w:sz w:val="18"/>
          <w:szCs w:val="18"/>
          <w:color w:val="auto"/>
        </w:rPr>
        <w:t>any other method permitted pursuant to applicable law.</w:t>
      </w:r>
    </w:p>
    <w:p>
      <w:pPr>
        <w:spacing w:after="0" w:line="200" w:lineRule="exact"/>
        <w:rPr>
          <w:sz w:val="20"/>
          <w:szCs w:val="20"/>
          <w:color w:val="auto"/>
        </w:rPr>
      </w:pPr>
    </w:p>
    <w:p>
      <w:pPr>
        <w:spacing w:after="0" w:line="32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246620" cy="889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638" w:right="239" w:bottom="1440" w:gutter="0" w:footer="0" w:header="0"/>
        </w:sectPr>
      </w:pPr>
    </w:p>
    <w:bookmarkStart w:id="21" w:name="page22"/>
    <w:bookmarkEnd w:id="21"/>
    <w:p>
      <w:pPr>
        <w:jc w:val="both"/>
        <w:ind w:firstLine="648"/>
        <w:spacing w:after="0" w:line="264" w:lineRule="auto"/>
        <w:rPr>
          <w:sz w:val="20"/>
          <w:szCs w:val="20"/>
          <w:color w:val="auto"/>
        </w:rPr>
      </w:pPr>
      <w:r>
        <w:rPr>
          <w:rFonts w:ascii="Arial" w:cs="Arial" w:eastAsia="Arial" w:hAnsi="Arial"/>
          <w:sz w:val="18"/>
          <w:szCs w:val="18"/>
          <w:color w:val="auto"/>
        </w:rPr>
        <w:t>The shares may also be sold under Rule 144 under the Securities Act of 1933, as amended (“Securities Act”), if available, rather than under this prospectus. The selling security holders have the sole and absolute discretion not to accept any purchase offer or make any sale of shares if they deem the purchase price to be unsatisfactory at any particular time.</w:t>
      </w:r>
    </w:p>
    <w:p>
      <w:pPr>
        <w:spacing w:after="0" w:line="235"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The selling security holders may pledge their shares to their brokers under the margin provisions of customer agreements. If a selling security holder defaults on a margin loan, the broker may, from time to time, offer and sell the pledged shares.</w:t>
      </w:r>
    </w:p>
    <w:p>
      <w:pPr>
        <w:spacing w:after="0" w:line="224" w:lineRule="exact"/>
        <w:rPr>
          <w:sz w:val="20"/>
          <w:szCs w:val="20"/>
          <w:color w:val="auto"/>
        </w:rPr>
      </w:pPr>
    </w:p>
    <w:p>
      <w:pPr>
        <w:jc w:val="both"/>
        <w:ind w:firstLine="648"/>
        <w:spacing w:after="0" w:line="312" w:lineRule="auto"/>
        <w:rPr>
          <w:sz w:val="20"/>
          <w:szCs w:val="20"/>
          <w:color w:val="auto"/>
        </w:rPr>
      </w:pPr>
      <w:r>
        <w:rPr>
          <w:rFonts w:ascii="Arial" w:cs="Arial" w:eastAsia="Arial" w:hAnsi="Arial"/>
          <w:sz w:val="16"/>
          <w:szCs w:val="16"/>
          <w:color w:val="auto"/>
        </w:rPr>
        <w:t>Broker-dealers engaged by the selling security holders may arrange for other broker-dealers to participate in sales. Broker-dealers may receive commissions or discounts from the selling security holders (or, if any broker-dealer acts as agent for the purchaser of shares, from the purchaser) in amounts to be negotiated, which commissions as to a particular broker or dealer may be in excess of customary commissions to the extent permitted by applicable law.</w:t>
      </w:r>
    </w:p>
    <w:p>
      <w:pPr>
        <w:spacing w:after="0" w:line="201"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18"/>
          <w:szCs w:val="18"/>
          <w:color w:val="auto"/>
        </w:rPr>
        <w:t>If sales of shares offered under this prospectus are made to broker-dealers as principals, we would be required to file a post-effective amendment to the registration statement of which this prospectus is a part. In the post-effective amendment, we would be required to disclose the names of any participating broker-dealers and the compensation arrangements relating to such sales.</w:t>
      </w:r>
    </w:p>
    <w:p>
      <w:pPr>
        <w:spacing w:after="0" w:line="235" w:lineRule="exact"/>
        <w:rPr>
          <w:sz w:val="20"/>
          <w:szCs w:val="20"/>
          <w:color w:val="auto"/>
        </w:rPr>
      </w:pPr>
    </w:p>
    <w:p>
      <w:pPr>
        <w:jc w:val="both"/>
        <w:ind w:firstLine="648"/>
        <w:spacing w:after="0" w:line="273" w:lineRule="auto"/>
        <w:rPr>
          <w:sz w:val="20"/>
          <w:szCs w:val="20"/>
          <w:color w:val="auto"/>
        </w:rPr>
      </w:pPr>
      <w:r>
        <w:rPr>
          <w:rFonts w:ascii="Arial" w:cs="Arial" w:eastAsia="Arial" w:hAnsi="Arial"/>
          <w:sz w:val="17"/>
          <w:szCs w:val="17"/>
          <w:color w:val="auto"/>
        </w:rPr>
        <w:t>The selling security holders and any broker-dealers or agents that are involved in selling the shares offered under this prospectus may be deemed to be “underwriters” within the meaning of the Securities Act in connection with these sales. Commissions received by these broker-dealers or agents and any profit on the resale of the shares purchased by them may be deemed to be underwriting commissions or discounts under the Securities Act. Any broker-dealers or agents that are deemed to be underwriters may not sell shares offered under this prospectus unless and until we set forth the names of the underwriters and the material details of their underwriting arrangements in a supplement to this prospectus or, if required, in a replacement prospectus included in a post-effective amendment to the registration statement of which this prospectus is a part.</w:t>
      </w:r>
    </w:p>
    <w:p>
      <w:pPr>
        <w:spacing w:after="0" w:line="232" w:lineRule="exact"/>
        <w:rPr>
          <w:sz w:val="20"/>
          <w:szCs w:val="20"/>
          <w:color w:val="auto"/>
        </w:rPr>
      </w:pPr>
    </w:p>
    <w:p>
      <w:pPr>
        <w:jc w:val="both"/>
        <w:ind w:firstLine="648"/>
        <w:spacing w:after="0" w:line="255" w:lineRule="auto"/>
        <w:rPr>
          <w:sz w:val="20"/>
          <w:szCs w:val="20"/>
          <w:color w:val="auto"/>
        </w:rPr>
      </w:pPr>
      <w:r>
        <w:rPr>
          <w:rFonts w:ascii="Arial" w:cs="Arial" w:eastAsia="Arial" w:hAnsi="Arial"/>
          <w:sz w:val="18"/>
          <w:szCs w:val="18"/>
          <w:color w:val="auto"/>
        </w:rPr>
        <w:t>The selling security holders and any other persons participating in the sale or distribution of the shares offered under this prospectus will be subject to applicable provisions of the Exchange Act, and the rules and regulations under that act, including Regulation M. These provisions may restrict activities of, and limit the timing of purchases and sales of any of the shares by, the selling security holders or any other person. Furthermore, under Regulation M, persons engaged in a distribution of securities are prohibited from simultaneously engaging in market making and other activities with respect to those securities for a specified period of time prior to the commencement of such distributions, subject to specified exceptions or exemptions. All of these limitations may affect the marketability of the shares.</w:t>
      </w:r>
    </w:p>
    <w:p>
      <w:pPr>
        <w:spacing w:after="0" w:line="247" w:lineRule="exact"/>
        <w:rPr>
          <w:sz w:val="20"/>
          <w:szCs w:val="20"/>
          <w:color w:val="auto"/>
        </w:rPr>
      </w:pPr>
    </w:p>
    <w:p>
      <w:pPr>
        <w:jc w:val="both"/>
        <w:ind w:firstLine="648"/>
        <w:spacing w:after="0" w:line="286" w:lineRule="auto"/>
        <w:rPr>
          <w:sz w:val="20"/>
          <w:szCs w:val="20"/>
          <w:color w:val="auto"/>
        </w:rPr>
      </w:pPr>
      <w:r>
        <w:rPr>
          <w:rFonts w:ascii="Arial" w:cs="Arial" w:eastAsia="Arial" w:hAnsi="Arial"/>
          <w:sz w:val="17"/>
          <w:szCs w:val="17"/>
          <w:color w:val="auto"/>
        </w:rPr>
        <w:t>If any of the shares of common stock offered for sale pursuant to this prospectus are transferred other than pursuant to a sale under this prospectus, then subsequent holders could not use this prospectus until a post-effective amendment or prospectus supplement is filed, naming such holders. We offer no assurance as to whether any of the selling security holders will sell all or any portion of the shares offered under this prospectus.</w:t>
      </w:r>
    </w:p>
    <w:p>
      <w:pPr>
        <w:spacing w:after="0" w:line="220" w:lineRule="exact"/>
        <w:rPr>
          <w:sz w:val="20"/>
          <w:szCs w:val="20"/>
          <w:color w:val="auto"/>
        </w:rPr>
      </w:pPr>
    </w:p>
    <w:p>
      <w:pPr>
        <w:jc w:val="both"/>
        <w:ind w:firstLine="648"/>
        <w:spacing w:after="0" w:line="308" w:lineRule="auto"/>
        <w:rPr>
          <w:sz w:val="20"/>
          <w:szCs w:val="20"/>
          <w:color w:val="auto"/>
        </w:rPr>
      </w:pPr>
      <w:r>
        <w:rPr>
          <w:rFonts w:ascii="Arial" w:cs="Arial" w:eastAsia="Arial" w:hAnsi="Arial"/>
          <w:sz w:val="17"/>
          <w:szCs w:val="17"/>
          <w:color w:val="auto"/>
        </w:rPr>
        <w:t>We have agreed to pay all fees and expenses we incur incident to the registration of the shares being offered under this prospectus. However, each selling security holder and purchaser is responsible for paying any discounts, commissions and similar selling expenses they incur.</w:t>
      </w:r>
    </w:p>
    <w:p>
      <w:pPr>
        <w:spacing w:after="0" w:line="201"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We and the selling security holders have agreed to indemnify one another against certain losses, damages and liabilities arising in connection with this prospectus, including liabilities under the Securities Act.</w:t>
      </w:r>
    </w:p>
    <w:p>
      <w:pPr>
        <w:spacing w:after="0" w:line="22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Penny Stock</w:t>
      </w:r>
    </w:p>
    <w:p>
      <w:pPr>
        <w:spacing w:after="0" w:line="283"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18"/>
          <w:szCs w:val="18"/>
          <w:color w:val="auto"/>
        </w:rPr>
        <w:t>The Commission has adopted Rule 15g-9 which establishes the definition of a "penny stock," for the purposes relevant to us, as any equity security that has a market price of less than $5.00 per share or with an exercise price of less than $5.00 per share, subject to certain exceptions. For any transaction involving a penny stock, unless exempt, the rules require:</w:t>
      </w:r>
    </w:p>
    <w:p>
      <w:pPr>
        <w:spacing w:after="0" w:line="235" w:lineRule="exact"/>
        <w:rPr>
          <w:sz w:val="20"/>
          <w:szCs w:val="20"/>
          <w:color w:val="auto"/>
        </w:rPr>
      </w:pPr>
    </w:p>
    <w:p>
      <w:pPr>
        <w:ind w:left="1160" w:hanging="571"/>
        <w:spacing w:after="0"/>
        <w:tabs>
          <w:tab w:leader="none" w:pos="1160" w:val="left"/>
        </w:tabs>
        <w:numPr>
          <w:ilvl w:val="0"/>
          <w:numId w:val="20"/>
        </w:numPr>
        <w:rPr>
          <w:rFonts w:ascii="Arial" w:cs="Arial" w:eastAsia="Arial" w:hAnsi="Arial"/>
          <w:sz w:val="18"/>
          <w:szCs w:val="18"/>
          <w:color w:val="auto"/>
        </w:rPr>
      </w:pPr>
      <w:r>
        <w:rPr>
          <w:rFonts w:ascii="Arial" w:cs="Arial" w:eastAsia="Arial" w:hAnsi="Arial"/>
          <w:sz w:val="18"/>
          <w:szCs w:val="18"/>
          <w:color w:val="auto"/>
        </w:rPr>
        <w:t>that a broker or dealer approve a person's account for transactions in penny stocks; and</w:t>
      </w:r>
    </w:p>
    <w:p>
      <w:pPr>
        <w:spacing w:after="0" w:line="23" w:lineRule="exact"/>
        <w:rPr>
          <w:rFonts w:ascii="Arial" w:cs="Arial" w:eastAsia="Arial" w:hAnsi="Arial"/>
          <w:sz w:val="18"/>
          <w:szCs w:val="18"/>
          <w:color w:val="auto"/>
        </w:rPr>
      </w:pPr>
    </w:p>
    <w:p>
      <w:pPr>
        <w:ind w:left="1160" w:right="100" w:hanging="571"/>
        <w:spacing w:after="0" w:line="261" w:lineRule="auto"/>
        <w:tabs>
          <w:tab w:leader="none" w:pos="1160" w:val="left"/>
        </w:tabs>
        <w:numPr>
          <w:ilvl w:val="0"/>
          <w:numId w:val="20"/>
        </w:numPr>
        <w:rPr>
          <w:rFonts w:ascii="Arial" w:cs="Arial" w:eastAsia="Arial" w:hAnsi="Arial"/>
          <w:sz w:val="18"/>
          <w:szCs w:val="18"/>
          <w:color w:val="auto"/>
        </w:rPr>
      </w:pPr>
      <w:r>
        <w:rPr>
          <w:rFonts w:ascii="Arial" w:cs="Arial" w:eastAsia="Arial" w:hAnsi="Arial"/>
          <w:sz w:val="18"/>
          <w:szCs w:val="18"/>
          <w:color w:val="auto"/>
        </w:rPr>
        <w:t>the broker or dealer receive from the investor a written agreement to the transaction, setting forth the identity and quantity of the penny stock to be purchased.</w:t>
      </w:r>
    </w:p>
    <w:p>
      <w:pPr>
        <w:spacing w:after="0" w:line="238" w:lineRule="exact"/>
        <w:rPr>
          <w:sz w:val="20"/>
          <w:szCs w:val="20"/>
          <w:color w:val="auto"/>
        </w:rPr>
      </w:pPr>
    </w:p>
    <w:p>
      <w:pPr>
        <w:ind w:left="660"/>
        <w:spacing w:after="0"/>
        <w:rPr>
          <w:sz w:val="20"/>
          <w:szCs w:val="20"/>
          <w:color w:val="auto"/>
        </w:rPr>
      </w:pPr>
      <w:r>
        <w:rPr>
          <w:rFonts w:ascii="Arial" w:cs="Arial" w:eastAsia="Arial" w:hAnsi="Arial"/>
          <w:sz w:val="18"/>
          <w:szCs w:val="18"/>
          <w:color w:val="auto"/>
        </w:rPr>
        <w:t>In order to approve a person's account for transactions in penny stocks, the broker or dealer must</w:t>
      </w:r>
    </w:p>
    <w:p>
      <w:pPr>
        <w:spacing w:after="0" w:line="279" w:lineRule="exact"/>
        <w:rPr>
          <w:sz w:val="20"/>
          <w:szCs w:val="20"/>
          <w:color w:val="auto"/>
        </w:rPr>
      </w:pPr>
    </w:p>
    <w:p>
      <w:pPr>
        <w:ind w:left="1160" w:hanging="571"/>
        <w:spacing w:after="0"/>
        <w:tabs>
          <w:tab w:leader="none" w:pos="1160" w:val="left"/>
        </w:tabs>
        <w:numPr>
          <w:ilvl w:val="0"/>
          <w:numId w:val="21"/>
        </w:numPr>
        <w:rPr>
          <w:rFonts w:ascii="Arial" w:cs="Arial" w:eastAsia="Arial" w:hAnsi="Arial"/>
          <w:sz w:val="18"/>
          <w:szCs w:val="18"/>
          <w:color w:val="auto"/>
        </w:rPr>
      </w:pPr>
      <w:r>
        <w:rPr>
          <w:rFonts w:ascii="Arial" w:cs="Arial" w:eastAsia="Arial" w:hAnsi="Arial"/>
          <w:sz w:val="18"/>
          <w:szCs w:val="18"/>
          <w:color w:val="auto"/>
        </w:rPr>
        <w:t>obtain financial information and investment experience objectives of the person; and</w:t>
      </w:r>
    </w:p>
    <w:p>
      <w:pPr>
        <w:spacing w:after="0" w:line="23" w:lineRule="exact"/>
        <w:rPr>
          <w:rFonts w:ascii="Arial" w:cs="Arial" w:eastAsia="Arial" w:hAnsi="Arial"/>
          <w:sz w:val="18"/>
          <w:szCs w:val="18"/>
          <w:color w:val="auto"/>
        </w:rPr>
      </w:pPr>
    </w:p>
    <w:p>
      <w:pPr>
        <w:ind w:left="1160" w:right="20" w:hanging="571"/>
        <w:spacing w:after="0" w:line="261" w:lineRule="auto"/>
        <w:tabs>
          <w:tab w:leader="none" w:pos="1160" w:val="left"/>
        </w:tabs>
        <w:numPr>
          <w:ilvl w:val="0"/>
          <w:numId w:val="21"/>
        </w:numPr>
        <w:rPr>
          <w:rFonts w:ascii="Arial" w:cs="Arial" w:eastAsia="Arial" w:hAnsi="Arial"/>
          <w:sz w:val="18"/>
          <w:szCs w:val="18"/>
          <w:color w:val="auto"/>
        </w:rPr>
      </w:pPr>
      <w:r>
        <w:rPr>
          <w:rFonts w:ascii="Arial" w:cs="Arial" w:eastAsia="Arial" w:hAnsi="Arial"/>
          <w:sz w:val="18"/>
          <w:szCs w:val="18"/>
          <w:color w:val="auto"/>
        </w:rPr>
        <w:t>make a reasonable determination that the transactions in penny stocks are suitable for that person and the person has sufficient knowledge and experience in financial matters to be capable of evaluating the risks of transactions in penny stocks.</w:t>
      </w:r>
    </w:p>
    <w:p>
      <w:pPr>
        <w:spacing w:after="0" w:line="200" w:lineRule="exact"/>
        <w:rPr>
          <w:sz w:val="20"/>
          <w:szCs w:val="20"/>
          <w:color w:val="auto"/>
        </w:rPr>
      </w:pPr>
    </w:p>
    <w:p>
      <w:pPr>
        <w:spacing w:after="0" w:line="28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246620" cy="889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638" w:right="239" w:bottom="1440" w:gutter="0" w:footer="0" w:header="0"/>
        </w:sectPr>
      </w:pPr>
    </w:p>
    <w:bookmarkStart w:id="22" w:name="page23"/>
    <w:bookmarkEnd w:id="22"/>
    <w:p>
      <w:pPr>
        <w:ind w:right="20" w:firstLine="648"/>
        <w:spacing w:after="0" w:line="277" w:lineRule="auto"/>
        <w:rPr>
          <w:sz w:val="20"/>
          <w:szCs w:val="20"/>
          <w:color w:val="auto"/>
        </w:rPr>
      </w:pPr>
      <w:r>
        <w:rPr>
          <w:rFonts w:ascii="Arial" w:cs="Arial" w:eastAsia="Arial" w:hAnsi="Arial"/>
          <w:sz w:val="18"/>
          <w:szCs w:val="18"/>
          <w:color w:val="auto"/>
        </w:rPr>
        <w:t>The broker or dealer must also deliver, prior to any transaction in a penny stock, a disclosure schedule prescribed by the Commission relating to the penny stock market, which, in highlight form:</w:t>
      </w:r>
    </w:p>
    <w:p>
      <w:pPr>
        <w:spacing w:after="0" w:line="224" w:lineRule="exact"/>
        <w:rPr>
          <w:sz w:val="20"/>
          <w:szCs w:val="20"/>
          <w:color w:val="auto"/>
        </w:rPr>
      </w:pPr>
    </w:p>
    <w:p>
      <w:pPr>
        <w:ind w:left="1160" w:hanging="571"/>
        <w:spacing w:after="0"/>
        <w:tabs>
          <w:tab w:leader="none" w:pos="1160" w:val="left"/>
        </w:tabs>
        <w:numPr>
          <w:ilvl w:val="0"/>
          <w:numId w:val="22"/>
        </w:numPr>
        <w:rPr>
          <w:rFonts w:ascii="Arial" w:cs="Arial" w:eastAsia="Arial" w:hAnsi="Arial"/>
          <w:sz w:val="18"/>
          <w:szCs w:val="18"/>
          <w:color w:val="auto"/>
        </w:rPr>
      </w:pPr>
      <w:r>
        <w:rPr>
          <w:rFonts w:ascii="Arial" w:cs="Arial" w:eastAsia="Arial" w:hAnsi="Arial"/>
          <w:sz w:val="18"/>
          <w:szCs w:val="18"/>
          <w:color w:val="auto"/>
        </w:rPr>
        <w:t>sets forth the basis on which the broker or dealer made the suitability determination; and</w:t>
      </w:r>
    </w:p>
    <w:p>
      <w:pPr>
        <w:spacing w:after="0" w:line="23" w:lineRule="exact"/>
        <w:rPr>
          <w:rFonts w:ascii="Arial" w:cs="Arial" w:eastAsia="Arial" w:hAnsi="Arial"/>
          <w:sz w:val="18"/>
          <w:szCs w:val="18"/>
          <w:color w:val="auto"/>
        </w:rPr>
      </w:pPr>
    </w:p>
    <w:p>
      <w:pPr>
        <w:ind w:left="1160" w:hanging="571"/>
        <w:spacing w:after="0"/>
        <w:tabs>
          <w:tab w:leader="none" w:pos="1160" w:val="left"/>
        </w:tabs>
        <w:numPr>
          <w:ilvl w:val="0"/>
          <w:numId w:val="22"/>
        </w:numPr>
        <w:rPr>
          <w:rFonts w:ascii="Arial" w:cs="Arial" w:eastAsia="Arial" w:hAnsi="Arial"/>
          <w:sz w:val="18"/>
          <w:szCs w:val="18"/>
          <w:color w:val="auto"/>
        </w:rPr>
      </w:pPr>
      <w:r>
        <w:rPr>
          <w:rFonts w:ascii="Arial" w:cs="Arial" w:eastAsia="Arial" w:hAnsi="Arial"/>
          <w:sz w:val="18"/>
          <w:szCs w:val="18"/>
          <w:color w:val="auto"/>
        </w:rPr>
        <w:t>that the broker or dealer received a signed, written agreement from the investor prior to the transaction.</w:t>
      </w:r>
    </w:p>
    <w:p>
      <w:pPr>
        <w:spacing w:after="0" w:line="265"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Disclosure also has to be made about the risks of investing in penny stocks in both public offerings and in secondary trading and about the commissions payable to both the broker-dealer and the registered representative, current quotations for the securities and the rights and remedies available to an investor in cases of fraud in penny stock transactions. Finally, monthly statements have to be sent disclosing recent price information for the penny stock held in the account and information on the limited market in penny stocks.</w:t>
      </w:r>
    </w:p>
    <w:p>
      <w:pPr>
        <w:spacing w:after="0" w:line="23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DESCRIPTION OF SECURITIES TO BE REGISTERED</w:t>
      </w:r>
    </w:p>
    <w:p>
      <w:pPr>
        <w:spacing w:after="0" w:line="283"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18"/>
          <w:szCs w:val="18"/>
          <w:color w:val="auto"/>
        </w:rPr>
        <w:t>Our authorized capital stock consists of 500,000,000 shares of common stock at a par value of $0.001 per share and 10,000,000 shares of preferred stock at a par value of $0.001 per share. As of January 30, 2009, there were 12,126,209 shares of our common stock issued and outstanding and 35 shares of Series A Preferred Stock issued and outstanding, which are currently convertible, at the option of the holder, into an aggregate of 35,000,000 shares of our common stock, 625,000 are reserved for outstanding stock options and warrants, and 1,490,000 are reserved for future grant under the 2008 Company Stock Option Plan.</w:t>
      </w:r>
    </w:p>
    <w:p>
      <w:pPr>
        <w:spacing w:after="0" w:line="242" w:lineRule="exact"/>
        <w:rPr>
          <w:sz w:val="20"/>
          <w:szCs w:val="20"/>
          <w:color w:val="auto"/>
        </w:rPr>
      </w:pPr>
    </w:p>
    <w:p>
      <w:pPr>
        <w:jc w:val="both"/>
        <w:ind w:firstLine="648"/>
        <w:spacing w:after="0" w:line="297" w:lineRule="auto"/>
        <w:rPr>
          <w:sz w:val="20"/>
          <w:szCs w:val="20"/>
          <w:color w:val="auto"/>
        </w:rPr>
      </w:pPr>
      <w:r>
        <w:rPr>
          <w:rFonts w:ascii="Arial" w:cs="Arial" w:eastAsia="Arial" w:hAnsi="Arial"/>
          <w:sz w:val="16"/>
          <w:szCs w:val="16"/>
          <w:color w:val="auto"/>
        </w:rPr>
        <w:t>Holders of our common stock are entitled to one vote for each share on all matters submitted to a stockholder vote. Holders of common stock do not have cumulative voting rights. Therefore, holders of a majority of the shares of our common stock voting for the election of directors can elect all of the directors. Holders of our common stock representing a majority of the voting power of our capital stock issued, outstanding and entitled to vote, represented in person or by proxy, are necessary to constitute a quorum at any meeting of stockholders. A vote by the holders of a majority of our outstanding shares is required to effectuate certain fundamental corporate changes such as liquidation, merger or an amendment to our articles of incorporation.</w:t>
      </w:r>
    </w:p>
    <w:p>
      <w:pPr>
        <w:spacing w:after="0" w:line="212"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18"/>
          <w:szCs w:val="18"/>
          <w:color w:val="auto"/>
        </w:rPr>
        <w:t>Subject to the rights of our Series A Preferred Stock, holders of our common stock are entitled to share in all dividends that the board of directors, in its discretion, declares from legally available funds. In the event of liquidation, dissolution or winding up, subject to the rights of our Series A Preferred Stock, each outstanding share entitles its holder to participate pro rata in all assets that remain after payment of liabilities and after providing for each class of stock, if any, having preference over the common stock. Our common stock has no pre-emptive rights, no conversion rights and there are no redemption provisions applicable to our common stock.</w:t>
      </w:r>
    </w:p>
    <w:p>
      <w:pPr>
        <w:spacing w:after="0" w:line="242"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The rights of our common stockholders may be affected by rights, preferences and privileges of our Series A Preferred Stock. The following is a description of the rights, preferences and privileges of our Series A Preferred Stock:</w:t>
      </w:r>
    </w:p>
    <w:p>
      <w:pPr>
        <w:spacing w:after="0" w:line="224" w:lineRule="exact"/>
        <w:rPr>
          <w:sz w:val="20"/>
          <w:szCs w:val="20"/>
          <w:color w:val="auto"/>
        </w:rPr>
      </w:pPr>
    </w:p>
    <w:p>
      <w:pPr>
        <w:jc w:val="both"/>
        <w:ind w:firstLine="648"/>
        <w:spacing w:after="0" w:line="270" w:lineRule="auto"/>
        <w:rPr>
          <w:sz w:val="20"/>
          <w:szCs w:val="20"/>
          <w:color w:val="auto"/>
        </w:rPr>
      </w:pPr>
      <w:r>
        <w:rPr>
          <w:rFonts w:ascii="Arial" w:cs="Arial" w:eastAsia="Arial" w:hAnsi="Arial"/>
          <w:sz w:val="17"/>
          <w:szCs w:val="17"/>
          <w:color w:val="auto"/>
        </w:rPr>
        <w:t>Holders of the Series A Preferred Stock are entitled to receive cumulative preferred dividends at the rate per share of 10% per annum, payable on the first day of September and February of each year. So long as certain equity conditions are met, we may elect to pay dividends in either (i) cash, or (ii) shares of our common stock. If we pay in shares of common stock, and if the shares of common stock are registered for sale by the selling stockholders; provided, however, we shall not be permitted to issue registered shares of common stock as dividend payments in the event that the market price is less than $0.50. In addition, we must make dividend payments in cash if we are unable to make dividend payments in shares of common stock that are eligible for public resale by the Holder under an effective registration statement covering such shares. The number of shares of common stock to be issued as payment of a dividend shall be determined by dividing (i) the total amount of the dividend to be paid in common stock by (ii) ninety percent (90%) of the average closing price of the common stock for the five-(5) day period prior to such date on the Pink Sheets as reported by Bloomberg Financial L.P., the Pink Sheets if not reported on Bloomberg Financial, or other eligible market on which the common stock trades on.</w:t>
      </w:r>
    </w:p>
    <w:p>
      <w:pPr>
        <w:spacing w:after="0" w:line="236" w:lineRule="exact"/>
        <w:rPr>
          <w:sz w:val="20"/>
          <w:szCs w:val="20"/>
          <w:color w:val="auto"/>
        </w:rPr>
      </w:pPr>
    </w:p>
    <w:p>
      <w:pPr>
        <w:jc w:val="both"/>
        <w:ind w:firstLine="648"/>
        <w:spacing w:after="0" w:line="268" w:lineRule="auto"/>
        <w:rPr>
          <w:sz w:val="20"/>
          <w:szCs w:val="20"/>
          <w:color w:val="auto"/>
        </w:rPr>
      </w:pPr>
      <w:r>
        <w:rPr>
          <w:rFonts w:ascii="Arial" w:cs="Arial" w:eastAsia="Arial" w:hAnsi="Arial"/>
          <w:sz w:val="17"/>
          <w:szCs w:val="17"/>
          <w:color w:val="auto"/>
        </w:rPr>
        <w:t>The Series A Preferred Stock has redemption rights upon the occurrence of certain triggering events, including, (i) consolidation or a merger with or into (if we are not the surviving corporation) another entity, or (ii) the selling, assignment, transfer, conveyance or disposition of all or substantially all of the properties or our assets to another entity, or (iii) allowing another person or persons to make a purchase, tender or exchange offer that is accepted by the holders of more than the 50% of the outstanding shares of voting stock (not including any shares of voting stock held by the person or persons making or party to, or associated or affiliated with the person or persons making or party to, such purchase, tender or exchange offer), or (iv) consummate a stock purchase agreement or other business combination (including, without limitation, a reorganization, recapitalization, spin-off or scheme of arrangement) with another person whereby such other person acquires more than the 50% of either the outstanding shares of voting stock (not including any shares of voting stock held by the other person or other persons making or party to, or associated or affiliated with the other Persons making or party to, such stock purchase agreement or other business combination), (v) reorganize, recapitalize or reclassify its common stock or (vi) any “person” or “group” (as these terms are used for purposes of Sections 13(d) and 14(d) of the Exchange Act) is or shall become the “beneficial owner” (as defined in Rule 13d-3 under the Exchange Act), directly or indirectly, of 50% of our aggregate voting stock. Each share of Series A Preferred Stock subject to redemption shall be redeemed by us in cash at a price equal to one hundred twenty percent (120%) of the stated value of the Series A Preferred Stock plus all accrued and unpaid dividends thereon at the time of such request. The number of shares of common stock to be issued as payment in redemption shall be determined by dividing (i) the total amount of the dividend to be paid in common stock by (ii) ninety percent (90%) of the market price of our common stock for the five (5) days immediately preceding the date of redemption.</w:t>
      </w:r>
    </w:p>
    <w:p>
      <w:pPr>
        <w:spacing w:after="0" w:line="200" w:lineRule="exact"/>
        <w:rPr>
          <w:sz w:val="20"/>
          <w:szCs w:val="20"/>
          <w:color w:val="auto"/>
        </w:rPr>
      </w:pPr>
    </w:p>
    <w:p>
      <w:pPr>
        <w:spacing w:after="0" w:line="28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246620" cy="889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638" w:right="239" w:bottom="1440" w:gutter="0" w:footer="0" w:header="0"/>
        </w:sectPr>
      </w:pPr>
    </w:p>
    <w:bookmarkStart w:id="23" w:name="page24"/>
    <w:bookmarkEnd w:id="23"/>
    <w:p>
      <w:pPr>
        <w:jc w:val="both"/>
        <w:ind w:firstLine="648"/>
        <w:spacing w:after="0" w:line="290" w:lineRule="auto"/>
        <w:rPr>
          <w:sz w:val="20"/>
          <w:szCs w:val="20"/>
          <w:color w:val="auto"/>
        </w:rPr>
      </w:pPr>
      <w:r>
        <w:rPr>
          <w:rFonts w:ascii="Arial" w:cs="Arial" w:eastAsia="Arial" w:hAnsi="Arial"/>
          <w:sz w:val="16"/>
          <w:szCs w:val="16"/>
          <w:color w:val="auto"/>
        </w:rPr>
        <w:t>The Series A Preferred Stock has voting rights. holders of shares of Series A Preferred Stock shall be entitled to vote on all matters submitted to a vote of our shareholders and shall have such number of votes equal to the number of shares of common stock into which such holders’ shares of Series A Preferred Stock are convertible pursuant to the provisions hereof and subject to the limitations on conversion contained herein, at the record date for the determination of shareholders entitled to vote on such matters or, if no such record date is established, at the date such vote is taken or any written consent of shareholders is solicited. Except as otherwise required by law, the holders of shares of Series A Preferred Stock and common stock shall vote together as a single class, and not as separate classes. In the event that the holders of the Series A Preferred Stock are required to vote separately as a class, the affirmative vote of holders of a majority of the outstanding shares of Series A Preferred Stock shall be required to approve each such matter to be voted upon, and if any matter is approved by such requisite percentage of holders of Series A Preferred Stock, such matter shall bind all holders of Series A Preferred Stock.</w:t>
      </w:r>
    </w:p>
    <w:p>
      <w:pPr>
        <w:spacing w:after="0" w:line="220" w:lineRule="exact"/>
        <w:rPr>
          <w:sz w:val="20"/>
          <w:szCs w:val="20"/>
          <w:color w:val="auto"/>
        </w:rPr>
      </w:pPr>
    </w:p>
    <w:p>
      <w:pPr>
        <w:jc w:val="both"/>
        <w:ind w:firstLine="648"/>
        <w:spacing w:after="0" w:line="286" w:lineRule="auto"/>
        <w:rPr>
          <w:sz w:val="20"/>
          <w:szCs w:val="20"/>
          <w:color w:val="auto"/>
        </w:rPr>
      </w:pPr>
      <w:r>
        <w:rPr>
          <w:rFonts w:ascii="Arial" w:cs="Arial" w:eastAsia="Arial" w:hAnsi="Arial"/>
          <w:sz w:val="16"/>
          <w:szCs w:val="16"/>
          <w:color w:val="auto"/>
        </w:rPr>
        <w:t>The Series A Preferred Stock is subject to anti-dilution adjustment in the event of stock splits and stock dividends (other than to the Series A Preferred Stock), subsequent equity sales entitling persons to acquire shares of common stock at an effective price per share that is lower than the then Conversion Price of the Series A Preferred Stock and subsequent rights offerings, in the event we issue rights, options or warrant to all holders of common stock and not to the holders of Series A Preferred Stock, pro rata distributions of assets or indebtedness and fundamental transactions, such as a merger, consolidation or recapitalization. The anti-dilution adjustment provides that, if, at any time while the Series A Preferred Stock is outstanding, if we sell or grant any option to purchase or sell or grant any right to reprice our securities, or otherwise dispose of or issue (or announce any sale, grant or any option to purchase or other disposition) any common stock or common stock equivalents entitling any person to acquire shares of common stock at an effective price per share that is lower than the then conversion price (such lower price, the "Base Conversion Price") (if the holder of the common stock or common stock equivalents so issued shall at any time, whether by operation of purchase price adjustments, reset provisions, floating conversion, exercise or exchange prices or otherwise, or due to warrants, options or rights per share which are issued in connection with such issuance, be entitled to receive shares of common stock at an effective price per share that is lower than the conversion price, such issuance shall be deemed to have occurred for less than the conversion price on such date of the dilutive issuance), then all of such shares of common stock or common stock underlying such option shall be deemed to be outstanding and to have been issued and sold by us at the time of the granting or sale of such option for such price per share.</w:t>
      </w:r>
    </w:p>
    <w:p>
      <w:pPr>
        <w:spacing w:after="0" w:line="229" w:lineRule="exact"/>
        <w:rPr>
          <w:sz w:val="20"/>
          <w:szCs w:val="20"/>
          <w:color w:val="auto"/>
        </w:rPr>
      </w:pPr>
    </w:p>
    <w:p>
      <w:pPr>
        <w:jc w:val="both"/>
        <w:ind w:firstLine="648"/>
        <w:spacing w:after="0" w:line="308" w:lineRule="auto"/>
        <w:rPr>
          <w:sz w:val="20"/>
          <w:szCs w:val="20"/>
          <w:color w:val="auto"/>
        </w:rPr>
      </w:pPr>
      <w:r>
        <w:rPr>
          <w:rFonts w:ascii="Arial" w:cs="Arial" w:eastAsia="Arial" w:hAnsi="Arial"/>
          <w:sz w:val="17"/>
          <w:szCs w:val="17"/>
          <w:color w:val="auto"/>
        </w:rPr>
        <w:t>So long as any shares of Series A Preferred Stock are outstanding, unless the holders of at least 50% of the then outstanding shares of Series A Preferred Stock shall have otherwise given prior written consent, we shall not, and shall not permit any of our subsidiaries to, directly or indirectly:</w:t>
      </w:r>
    </w:p>
    <w:p>
      <w:pPr>
        <w:spacing w:after="0" w:line="201" w:lineRule="exact"/>
        <w:rPr>
          <w:sz w:val="20"/>
          <w:szCs w:val="20"/>
          <w:color w:val="auto"/>
        </w:rPr>
      </w:pPr>
    </w:p>
    <w:p>
      <w:pPr>
        <w:jc w:val="both"/>
        <w:ind w:firstLine="656"/>
        <w:spacing w:after="0" w:line="302" w:lineRule="auto"/>
        <w:tabs>
          <w:tab w:leader="none" w:pos="834" w:val="left"/>
        </w:tabs>
        <w:numPr>
          <w:ilvl w:val="0"/>
          <w:numId w:val="23"/>
        </w:numPr>
        <w:rPr>
          <w:rFonts w:ascii="Arial" w:cs="Arial" w:eastAsia="Arial" w:hAnsi="Arial"/>
          <w:sz w:val="16"/>
          <w:szCs w:val="16"/>
          <w:color w:val="auto"/>
        </w:rPr>
      </w:pPr>
      <w:r>
        <w:rPr>
          <w:rFonts w:ascii="Arial" w:cs="Arial" w:eastAsia="Arial" w:hAnsi="Arial"/>
          <w:sz w:val="16"/>
          <w:szCs w:val="16"/>
          <w:color w:val="auto"/>
        </w:rPr>
        <w:t>(i) Except with respect to the Series A Preferred Stock, or forward stock splits in the form of a dividend, declare or pay any dividends or make any distributions to any holder(s) of any shares of our capital stock or (ii) purchase, redeem or otherwise acquire any shares of our common stock or warrants or rights to acquire such common stock, except as may be required by the terms of the Series A Preferred Stock; or (iii) purchase, redeem or otherwise acquire any shares of our preferred stock or warrants or rights to acquire such stock, except as may be required by the terms of such preferred stock;</w:t>
      </w:r>
    </w:p>
    <w:p>
      <w:pPr>
        <w:spacing w:after="0" w:line="208" w:lineRule="exact"/>
        <w:rPr>
          <w:rFonts w:ascii="Arial" w:cs="Arial" w:eastAsia="Arial" w:hAnsi="Arial"/>
          <w:sz w:val="16"/>
          <w:szCs w:val="16"/>
          <w:color w:val="auto"/>
        </w:rPr>
      </w:pPr>
    </w:p>
    <w:p>
      <w:pPr>
        <w:ind w:left="860" w:hanging="204"/>
        <w:spacing w:after="0"/>
        <w:tabs>
          <w:tab w:leader="none" w:pos="860" w:val="left"/>
        </w:tabs>
        <w:numPr>
          <w:ilvl w:val="0"/>
          <w:numId w:val="23"/>
        </w:numPr>
        <w:rPr>
          <w:rFonts w:ascii="Arial" w:cs="Arial" w:eastAsia="Arial" w:hAnsi="Arial"/>
          <w:sz w:val="18"/>
          <w:szCs w:val="18"/>
          <w:color w:val="auto"/>
        </w:rPr>
      </w:pPr>
      <w:r>
        <w:rPr>
          <w:rFonts w:ascii="Arial" w:cs="Arial" w:eastAsia="Arial" w:hAnsi="Arial"/>
          <w:sz w:val="18"/>
          <w:szCs w:val="18"/>
          <w:color w:val="auto"/>
        </w:rPr>
        <w:t>Effect any reclassification, combination or reverse stock split of the common stock;</w:t>
      </w:r>
    </w:p>
    <w:p>
      <w:pPr>
        <w:spacing w:after="0" w:line="279" w:lineRule="exact"/>
        <w:rPr>
          <w:rFonts w:ascii="Arial" w:cs="Arial" w:eastAsia="Arial" w:hAnsi="Arial"/>
          <w:sz w:val="18"/>
          <w:szCs w:val="18"/>
          <w:color w:val="auto"/>
        </w:rPr>
      </w:pPr>
    </w:p>
    <w:p>
      <w:pPr>
        <w:ind w:left="840" w:hanging="184"/>
        <w:spacing w:after="0"/>
        <w:tabs>
          <w:tab w:leader="none" w:pos="840" w:val="left"/>
        </w:tabs>
        <w:numPr>
          <w:ilvl w:val="0"/>
          <w:numId w:val="23"/>
        </w:numPr>
        <w:rPr>
          <w:rFonts w:ascii="Arial" w:cs="Arial" w:eastAsia="Arial" w:hAnsi="Arial"/>
          <w:sz w:val="17"/>
          <w:szCs w:val="17"/>
          <w:color w:val="auto"/>
        </w:rPr>
      </w:pPr>
      <w:r>
        <w:rPr>
          <w:rFonts w:ascii="Arial" w:cs="Arial" w:eastAsia="Arial" w:hAnsi="Arial"/>
          <w:sz w:val="17"/>
          <w:szCs w:val="17"/>
          <w:color w:val="auto"/>
        </w:rPr>
        <w:t>Create, incur, assume, suffer, permit to exist, or guarantee, directly or indirectly, any indebtedness, excluding, however, from the following:</w:t>
      </w:r>
    </w:p>
    <w:p>
      <w:pPr>
        <w:spacing w:after="0" w:line="290" w:lineRule="exact"/>
        <w:rPr>
          <w:rFonts w:ascii="Arial" w:cs="Arial" w:eastAsia="Arial" w:hAnsi="Arial"/>
          <w:sz w:val="17"/>
          <w:szCs w:val="17"/>
          <w:color w:val="auto"/>
        </w:rPr>
      </w:pPr>
    </w:p>
    <w:p>
      <w:pPr>
        <w:ind w:left="1420" w:hanging="467"/>
        <w:spacing w:after="0"/>
        <w:tabs>
          <w:tab w:leader="none" w:pos="1420" w:val="left"/>
        </w:tabs>
        <w:numPr>
          <w:ilvl w:val="1"/>
          <w:numId w:val="23"/>
        </w:numPr>
        <w:rPr>
          <w:rFonts w:ascii="Arial" w:cs="Arial" w:eastAsia="Arial" w:hAnsi="Arial"/>
          <w:sz w:val="18"/>
          <w:szCs w:val="18"/>
          <w:color w:val="auto"/>
        </w:rPr>
      </w:pPr>
      <w:r>
        <w:rPr>
          <w:rFonts w:ascii="Arial" w:cs="Arial" w:eastAsia="Arial" w:hAnsi="Arial"/>
          <w:sz w:val="18"/>
          <w:szCs w:val="18"/>
          <w:color w:val="auto"/>
        </w:rPr>
        <w:t>Indebtedness to the extent existing on September 8, 2008 or any replacement indebtedness to existing indebtedness;</w:t>
      </w:r>
    </w:p>
    <w:p>
      <w:pPr>
        <w:spacing w:after="0" w:line="23" w:lineRule="exact"/>
        <w:rPr>
          <w:rFonts w:ascii="Arial" w:cs="Arial" w:eastAsia="Arial" w:hAnsi="Arial"/>
          <w:sz w:val="18"/>
          <w:szCs w:val="18"/>
          <w:color w:val="auto"/>
        </w:rPr>
      </w:pPr>
    </w:p>
    <w:p>
      <w:pPr>
        <w:ind w:left="1420" w:hanging="467"/>
        <w:spacing w:after="0"/>
        <w:tabs>
          <w:tab w:leader="none" w:pos="1420" w:val="left"/>
        </w:tabs>
        <w:numPr>
          <w:ilvl w:val="1"/>
          <w:numId w:val="23"/>
        </w:numPr>
        <w:rPr>
          <w:rFonts w:ascii="Arial" w:cs="Arial" w:eastAsia="Arial" w:hAnsi="Arial"/>
          <w:sz w:val="18"/>
          <w:szCs w:val="18"/>
          <w:color w:val="auto"/>
        </w:rPr>
      </w:pPr>
      <w:r>
        <w:rPr>
          <w:rFonts w:ascii="Arial" w:cs="Arial" w:eastAsia="Arial" w:hAnsi="Arial"/>
          <w:sz w:val="18"/>
          <w:szCs w:val="18"/>
          <w:color w:val="auto"/>
        </w:rPr>
        <w:t>Indebtedness which may be incurred or guaranteed by us in an aggregate principal amount not to exceed $500,000;</w:t>
      </w:r>
    </w:p>
    <w:p>
      <w:pPr>
        <w:spacing w:after="0" w:line="9" w:lineRule="exact"/>
        <w:rPr>
          <w:rFonts w:ascii="Arial" w:cs="Arial" w:eastAsia="Arial" w:hAnsi="Arial"/>
          <w:sz w:val="18"/>
          <w:szCs w:val="18"/>
          <w:color w:val="auto"/>
        </w:rPr>
      </w:pPr>
    </w:p>
    <w:p>
      <w:pPr>
        <w:ind w:left="1420" w:hanging="467"/>
        <w:spacing w:after="0"/>
        <w:tabs>
          <w:tab w:leader="none" w:pos="1420" w:val="left"/>
        </w:tabs>
        <w:numPr>
          <w:ilvl w:val="1"/>
          <w:numId w:val="23"/>
        </w:numPr>
        <w:rPr>
          <w:rFonts w:ascii="Arial" w:cs="Arial" w:eastAsia="Arial" w:hAnsi="Arial"/>
          <w:sz w:val="18"/>
          <w:szCs w:val="18"/>
          <w:color w:val="auto"/>
        </w:rPr>
      </w:pPr>
      <w:r>
        <w:rPr>
          <w:rFonts w:ascii="Arial" w:cs="Arial" w:eastAsia="Arial" w:hAnsi="Arial"/>
          <w:sz w:val="18"/>
          <w:szCs w:val="18"/>
          <w:color w:val="auto"/>
        </w:rPr>
        <w:t>the endorsement of instruments for the purpose of deposit or collection in the ordinary course of business;</w:t>
      </w:r>
    </w:p>
    <w:p>
      <w:pPr>
        <w:spacing w:after="0" w:line="9" w:lineRule="exact"/>
        <w:rPr>
          <w:rFonts w:ascii="Arial" w:cs="Arial" w:eastAsia="Arial" w:hAnsi="Arial"/>
          <w:sz w:val="18"/>
          <w:szCs w:val="18"/>
          <w:color w:val="auto"/>
        </w:rPr>
      </w:pPr>
    </w:p>
    <w:p>
      <w:pPr>
        <w:ind w:left="1420" w:right="20" w:hanging="467"/>
        <w:spacing w:after="0" w:line="250" w:lineRule="auto"/>
        <w:tabs>
          <w:tab w:leader="none" w:pos="1420" w:val="left"/>
        </w:tabs>
        <w:numPr>
          <w:ilvl w:val="1"/>
          <w:numId w:val="23"/>
        </w:numPr>
        <w:rPr>
          <w:rFonts w:ascii="Arial" w:cs="Arial" w:eastAsia="Arial" w:hAnsi="Arial"/>
          <w:sz w:val="18"/>
          <w:szCs w:val="18"/>
          <w:color w:val="auto"/>
        </w:rPr>
      </w:pPr>
      <w:r>
        <w:rPr>
          <w:rFonts w:ascii="Arial" w:cs="Arial" w:eastAsia="Arial" w:hAnsi="Arial"/>
          <w:sz w:val="18"/>
          <w:szCs w:val="18"/>
          <w:color w:val="auto"/>
        </w:rPr>
        <w:t>Indebtedness relating to our contingent obligations and our subsidiaries under guaranties in the ordinary course of business of the obligations of suppliers, customers, and licensees of the company and our subsidiaries;</w:t>
      </w:r>
    </w:p>
    <w:p>
      <w:pPr>
        <w:ind w:left="1420" w:hanging="467"/>
        <w:spacing w:after="0"/>
        <w:tabs>
          <w:tab w:leader="none" w:pos="1420" w:val="left"/>
        </w:tabs>
        <w:numPr>
          <w:ilvl w:val="1"/>
          <w:numId w:val="23"/>
        </w:numPr>
        <w:rPr>
          <w:rFonts w:ascii="Arial" w:cs="Arial" w:eastAsia="Arial" w:hAnsi="Arial"/>
          <w:sz w:val="18"/>
          <w:szCs w:val="18"/>
          <w:color w:val="auto"/>
        </w:rPr>
      </w:pPr>
      <w:r>
        <w:rPr>
          <w:rFonts w:ascii="Arial" w:cs="Arial" w:eastAsia="Arial" w:hAnsi="Arial"/>
          <w:sz w:val="18"/>
          <w:szCs w:val="18"/>
          <w:color w:val="auto"/>
        </w:rPr>
        <w:t>Indebtedness relating to loans from the company to our subsidiaries;</w:t>
      </w:r>
    </w:p>
    <w:p>
      <w:pPr>
        <w:spacing w:after="0" w:line="9" w:lineRule="exact"/>
        <w:rPr>
          <w:rFonts w:ascii="Arial" w:cs="Arial" w:eastAsia="Arial" w:hAnsi="Arial"/>
          <w:sz w:val="18"/>
          <w:szCs w:val="18"/>
          <w:color w:val="auto"/>
        </w:rPr>
      </w:pPr>
    </w:p>
    <w:p>
      <w:pPr>
        <w:ind w:left="1420" w:hanging="467"/>
        <w:spacing w:after="0"/>
        <w:tabs>
          <w:tab w:leader="none" w:pos="1420" w:val="left"/>
        </w:tabs>
        <w:numPr>
          <w:ilvl w:val="1"/>
          <w:numId w:val="23"/>
        </w:numPr>
        <w:rPr>
          <w:rFonts w:ascii="Arial" w:cs="Arial" w:eastAsia="Arial" w:hAnsi="Arial"/>
          <w:sz w:val="18"/>
          <w:szCs w:val="18"/>
          <w:color w:val="auto"/>
        </w:rPr>
      </w:pPr>
      <w:r>
        <w:rPr>
          <w:rFonts w:ascii="Arial" w:cs="Arial" w:eastAsia="Arial" w:hAnsi="Arial"/>
          <w:sz w:val="18"/>
          <w:szCs w:val="18"/>
          <w:color w:val="auto"/>
        </w:rPr>
        <w:t>Indebtedness relating to capital leases in an amount not to exceed $500,000;</w:t>
      </w:r>
    </w:p>
    <w:p>
      <w:pPr>
        <w:spacing w:after="0" w:line="9" w:lineRule="exact"/>
        <w:rPr>
          <w:rFonts w:ascii="Arial" w:cs="Arial" w:eastAsia="Arial" w:hAnsi="Arial"/>
          <w:sz w:val="18"/>
          <w:szCs w:val="18"/>
          <w:color w:val="auto"/>
        </w:rPr>
      </w:pPr>
    </w:p>
    <w:p>
      <w:pPr>
        <w:ind w:left="1420" w:right="20" w:hanging="467"/>
        <w:spacing w:after="0" w:line="250" w:lineRule="auto"/>
        <w:tabs>
          <w:tab w:leader="none" w:pos="1420" w:val="left"/>
        </w:tabs>
        <w:numPr>
          <w:ilvl w:val="1"/>
          <w:numId w:val="23"/>
        </w:numPr>
        <w:rPr>
          <w:rFonts w:ascii="Arial" w:cs="Arial" w:eastAsia="Arial" w:hAnsi="Arial"/>
          <w:sz w:val="18"/>
          <w:szCs w:val="18"/>
          <w:color w:val="auto"/>
        </w:rPr>
      </w:pPr>
      <w:r>
        <w:rPr>
          <w:rFonts w:ascii="Arial" w:cs="Arial" w:eastAsia="Arial" w:hAnsi="Arial"/>
          <w:sz w:val="18"/>
          <w:szCs w:val="18"/>
          <w:color w:val="auto"/>
        </w:rPr>
        <w:t>accounts or notes payable arising out of the purchase of merchandise, supplies, equipment, software, computer programs or services in the ordinary course of business;</w:t>
      </w:r>
    </w:p>
    <w:p>
      <w:pPr>
        <w:ind w:left="1420" w:right="20" w:hanging="467"/>
        <w:spacing w:after="0" w:line="261" w:lineRule="auto"/>
        <w:tabs>
          <w:tab w:leader="none" w:pos="1420" w:val="left"/>
        </w:tabs>
        <w:numPr>
          <w:ilvl w:val="1"/>
          <w:numId w:val="23"/>
        </w:numPr>
        <w:rPr>
          <w:rFonts w:ascii="Arial" w:cs="Arial" w:eastAsia="Arial" w:hAnsi="Arial"/>
          <w:sz w:val="18"/>
          <w:szCs w:val="18"/>
          <w:color w:val="auto"/>
        </w:rPr>
      </w:pPr>
      <w:r>
        <w:rPr>
          <w:rFonts w:ascii="Arial" w:cs="Arial" w:eastAsia="Arial" w:hAnsi="Arial"/>
          <w:sz w:val="18"/>
          <w:szCs w:val="18"/>
          <w:color w:val="auto"/>
        </w:rPr>
        <w:t>Common Stock issued or issuable to financial institutions, or lessors, pursuant to a commercial credit arrangement, equipment financing transaction, accounts receivable factoring, or a similar transaction;</w:t>
      </w:r>
    </w:p>
    <w:p>
      <w:pPr>
        <w:spacing w:after="0" w:line="200" w:lineRule="exact"/>
        <w:rPr>
          <w:sz w:val="20"/>
          <w:szCs w:val="20"/>
          <w:color w:val="auto"/>
        </w:rPr>
      </w:pPr>
    </w:p>
    <w:p>
      <w:pPr>
        <w:spacing w:after="0" w:line="28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246620" cy="889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638" w:right="239" w:bottom="1440" w:gutter="0" w:footer="0" w:header="0"/>
        </w:sectPr>
      </w:pPr>
    </w:p>
    <w:bookmarkStart w:id="24" w:name="page25"/>
    <w:bookmarkEnd w:id="24"/>
    <w:p>
      <w:pPr>
        <w:ind w:left="860" w:hanging="204"/>
        <w:spacing w:after="0"/>
        <w:tabs>
          <w:tab w:leader="none" w:pos="860" w:val="left"/>
        </w:tabs>
        <w:numPr>
          <w:ilvl w:val="0"/>
          <w:numId w:val="24"/>
        </w:numPr>
        <w:rPr>
          <w:rFonts w:ascii="Arial" w:cs="Arial" w:eastAsia="Arial" w:hAnsi="Arial"/>
          <w:sz w:val="18"/>
          <w:szCs w:val="18"/>
          <w:color w:val="auto"/>
        </w:rPr>
      </w:pPr>
      <w:r>
        <w:rPr>
          <w:rFonts w:ascii="Arial" w:cs="Arial" w:eastAsia="Arial" w:hAnsi="Arial"/>
          <w:sz w:val="18"/>
          <w:szCs w:val="18"/>
          <w:color w:val="auto"/>
        </w:rPr>
        <w:t>Issue securities senior to or equal to that of the Series A Preferred Stock;</w:t>
      </w:r>
    </w:p>
    <w:p>
      <w:pPr>
        <w:spacing w:after="0" w:line="279" w:lineRule="exact"/>
        <w:rPr>
          <w:rFonts w:ascii="Arial" w:cs="Arial" w:eastAsia="Arial" w:hAnsi="Arial"/>
          <w:sz w:val="18"/>
          <w:szCs w:val="18"/>
          <w:color w:val="auto"/>
        </w:rPr>
      </w:pPr>
    </w:p>
    <w:p>
      <w:pPr>
        <w:ind w:firstLine="656"/>
        <w:spacing w:after="0" w:line="277" w:lineRule="auto"/>
        <w:tabs>
          <w:tab w:leader="none" w:pos="843" w:val="left"/>
        </w:tabs>
        <w:numPr>
          <w:ilvl w:val="0"/>
          <w:numId w:val="24"/>
        </w:numPr>
        <w:rPr>
          <w:rFonts w:ascii="Arial" w:cs="Arial" w:eastAsia="Arial" w:hAnsi="Arial"/>
          <w:sz w:val="18"/>
          <w:szCs w:val="18"/>
          <w:color w:val="auto"/>
        </w:rPr>
      </w:pPr>
      <w:r>
        <w:rPr>
          <w:rFonts w:ascii="Arial" w:cs="Arial" w:eastAsia="Arial" w:hAnsi="Arial"/>
          <w:sz w:val="18"/>
          <w:szCs w:val="18"/>
          <w:color w:val="auto"/>
        </w:rPr>
        <w:t>Sell, transfer, lease or dispose of 20% or more of its consolidated assets in any single transaction or series of transactions, or liquidate, dissolve, recapitalize or reorganize in any form of transaction;</w:t>
      </w:r>
    </w:p>
    <w:p>
      <w:pPr>
        <w:spacing w:after="0" w:line="224" w:lineRule="exact"/>
        <w:rPr>
          <w:rFonts w:ascii="Arial" w:cs="Arial" w:eastAsia="Arial" w:hAnsi="Arial"/>
          <w:sz w:val="18"/>
          <w:szCs w:val="18"/>
          <w:color w:val="auto"/>
        </w:rPr>
      </w:pPr>
    </w:p>
    <w:p>
      <w:pPr>
        <w:jc w:val="both"/>
        <w:ind w:firstLine="656"/>
        <w:spacing w:after="0" w:line="270" w:lineRule="auto"/>
        <w:tabs>
          <w:tab w:leader="none" w:pos="841" w:val="left"/>
        </w:tabs>
        <w:numPr>
          <w:ilvl w:val="0"/>
          <w:numId w:val="24"/>
        </w:numPr>
        <w:rPr>
          <w:rFonts w:ascii="Arial" w:cs="Arial" w:eastAsia="Arial" w:hAnsi="Arial"/>
          <w:sz w:val="17"/>
          <w:szCs w:val="17"/>
          <w:color w:val="auto"/>
        </w:rPr>
      </w:pPr>
      <w:r>
        <w:rPr>
          <w:rFonts w:ascii="Arial" w:cs="Arial" w:eastAsia="Arial" w:hAnsi="Arial"/>
          <w:sz w:val="17"/>
          <w:szCs w:val="17"/>
          <w:color w:val="auto"/>
        </w:rPr>
        <w:t>Enter into a change of control transaction, which means the occurrence of (a) an acquisition by an individual or legal entity or “group” (as described in Rule 13d-5(b)(1) promulgated under the Exchange Act) of effective control of in excess of fifty percent (50%) of our voting securities, (b) a replacement at one time or over time of more than one-half of the members of our Board, which is not approved by a majority of those individuals who are members of the Board (or by those individuals who are serving as members of the Board on any date whose nomination to the Board was approved by a majority of the members of the Board who are members on the date hereof), (c) the merger or consolidation of the company or any of our subsidiaries in one or a series of related transactions with or into another entity (except in connection with a merger involving the company solely for the purpose, and with the sole effect, of reorganizing the company under the laws of another jurisdiction; provided that the certificate of incorporation and bylaws (or similar charter or organizational documents) of the surviving entity are substantively identical to those of the company), or (d) the execution by the company of an agreement to which the company is a party or by which it is bound, providing for any of the events set forth above in (a), (b) or (c);</w:t>
      </w:r>
    </w:p>
    <w:p>
      <w:pPr>
        <w:spacing w:after="0" w:line="235" w:lineRule="exact"/>
        <w:rPr>
          <w:rFonts w:ascii="Arial" w:cs="Arial" w:eastAsia="Arial" w:hAnsi="Arial"/>
          <w:sz w:val="17"/>
          <w:szCs w:val="17"/>
          <w:color w:val="auto"/>
        </w:rPr>
      </w:pPr>
    </w:p>
    <w:p>
      <w:pPr>
        <w:ind w:left="840" w:hanging="184"/>
        <w:spacing w:after="0"/>
        <w:tabs>
          <w:tab w:leader="none" w:pos="840" w:val="left"/>
        </w:tabs>
        <w:numPr>
          <w:ilvl w:val="0"/>
          <w:numId w:val="24"/>
        </w:numPr>
        <w:rPr>
          <w:rFonts w:ascii="Arial" w:cs="Arial" w:eastAsia="Arial" w:hAnsi="Arial"/>
          <w:sz w:val="18"/>
          <w:szCs w:val="18"/>
          <w:color w:val="auto"/>
        </w:rPr>
      </w:pPr>
      <w:r>
        <w:rPr>
          <w:rFonts w:ascii="Arial" w:cs="Arial" w:eastAsia="Arial" w:hAnsi="Arial"/>
          <w:sz w:val="18"/>
          <w:szCs w:val="18"/>
          <w:color w:val="auto"/>
        </w:rPr>
        <w:t>Amend or waive any provision of our Articles of Incorporation or Bylaws;</w:t>
      </w:r>
    </w:p>
    <w:p>
      <w:pPr>
        <w:spacing w:after="0" w:line="279" w:lineRule="exact"/>
        <w:rPr>
          <w:rFonts w:ascii="Arial" w:cs="Arial" w:eastAsia="Arial" w:hAnsi="Arial"/>
          <w:sz w:val="18"/>
          <w:szCs w:val="18"/>
          <w:color w:val="auto"/>
        </w:rPr>
      </w:pPr>
    </w:p>
    <w:p>
      <w:pPr>
        <w:ind w:firstLine="656"/>
        <w:spacing w:after="0" w:line="277" w:lineRule="auto"/>
        <w:tabs>
          <w:tab w:leader="none" w:pos="846" w:val="left"/>
        </w:tabs>
        <w:numPr>
          <w:ilvl w:val="0"/>
          <w:numId w:val="24"/>
        </w:numPr>
        <w:rPr>
          <w:rFonts w:ascii="Arial" w:cs="Arial" w:eastAsia="Arial" w:hAnsi="Arial"/>
          <w:sz w:val="18"/>
          <w:szCs w:val="18"/>
          <w:color w:val="auto"/>
        </w:rPr>
      </w:pPr>
      <w:r>
        <w:rPr>
          <w:rFonts w:ascii="Arial" w:cs="Arial" w:eastAsia="Arial" w:hAnsi="Arial"/>
          <w:sz w:val="18"/>
          <w:szCs w:val="18"/>
          <w:color w:val="auto"/>
        </w:rPr>
        <w:t>Engage in any transaction with any of our officers, directors, employees or affiliates of the company or of its subsidiaries, except on terms no less favorable to the company or the subsidiary as could be obtained in an arm’s length transactions; or</w:t>
      </w:r>
    </w:p>
    <w:p>
      <w:pPr>
        <w:spacing w:after="0" w:line="224" w:lineRule="exact"/>
        <w:rPr>
          <w:rFonts w:ascii="Arial" w:cs="Arial" w:eastAsia="Arial" w:hAnsi="Arial"/>
          <w:sz w:val="18"/>
          <w:szCs w:val="18"/>
          <w:color w:val="auto"/>
        </w:rPr>
      </w:pPr>
    </w:p>
    <w:p>
      <w:pPr>
        <w:ind w:left="820" w:hanging="164"/>
        <w:spacing w:after="0"/>
        <w:tabs>
          <w:tab w:leader="none" w:pos="820" w:val="left"/>
        </w:tabs>
        <w:numPr>
          <w:ilvl w:val="0"/>
          <w:numId w:val="24"/>
        </w:numPr>
        <w:rPr>
          <w:rFonts w:ascii="Arial" w:cs="Arial" w:eastAsia="Arial" w:hAnsi="Arial"/>
          <w:sz w:val="18"/>
          <w:szCs w:val="18"/>
          <w:color w:val="auto"/>
        </w:rPr>
      </w:pPr>
      <w:r>
        <w:rPr>
          <w:rFonts w:ascii="Arial" w:cs="Arial" w:eastAsia="Arial" w:hAnsi="Arial"/>
          <w:sz w:val="18"/>
          <w:szCs w:val="18"/>
          <w:color w:val="auto"/>
        </w:rPr>
        <w:t>Divert business or opportunity of the company or our subsidiary to any other corporate or business entity; or</w:t>
      </w:r>
    </w:p>
    <w:p>
      <w:pPr>
        <w:spacing w:after="0" w:line="279" w:lineRule="exact"/>
        <w:rPr>
          <w:rFonts w:ascii="Arial" w:cs="Arial" w:eastAsia="Arial" w:hAnsi="Arial"/>
          <w:sz w:val="18"/>
          <w:szCs w:val="18"/>
          <w:color w:val="auto"/>
        </w:rPr>
      </w:pPr>
    </w:p>
    <w:p>
      <w:pPr>
        <w:ind w:firstLine="656"/>
        <w:spacing w:after="0" w:line="277" w:lineRule="auto"/>
        <w:tabs>
          <w:tab w:leader="none" w:pos="815" w:val="left"/>
        </w:tabs>
        <w:numPr>
          <w:ilvl w:val="0"/>
          <w:numId w:val="24"/>
        </w:numPr>
        <w:rPr>
          <w:rFonts w:ascii="Arial" w:cs="Arial" w:eastAsia="Arial" w:hAnsi="Arial"/>
          <w:sz w:val="18"/>
          <w:szCs w:val="18"/>
          <w:color w:val="auto"/>
        </w:rPr>
      </w:pPr>
      <w:r>
        <w:rPr>
          <w:rFonts w:ascii="Arial" w:cs="Arial" w:eastAsia="Arial" w:hAnsi="Arial"/>
          <w:sz w:val="18"/>
          <w:szCs w:val="18"/>
          <w:color w:val="auto"/>
        </w:rPr>
        <w:t>File any registration statement with the Securities and Exchange Commission (“SEC”) until this registration statement or registration statements registering all the conversion shares, warrant shares and other registrable securities is declared effective by the SEC.</w:t>
      </w:r>
    </w:p>
    <w:p>
      <w:pPr>
        <w:spacing w:after="0" w:line="224" w:lineRule="exact"/>
        <w:rPr>
          <w:sz w:val="20"/>
          <w:szCs w:val="20"/>
          <w:color w:val="auto"/>
        </w:rPr>
      </w:pPr>
    </w:p>
    <w:p>
      <w:pPr>
        <w:jc w:val="both"/>
        <w:ind w:firstLine="648"/>
        <w:spacing w:after="0" w:line="290" w:lineRule="auto"/>
        <w:rPr>
          <w:sz w:val="20"/>
          <w:szCs w:val="20"/>
          <w:color w:val="auto"/>
        </w:rPr>
      </w:pPr>
      <w:r>
        <w:rPr>
          <w:rFonts w:ascii="Arial" w:cs="Arial" w:eastAsia="Arial" w:hAnsi="Arial"/>
          <w:sz w:val="16"/>
          <w:szCs w:val="16"/>
          <w:color w:val="auto"/>
        </w:rPr>
        <w:t>In the event of any liquidation or winding up, the holders of shares of Series A Preferred Stock then outstanding shall be entitled to be paid out of the assets of the Company available for distribution to its stockholders an amount per share equal to the stated value of the Series A Preferred Stock plus the aggregate amount of accumulated but unpaid dividends on each share of Series A Preferred Stock. If, upon liquidation or winding up, the assets of the Company, or proceeds thereof, to be distributed among the holders of the Series A Preferred Stock are insufficient to permit payment in full to such holders of the aggregate amount that they are entitled to be paid by their terms, then the entire assets, or proceeds thereof, available to be distributed to the corporation’s stockholders shall be distributed to the holders of the Series A Preferred Stock ratably in accordance with the respective amounts that would be payable on such shares if all amounts payable thereon were paid in full. Prior to such liquidation or winding up, we shall declare for payment all accrued and unpaid dividends with respect to the Series A Preferred Stock but only to the extent that funds legally available for the payment of dividends.</w:t>
      </w:r>
    </w:p>
    <w:p>
      <w:pPr>
        <w:spacing w:after="0" w:line="220"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Penny Stock Regulations</w:t>
      </w:r>
    </w:p>
    <w:p>
      <w:pPr>
        <w:spacing w:after="0" w:line="279"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The SEC has adopted regulations which generally define "penny stock" to be an equity security that has a market price of less than $5.00 per share. Our common stock, when and if a trading market develops, may fall within the definition of penny stock and subject to rules that impose additional sales practice requirements on broker-dealers who sell such securities to persons other than established customers and accredited investors (generally those with assets in excess of $1,000,000, or annual incomes exceeding $200,000 or $300,000, together with their spouse).</w:t>
      </w:r>
    </w:p>
    <w:p>
      <w:pPr>
        <w:spacing w:after="0" w:line="225"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For transactions covered by these rules, the broker-dealer must make a special suitability determination for the purchase of such securities and have received the purchaser's prior written consent to the transaction. Additionally, for any transaction, other than exempt transactions, involving a penny stock, the rules require the delivery, prior to the transaction, of a risk disclosure document mandated by the Commission relating to the penny stock market. The broker-dealer also must disclose the commissions payable to both the broker-dealer and the registered representative, current quotations for the securities and, if the broker-dealer is the sole market-maker, the broker-dealer must disclose this fact and the broker-dealer's presumed control over the market. Finally, monthly statements must be sent disclosing recent price information for the penny stock held in the account and information on the limited market in penny stocks. Consequently, the "penny stock" rules may restrict the ability of broker-dealers to sell our common stock and may affect the ability of investors to sell their common stock in the secondary market.</w:t>
      </w:r>
    </w:p>
    <w:p>
      <w:pPr>
        <w:spacing w:after="0" w:line="24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Transfer Agent and Registrar</w:t>
      </w:r>
    </w:p>
    <w:p>
      <w:pPr>
        <w:spacing w:after="0" w:line="283" w:lineRule="exact"/>
        <w:rPr>
          <w:sz w:val="20"/>
          <w:szCs w:val="20"/>
          <w:color w:val="auto"/>
        </w:rPr>
      </w:pPr>
    </w:p>
    <w:p>
      <w:pPr>
        <w:spacing w:after="0"/>
        <w:rPr>
          <w:sz w:val="20"/>
          <w:szCs w:val="20"/>
          <w:color w:val="auto"/>
        </w:rPr>
      </w:pPr>
      <w:r>
        <w:rPr>
          <w:rFonts w:ascii="Arial" w:cs="Arial" w:eastAsia="Arial" w:hAnsi="Arial"/>
          <w:sz w:val="17"/>
          <w:szCs w:val="17"/>
          <w:color w:val="auto"/>
        </w:rPr>
        <w:t>The transfer agent and registrar for our common stock is Integrity Stock Transfer, located at 3265 E. Warm Springs Road, Las Vegas, NV 89120.</w:t>
      </w:r>
    </w:p>
    <w:p>
      <w:pPr>
        <w:spacing w:after="0" w:line="200" w:lineRule="exact"/>
        <w:rPr>
          <w:sz w:val="20"/>
          <w:szCs w:val="20"/>
          <w:color w:val="auto"/>
        </w:rPr>
      </w:pPr>
    </w:p>
    <w:p>
      <w:pPr>
        <w:spacing w:after="0" w:line="33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246620" cy="889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638" w:right="239" w:bottom="1440" w:gutter="0" w:footer="0" w:header="0"/>
        </w:sectPr>
      </w:pPr>
    </w:p>
    <w:bookmarkStart w:id="25" w:name="page26"/>
    <w:bookmarkEnd w:id="25"/>
    <w:p>
      <w:pPr>
        <w:jc w:val="center"/>
        <w:spacing w:after="0"/>
        <w:rPr>
          <w:sz w:val="20"/>
          <w:szCs w:val="20"/>
          <w:color w:val="auto"/>
        </w:rPr>
      </w:pPr>
      <w:r>
        <w:rPr>
          <w:rFonts w:ascii="Arial" w:cs="Arial" w:eastAsia="Arial" w:hAnsi="Arial"/>
          <w:sz w:val="18"/>
          <w:szCs w:val="18"/>
          <w:b w:val="1"/>
          <w:bCs w:val="1"/>
          <w:color w:val="auto"/>
        </w:rPr>
        <w:t>BUSINESS</w:t>
      </w:r>
    </w:p>
    <w:p>
      <w:pPr>
        <w:spacing w:after="0" w:line="283" w:lineRule="exact"/>
        <w:rPr>
          <w:sz w:val="20"/>
          <w:szCs w:val="20"/>
          <w:color w:val="auto"/>
        </w:rPr>
      </w:pPr>
    </w:p>
    <w:p>
      <w:pPr>
        <w:jc w:val="both"/>
        <w:ind w:firstLine="648"/>
        <w:spacing w:after="0" w:line="255" w:lineRule="auto"/>
        <w:rPr>
          <w:sz w:val="20"/>
          <w:szCs w:val="20"/>
          <w:color w:val="auto"/>
        </w:rPr>
      </w:pPr>
      <w:r>
        <w:rPr>
          <w:rFonts w:ascii="Arial" w:cs="Arial" w:eastAsia="Arial" w:hAnsi="Arial"/>
          <w:sz w:val="18"/>
          <w:szCs w:val="18"/>
          <w:color w:val="auto"/>
        </w:rPr>
        <w:t>We, through our wholly-owned subsidiary, OptimizeRx Corporation, a Michigan corporation, are a development-stage website publisher and marketing company that creates, promotes and fulfills custom marketing and advertising programs. We help patients better afford and manage their rising healthcare costs. In addition, we also provide unique advertising programs to pharmaceutical and healthcare industries. Through our websites, we provide the following services: (i) through our website, we provide patients to centrally review and participate in prescription and healthcare savings/support programs; (ii) through OFFERx, we provide a platform to allow manufacturers to create, promote and fulfill new patient offer programs in over 64,000 pharmacies; and (iii) through ADHERxE, we provide a platform that allows manufacturers to engage and monitor patients each month in exchange for activation of their monthly co-pay coupons.</w:t>
      </w:r>
    </w:p>
    <w:p>
      <w:pPr>
        <w:spacing w:after="0" w:line="243" w:lineRule="exact"/>
        <w:rPr>
          <w:sz w:val="20"/>
          <w:szCs w:val="20"/>
          <w:color w:val="auto"/>
        </w:rPr>
      </w:pPr>
    </w:p>
    <w:p>
      <w:pPr>
        <w:jc w:val="both"/>
        <w:ind w:firstLine="648"/>
        <w:spacing w:after="0" w:line="289" w:lineRule="auto"/>
        <w:rPr>
          <w:sz w:val="20"/>
          <w:szCs w:val="20"/>
          <w:color w:val="auto"/>
        </w:rPr>
      </w:pPr>
      <w:r>
        <w:rPr>
          <w:rFonts w:ascii="Arial" w:cs="Arial" w:eastAsia="Arial" w:hAnsi="Arial"/>
          <w:sz w:val="16"/>
          <w:szCs w:val="16"/>
          <w:color w:val="auto"/>
        </w:rPr>
        <w:t>Optimizer Systems, LLC was formed in the State of Michigan on January 31, 2006. It then became a corporation in the state of Michigan on October 22, 2007 and changed our name to OptimizeRx Corporation on October 22, 2007. On April 14, 2008, RFID Ltd. consummated a reverse merger by entering into a share exchange agreement with the stockholders of OptimizeRx Corporation, pursuant to which the stockholders of OptimizeRx Corporation exchanged all of the issued and outstanding capital stock of OptimizeRx Corporation for 1,256,958 shares of common stock of RFID Ltd., representing 100% of the outstanding capital stock of RFID Ltd. As of April 30, 2008, RFID’s officers and directors resigned their positions and RFID changed its business to OptimizeRx’s business. As a result, the historical discussion and financial statements included in this Form S-1 are those of OptimizeRx Corporation. On April 15, 2008, RFID Ltd’s corporate name was changed to OptimizeRx Corporation. On September 4, 2008, we then completed a migratory merger, thereby changing our state of incorporation from Colorado to Nevada, resulting in the current corporate structure in which we, OptimizeRx Corporation, a Nevada corporation is the parent corporation, and OptimizeRx Corporation, a Michigan Corporation is our wholly-owned subsidiary.</w:t>
      </w:r>
    </w:p>
    <w:p>
      <w:pPr>
        <w:spacing w:after="0" w:line="21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General</w:t>
      </w:r>
    </w:p>
    <w:p>
      <w:pPr>
        <w:spacing w:after="0" w:line="283"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18"/>
          <w:szCs w:val="18"/>
          <w:color w:val="auto"/>
        </w:rPr>
        <w:t>Our founders recognized patients were becoming greater financial stakeholders in their healthcare decisions, including with their medications. Yet, there was very little information available on how patients could access available savings and support programs to help them affordably access and comply to their prescribed therapies. OPTIMIZERx.com was developed to be the patient savings and support portal to identify helpful programs that are available, based on the patients selected needs. In turn, we would offer powerful advertising platforms to pharmaceutical and healthcare manufacturers seeking to engage these patients needing their support.</w:t>
      </w:r>
    </w:p>
    <w:p>
      <w:pPr>
        <w:spacing w:after="0" w:line="242"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With the aging of America’s largest demographics, the internet emerging as the preferred way to seek information, and our founders expertise in the pharmaceutical and healthcare industries- the company was formed and advanced.</w:t>
      </w:r>
    </w:p>
    <w:p>
      <w:pPr>
        <w:spacing w:after="0" w:line="224"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18"/>
          <w:szCs w:val="18"/>
          <w:color w:val="auto"/>
        </w:rPr>
        <w:t>Through our website called OPTIMIZERx.com, we aid patients better afford and manage their rising healthcare costs. This provides unique advertising programs to the pharmaceutical and healthcare industries. Additionally, the company provides turn-key development and promotion of new savings offers for manufacturers through OFFERx. Finally, the company sells programs to manufacturers that help patients comply to their prescribed therapies each month through our new platform ADHERxE. ADHERxE allows manufacturers to extend additional savings to patients in turn for completion of monthly survey information to monitor treatment status.</w:t>
      </w:r>
    </w:p>
    <w:p>
      <w:pPr>
        <w:spacing w:after="0" w:line="23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Principal Products and Applications</w:t>
      </w:r>
    </w:p>
    <w:p>
      <w:pPr>
        <w:spacing w:after="0" w:line="283" w:lineRule="exact"/>
        <w:rPr>
          <w:sz w:val="20"/>
          <w:szCs w:val="20"/>
          <w:color w:val="auto"/>
        </w:rPr>
      </w:pPr>
    </w:p>
    <w:p>
      <w:pPr>
        <w:ind w:left="1420" w:right="20" w:hanging="769"/>
        <w:spacing w:after="0" w:line="277" w:lineRule="auto"/>
        <w:tabs>
          <w:tab w:leader="none" w:pos="1420" w:val="left"/>
        </w:tabs>
        <w:numPr>
          <w:ilvl w:val="0"/>
          <w:numId w:val="25"/>
        </w:numPr>
        <w:rPr>
          <w:rFonts w:ascii="Arial" w:cs="Arial" w:eastAsia="Arial" w:hAnsi="Arial"/>
          <w:sz w:val="18"/>
          <w:szCs w:val="18"/>
          <w:color w:val="auto"/>
        </w:rPr>
      </w:pPr>
      <w:r>
        <w:rPr>
          <w:rFonts w:ascii="Arial" w:cs="Arial" w:eastAsia="Arial" w:hAnsi="Arial"/>
          <w:sz w:val="18"/>
          <w:szCs w:val="18"/>
          <w:color w:val="auto"/>
        </w:rPr>
        <w:t>OPTIMIZERx.com- unique healthcare website for patients to centrally review and participate in prescription and healthcare savings/support programs.</w:t>
      </w:r>
    </w:p>
    <w:p>
      <w:pPr>
        <w:spacing w:after="0" w:line="224" w:lineRule="exact"/>
        <w:rPr>
          <w:rFonts w:ascii="Arial" w:cs="Arial" w:eastAsia="Arial" w:hAnsi="Arial"/>
          <w:sz w:val="18"/>
          <w:szCs w:val="18"/>
          <w:color w:val="auto"/>
        </w:rPr>
      </w:pPr>
    </w:p>
    <w:p>
      <w:pPr>
        <w:ind w:left="1420" w:right="20" w:hanging="769"/>
        <w:spacing w:after="0" w:line="277" w:lineRule="auto"/>
        <w:tabs>
          <w:tab w:leader="none" w:pos="1420" w:val="left"/>
        </w:tabs>
        <w:numPr>
          <w:ilvl w:val="0"/>
          <w:numId w:val="25"/>
        </w:numPr>
        <w:rPr>
          <w:rFonts w:ascii="Arial" w:cs="Arial" w:eastAsia="Arial" w:hAnsi="Arial"/>
          <w:sz w:val="18"/>
          <w:szCs w:val="18"/>
          <w:color w:val="auto"/>
        </w:rPr>
      </w:pPr>
      <w:r>
        <w:rPr>
          <w:rFonts w:ascii="Arial" w:cs="Arial" w:eastAsia="Arial" w:hAnsi="Arial"/>
          <w:sz w:val="18"/>
          <w:szCs w:val="18"/>
          <w:color w:val="auto"/>
        </w:rPr>
        <w:t>OFFERx - turn-key platform to allow manufactures to create, promote and fulfill new patient offer programs in over 64K pharmacies through our end to end system.</w:t>
      </w:r>
    </w:p>
    <w:p>
      <w:pPr>
        <w:spacing w:after="0" w:line="224" w:lineRule="exact"/>
        <w:rPr>
          <w:rFonts w:ascii="Arial" w:cs="Arial" w:eastAsia="Arial" w:hAnsi="Arial"/>
          <w:sz w:val="18"/>
          <w:szCs w:val="18"/>
          <w:color w:val="auto"/>
        </w:rPr>
      </w:pPr>
    </w:p>
    <w:p>
      <w:pPr>
        <w:ind w:left="1420" w:right="20" w:hanging="769"/>
        <w:spacing w:after="0" w:line="277" w:lineRule="auto"/>
        <w:tabs>
          <w:tab w:leader="none" w:pos="1420" w:val="left"/>
        </w:tabs>
        <w:numPr>
          <w:ilvl w:val="0"/>
          <w:numId w:val="25"/>
        </w:numPr>
        <w:rPr>
          <w:rFonts w:ascii="Arial" w:cs="Arial" w:eastAsia="Arial" w:hAnsi="Arial"/>
          <w:sz w:val="18"/>
          <w:szCs w:val="18"/>
          <w:color w:val="auto"/>
        </w:rPr>
      </w:pPr>
      <w:r>
        <w:rPr>
          <w:rFonts w:ascii="Arial" w:cs="Arial" w:eastAsia="Arial" w:hAnsi="Arial"/>
          <w:sz w:val="18"/>
          <w:szCs w:val="18"/>
          <w:color w:val="auto"/>
        </w:rPr>
        <w:t>ADHERxE - turn-key platform that allows manufacturers to engage and monitor patients each month in exchange for activation of their monthly co-pay coupons.</w:t>
      </w:r>
    </w:p>
    <w:p>
      <w:pPr>
        <w:spacing w:after="0" w:line="200" w:lineRule="exact"/>
        <w:rPr>
          <w:sz w:val="20"/>
          <w:szCs w:val="20"/>
          <w:color w:val="auto"/>
        </w:rPr>
      </w:pPr>
    </w:p>
    <w:p>
      <w:pPr>
        <w:spacing w:after="0" w:line="26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246620" cy="889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607" w:right="239" w:bottom="1440" w:gutter="0" w:footer="0" w:header="0"/>
        </w:sectPr>
      </w:pPr>
    </w:p>
    <w:bookmarkStart w:id="26" w:name="page27"/>
    <w:bookmarkEnd w:id="26"/>
    <w:p>
      <w:pPr>
        <w:spacing w:after="0"/>
        <w:rPr>
          <w:sz w:val="20"/>
          <w:szCs w:val="20"/>
          <w:color w:val="auto"/>
        </w:rPr>
      </w:pPr>
      <w:r>
        <w:rPr>
          <w:rFonts w:ascii="Arial" w:cs="Arial" w:eastAsia="Arial" w:hAnsi="Arial"/>
          <w:sz w:val="18"/>
          <w:szCs w:val="18"/>
          <w:b w:val="1"/>
          <w:bCs w:val="1"/>
          <w:color w:val="auto"/>
        </w:rPr>
        <w:t>Marketing and Sales</w:t>
      </w:r>
    </w:p>
    <w:p>
      <w:pPr>
        <w:spacing w:after="0" w:line="283" w:lineRule="exact"/>
        <w:rPr>
          <w:sz w:val="20"/>
          <w:szCs w:val="20"/>
          <w:color w:val="auto"/>
        </w:rPr>
      </w:pPr>
    </w:p>
    <w:p>
      <w:pPr>
        <w:spacing w:after="0"/>
        <w:rPr>
          <w:sz w:val="20"/>
          <w:szCs w:val="20"/>
          <w:color w:val="auto"/>
        </w:rPr>
      </w:pPr>
      <w:r>
        <w:rPr>
          <w:rFonts w:ascii="Arial" w:cs="Arial" w:eastAsia="Arial" w:hAnsi="Arial"/>
          <w:sz w:val="17"/>
          <w:szCs w:val="17"/>
          <w:color w:val="auto"/>
        </w:rPr>
        <w:t>With our marketing partners, including our New York advertising and PR agencies, we will promote OPTIMIZERx primarily through the following:</w:t>
      </w:r>
    </w:p>
    <w:p>
      <w:pPr>
        <w:spacing w:after="0" w:line="291" w:lineRule="exact"/>
        <w:rPr>
          <w:sz w:val="20"/>
          <w:szCs w:val="20"/>
          <w:color w:val="auto"/>
        </w:rPr>
      </w:pPr>
    </w:p>
    <w:p>
      <w:pPr>
        <w:ind w:left="100" w:hanging="92"/>
        <w:spacing w:after="0"/>
        <w:tabs>
          <w:tab w:leader="none" w:pos="100" w:val="left"/>
        </w:tabs>
        <w:numPr>
          <w:ilvl w:val="0"/>
          <w:numId w:val="26"/>
        </w:numPr>
        <w:rPr>
          <w:rFonts w:ascii="Arial" w:cs="Arial" w:eastAsia="Arial" w:hAnsi="Arial"/>
          <w:sz w:val="18"/>
          <w:szCs w:val="18"/>
          <w:color w:val="auto"/>
        </w:rPr>
      </w:pPr>
      <w:r>
        <w:rPr>
          <w:rFonts w:ascii="Arial" w:cs="Arial" w:eastAsia="Arial" w:hAnsi="Arial"/>
          <w:sz w:val="18"/>
          <w:szCs w:val="18"/>
          <w:color w:val="auto"/>
        </w:rPr>
        <w:t>Internet Marketing</w:t>
      </w:r>
    </w:p>
    <w:p>
      <w:pPr>
        <w:spacing w:after="0" w:line="23" w:lineRule="exact"/>
        <w:rPr>
          <w:rFonts w:ascii="Arial" w:cs="Arial" w:eastAsia="Arial" w:hAnsi="Arial"/>
          <w:sz w:val="18"/>
          <w:szCs w:val="18"/>
          <w:color w:val="auto"/>
        </w:rPr>
      </w:pPr>
    </w:p>
    <w:p>
      <w:pPr>
        <w:ind w:left="100" w:hanging="92"/>
        <w:spacing w:after="0"/>
        <w:tabs>
          <w:tab w:leader="none" w:pos="100" w:val="left"/>
        </w:tabs>
        <w:numPr>
          <w:ilvl w:val="0"/>
          <w:numId w:val="26"/>
        </w:numPr>
        <w:rPr>
          <w:rFonts w:ascii="Arial" w:cs="Arial" w:eastAsia="Arial" w:hAnsi="Arial"/>
          <w:sz w:val="18"/>
          <w:szCs w:val="18"/>
          <w:color w:val="auto"/>
        </w:rPr>
      </w:pPr>
      <w:r>
        <w:rPr>
          <w:rFonts w:ascii="Arial" w:cs="Arial" w:eastAsia="Arial" w:hAnsi="Arial"/>
          <w:sz w:val="18"/>
          <w:szCs w:val="18"/>
          <w:color w:val="auto"/>
        </w:rPr>
        <w:t>Public Relations Campaigns</w:t>
      </w:r>
    </w:p>
    <w:p>
      <w:pPr>
        <w:spacing w:after="0" w:line="9" w:lineRule="exact"/>
        <w:rPr>
          <w:rFonts w:ascii="Arial" w:cs="Arial" w:eastAsia="Arial" w:hAnsi="Arial"/>
          <w:sz w:val="18"/>
          <w:szCs w:val="18"/>
          <w:color w:val="auto"/>
        </w:rPr>
      </w:pPr>
    </w:p>
    <w:p>
      <w:pPr>
        <w:ind w:left="100" w:hanging="92"/>
        <w:spacing w:after="0"/>
        <w:tabs>
          <w:tab w:leader="none" w:pos="100" w:val="left"/>
        </w:tabs>
        <w:numPr>
          <w:ilvl w:val="0"/>
          <w:numId w:val="26"/>
        </w:numPr>
        <w:rPr>
          <w:rFonts w:ascii="Arial" w:cs="Arial" w:eastAsia="Arial" w:hAnsi="Arial"/>
          <w:sz w:val="18"/>
          <w:szCs w:val="18"/>
          <w:color w:val="auto"/>
        </w:rPr>
      </w:pPr>
      <w:r>
        <w:rPr>
          <w:rFonts w:ascii="Arial" w:cs="Arial" w:eastAsia="Arial" w:hAnsi="Arial"/>
          <w:sz w:val="18"/>
          <w:szCs w:val="18"/>
          <w:color w:val="auto"/>
        </w:rPr>
        <w:t>Physician Offices</w:t>
      </w:r>
    </w:p>
    <w:p>
      <w:pPr>
        <w:spacing w:after="0" w:line="9" w:lineRule="exact"/>
        <w:rPr>
          <w:rFonts w:ascii="Arial" w:cs="Arial" w:eastAsia="Arial" w:hAnsi="Arial"/>
          <w:sz w:val="18"/>
          <w:szCs w:val="18"/>
          <w:color w:val="auto"/>
        </w:rPr>
      </w:pPr>
    </w:p>
    <w:p>
      <w:pPr>
        <w:ind w:left="100" w:hanging="92"/>
        <w:spacing w:after="0"/>
        <w:tabs>
          <w:tab w:leader="none" w:pos="100" w:val="left"/>
        </w:tabs>
        <w:numPr>
          <w:ilvl w:val="0"/>
          <w:numId w:val="26"/>
        </w:numPr>
        <w:rPr>
          <w:rFonts w:ascii="Arial" w:cs="Arial" w:eastAsia="Arial" w:hAnsi="Arial"/>
          <w:sz w:val="18"/>
          <w:szCs w:val="18"/>
          <w:color w:val="auto"/>
        </w:rPr>
      </w:pPr>
      <w:r>
        <w:rPr>
          <w:rFonts w:ascii="Arial" w:cs="Arial" w:eastAsia="Arial" w:hAnsi="Arial"/>
          <w:sz w:val="18"/>
          <w:szCs w:val="18"/>
          <w:color w:val="auto"/>
        </w:rPr>
        <w:t>Direct to Consumer Marketing</w:t>
      </w:r>
    </w:p>
    <w:p>
      <w:pPr>
        <w:spacing w:after="0" w:line="9" w:lineRule="exact"/>
        <w:rPr>
          <w:rFonts w:ascii="Arial" w:cs="Arial" w:eastAsia="Arial" w:hAnsi="Arial"/>
          <w:sz w:val="18"/>
          <w:szCs w:val="18"/>
          <w:color w:val="auto"/>
        </w:rPr>
      </w:pPr>
    </w:p>
    <w:p>
      <w:pPr>
        <w:ind w:left="100" w:hanging="92"/>
        <w:spacing w:after="0"/>
        <w:tabs>
          <w:tab w:leader="none" w:pos="100" w:val="left"/>
        </w:tabs>
        <w:numPr>
          <w:ilvl w:val="0"/>
          <w:numId w:val="26"/>
        </w:numPr>
        <w:rPr>
          <w:rFonts w:ascii="Arial" w:cs="Arial" w:eastAsia="Arial" w:hAnsi="Arial"/>
          <w:sz w:val="18"/>
          <w:szCs w:val="18"/>
          <w:color w:val="auto"/>
        </w:rPr>
      </w:pPr>
      <w:r>
        <w:rPr>
          <w:rFonts w:ascii="Arial" w:cs="Arial" w:eastAsia="Arial" w:hAnsi="Arial"/>
          <w:sz w:val="18"/>
          <w:szCs w:val="18"/>
          <w:color w:val="auto"/>
        </w:rPr>
        <w:t>Newspaper and Advertising</w:t>
      </w:r>
    </w:p>
    <w:p>
      <w:pPr>
        <w:spacing w:after="0" w:line="9" w:lineRule="exact"/>
        <w:rPr>
          <w:rFonts w:ascii="Arial" w:cs="Arial" w:eastAsia="Arial" w:hAnsi="Arial"/>
          <w:sz w:val="18"/>
          <w:szCs w:val="18"/>
          <w:color w:val="auto"/>
        </w:rPr>
      </w:pPr>
    </w:p>
    <w:p>
      <w:pPr>
        <w:ind w:left="100" w:hanging="92"/>
        <w:spacing w:after="0"/>
        <w:tabs>
          <w:tab w:leader="none" w:pos="100" w:val="left"/>
        </w:tabs>
        <w:numPr>
          <w:ilvl w:val="0"/>
          <w:numId w:val="26"/>
        </w:numPr>
        <w:rPr>
          <w:rFonts w:ascii="Arial" w:cs="Arial" w:eastAsia="Arial" w:hAnsi="Arial"/>
          <w:sz w:val="18"/>
          <w:szCs w:val="18"/>
          <w:color w:val="auto"/>
        </w:rPr>
      </w:pPr>
      <w:r>
        <w:rPr>
          <w:rFonts w:ascii="Arial" w:cs="Arial" w:eastAsia="Arial" w:hAnsi="Arial"/>
          <w:sz w:val="18"/>
          <w:szCs w:val="18"/>
          <w:color w:val="auto"/>
        </w:rPr>
        <w:t>Cable TV</w:t>
      </w:r>
    </w:p>
    <w:p>
      <w:pPr>
        <w:spacing w:after="0" w:line="9" w:lineRule="exact"/>
        <w:rPr>
          <w:rFonts w:ascii="Arial" w:cs="Arial" w:eastAsia="Arial" w:hAnsi="Arial"/>
          <w:sz w:val="18"/>
          <w:szCs w:val="18"/>
          <w:color w:val="auto"/>
        </w:rPr>
      </w:pPr>
    </w:p>
    <w:p>
      <w:pPr>
        <w:ind w:left="100" w:hanging="92"/>
        <w:spacing w:after="0"/>
        <w:tabs>
          <w:tab w:leader="none" w:pos="100" w:val="left"/>
        </w:tabs>
        <w:numPr>
          <w:ilvl w:val="0"/>
          <w:numId w:val="26"/>
        </w:numPr>
        <w:rPr>
          <w:rFonts w:ascii="Arial" w:cs="Arial" w:eastAsia="Arial" w:hAnsi="Arial"/>
          <w:sz w:val="18"/>
          <w:szCs w:val="18"/>
          <w:color w:val="auto"/>
        </w:rPr>
      </w:pPr>
      <w:r>
        <w:rPr>
          <w:rFonts w:ascii="Arial" w:cs="Arial" w:eastAsia="Arial" w:hAnsi="Arial"/>
          <w:sz w:val="18"/>
          <w:szCs w:val="18"/>
          <w:color w:val="auto"/>
        </w:rPr>
        <w:t>Pharmacy Partners</w:t>
      </w:r>
    </w:p>
    <w:p>
      <w:pPr>
        <w:spacing w:after="0" w:line="9" w:lineRule="exact"/>
        <w:rPr>
          <w:rFonts w:ascii="Arial" w:cs="Arial" w:eastAsia="Arial" w:hAnsi="Arial"/>
          <w:sz w:val="18"/>
          <w:szCs w:val="18"/>
          <w:color w:val="auto"/>
        </w:rPr>
      </w:pPr>
    </w:p>
    <w:p>
      <w:pPr>
        <w:ind w:left="100" w:hanging="92"/>
        <w:spacing w:after="0"/>
        <w:tabs>
          <w:tab w:leader="none" w:pos="100" w:val="left"/>
        </w:tabs>
        <w:numPr>
          <w:ilvl w:val="0"/>
          <w:numId w:val="26"/>
        </w:numPr>
        <w:rPr>
          <w:rFonts w:ascii="Arial" w:cs="Arial" w:eastAsia="Arial" w:hAnsi="Arial"/>
          <w:sz w:val="18"/>
          <w:szCs w:val="18"/>
          <w:color w:val="auto"/>
        </w:rPr>
      </w:pPr>
      <w:r>
        <w:rPr>
          <w:rFonts w:ascii="Arial" w:cs="Arial" w:eastAsia="Arial" w:hAnsi="Arial"/>
          <w:sz w:val="18"/>
          <w:szCs w:val="18"/>
          <w:color w:val="auto"/>
        </w:rPr>
        <w:t>Fortune 500 Employers- Benefits Departments</w:t>
      </w:r>
    </w:p>
    <w:p>
      <w:pPr>
        <w:spacing w:after="0" w:line="9" w:lineRule="exact"/>
        <w:rPr>
          <w:rFonts w:ascii="Arial" w:cs="Arial" w:eastAsia="Arial" w:hAnsi="Arial"/>
          <w:sz w:val="18"/>
          <w:szCs w:val="18"/>
          <w:color w:val="auto"/>
        </w:rPr>
      </w:pPr>
    </w:p>
    <w:p>
      <w:pPr>
        <w:ind w:left="100" w:hanging="92"/>
        <w:spacing w:after="0"/>
        <w:tabs>
          <w:tab w:leader="none" w:pos="100" w:val="left"/>
        </w:tabs>
        <w:numPr>
          <w:ilvl w:val="0"/>
          <w:numId w:val="26"/>
        </w:numPr>
        <w:rPr>
          <w:rFonts w:ascii="Arial" w:cs="Arial" w:eastAsia="Arial" w:hAnsi="Arial"/>
          <w:sz w:val="18"/>
          <w:szCs w:val="18"/>
          <w:color w:val="auto"/>
        </w:rPr>
      </w:pPr>
      <w:r>
        <w:rPr>
          <w:rFonts w:ascii="Arial" w:cs="Arial" w:eastAsia="Arial" w:hAnsi="Arial"/>
          <w:sz w:val="18"/>
          <w:szCs w:val="18"/>
          <w:color w:val="auto"/>
        </w:rPr>
        <w:t>Unions and Other Church and Civic organizations</w:t>
      </w:r>
    </w:p>
    <w:p>
      <w:pPr>
        <w:spacing w:after="0" w:line="265"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For distribution and sales purposes, we rely on internal and independent sales representatives. Additionally, the Company has entered into co-promotional agreements with Cegedim Dendrite and Sudler &amp; Hennessey, a division of WPP.</w:t>
      </w:r>
    </w:p>
    <w:p>
      <w:pPr>
        <w:spacing w:after="0" w:line="22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Research and Development</w:t>
      </w:r>
    </w:p>
    <w:p>
      <w:pPr>
        <w:spacing w:after="0" w:line="283"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All of our key members are part of our continual research development team and monitor new technologies, trends, services and partnerships that can provide us with additional services, value to healthcare and pharmaceutical industries and to the patients we serve.</w:t>
      </w:r>
    </w:p>
    <w:p>
      <w:pPr>
        <w:spacing w:after="0" w:line="224"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We are currently in launch phase with ADHERxE to allow pharmaceutical and healthcare manufacturers unique way to engage and monitor patients each month in exchange for activation of their next savings offer.</w:t>
      </w:r>
    </w:p>
    <w:p>
      <w:pPr>
        <w:spacing w:after="0" w:line="224"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We seek to educate our team through understanding of all market dynamics that have the potential to affect our business both short term and longer term. Our primary goal is to help patients better afford and access the medicines their doctor prescribes, as well as other healthcare products and services they need. Based on this, we continually seek better ways to meet this mission through technology, better user experience and new ways we can engage industries to provide new support program to patients needing their products.</w:t>
      </w:r>
    </w:p>
    <w:p>
      <w:pPr>
        <w:spacing w:after="0" w:line="241"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Like any company, we are seeking new services and solutions to offer. However, our three current platforms provide robust opportunities and growth during the next five years.</w:t>
      </w:r>
    </w:p>
    <w:p>
      <w:pPr>
        <w:spacing w:after="0" w:line="22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Competition</w:t>
      </w:r>
    </w:p>
    <w:p>
      <w:pPr>
        <w:spacing w:after="0" w:line="283" w:lineRule="exact"/>
        <w:rPr>
          <w:sz w:val="20"/>
          <w:szCs w:val="20"/>
          <w:color w:val="auto"/>
        </w:rPr>
      </w:pPr>
    </w:p>
    <w:p>
      <w:pPr>
        <w:jc w:val="both"/>
        <w:spacing w:after="0" w:line="312" w:lineRule="auto"/>
        <w:rPr>
          <w:sz w:val="20"/>
          <w:szCs w:val="20"/>
          <w:color w:val="auto"/>
        </w:rPr>
      </w:pPr>
      <w:r>
        <w:rPr>
          <w:rFonts w:ascii="Arial" w:cs="Arial" w:eastAsia="Arial" w:hAnsi="Arial"/>
          <w:sz w:val="16"/>
          <w:szCs w:val="16"/>
          <w:color w:val="auto"/>
        </w:rPr>
        <w:t>We will compete in the highly competitive pharmaceutical and healthcare advertising industry that is dominated by large well-known companies with established names, solid market niches, wide arrays of product offerings and marketing networks. Our largest competitors include a variety of healthcare website publishers and networks who provide online advertising competition to OPTIMIZERx.com, including Quality Health, WebMD and Drugs.com.</w:t>
      </w:r>
    </w:p>
    <w:p>
      <w:pPr>
        <w:spacing w:after="0" w:line="201"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However, each could also be a partner in co-promotion of exclusive offer and adherence campaigns we create on behalf of the client through OFFERx and ADHERxE.</w:t>
      </w:r>
    </w:p>
    <w:p>
      <w:pPr>
        <w:spacing w:after="0" w:line="224"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Additional competition could be other competitors to our exclusive partnership with Cegedim Dendrite, such as McKesson, who provide similar offer redemption services through a network of pharmacies.</w:t>
      </w:r>
    </w:p>
    <w:p>
      <w:pPr>
        <w:spacing w:after="0" w:line="224"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 xml:space="preserve">Our competitors may be able to enter into the field by developing a website to promote health care offers. However, they are limited from not being able to create, promote and manage </w:t>
      </w:r>
      <w:r>
        <w:rPr>
          <w:rFonts w:ascii="Arial" w:cs="Arial" w:eastAsia="Arial" w:hAnsi="Arial"/>
          <w:sz w:val="18"/>
          <w:szCs w:val="18"/>
          <w:u w:val="single" w:color="auto"/>
          <w:color w:val="auto"/>
        </w:rPr>
        <w:t>new</w:t>
      </w:r>
      <w:r>
        <w:rPr>
          <w:rFonts w:ascii="Arial" w:cs="Arial" w:eastAsia="Arial" w:hAnsi="Arial"/>
          <w:sz w:val="18"/>
          <w:szCs w:val="18"/>
          <w:color w:val="auto"/>
        </w:rPr>
        <w:t xml:space="preserve"> and exclusive prescription trial or offers. Additionally, with ADHERxE and the ability to create multiple offers activated each month for returning patients who sign up, we are uniquely positioned with significant barriers to entry.</w:t>
      </w:r>
    </w:p>
    <w:p>
      <w:pPr>
        <w:spacing w:after="0" w:line="23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Intellectual Property</w:t>
      </w:r>
    </w:p>
    <w:p>
      <w:pPr>
        <w:spacing w:after="0" w:line="283"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All key aspects of our promotional and offer development platforms are pending patent review. However, business is not predicated on being awarded patent exclusiveness. Rather, represents a huge asset and further opportunity upon its receipt.</w:t>
      </w:r>
    </w:p>
    <w:p>
      <w:pPr>
        <w:spacing w:after="0" w:line="224" w:lineRule="exact"/>
        <w:rPr>
          <w:sz w:val="20"/>
          <w:szCs w:val="20"/>
          <w:color w:val="auto"/>
        </w:rPr>
      </w:pPr>
    </w:p>
    <w:p>
      <w:pPr>
        <w:spacing w:after="0"/>
        <w:rPr>
          <w:sz w:val="20"/>
          <w:szCs w:val="20"/>
          <w:color w:val="auto"/>
        </w:rPr>
      </w:pPr>
      <w:r>
        <w:rPr>
          <w:rFonts w:ascii="Arial" w:cs="Arial" w:eastAsia="Arial" w:hAnsi="Arial"/>
          <w:sz w:val="18"/>
          <w:szCs w:val="18"/>
          <w:color w:val="auto"/>
        </w:rPr>
        <w:t>OPTIMIZERx is a licensed trademark.</w:t>
      </w:r>
    </w:p>
    <w:p>
      <w:pPr>
        <w:spacing w:after="0" w:line="279"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Our intellectual property is developed significantly each month. Since inception, we have developed and launched OFFERx and ADHERxE and our further integrating these platforms to provide more robust offerings. OPTIMIZERx.com and OFFERx are patent pending.</w:t>
      </w:r>
    </w:p>
    <w:p>
      <w:pPr>
        <w:spacing w:after="0" w:line="200" w:lineRule="exact"/>
        <w:rPr>
          <w:sz w:val="20"/>
          <w:szCs w:val="20"/>
          <w:color w:val="auto"/>
        </w:rPr>
      </w:pPr>
    </w:p>
    <w:p>
      <w:pPr>
        <w:spacing w:after="0" w:line="26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246620" cy="889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634" w:right="239" w:bottom="1440" w:gutter="0" w:footer="0" w:header="0"/>
        </w:sectPr>
      </w:pPr>
    </w:p>
    <w:bookmarkStart w:id="27" w:name="page28"/>
    <w:bookmarkEnd w:id="27"/>
    <w:p>
      <w:pPr>
        <w:spacing w:after="0"/>
        <w:rPr>
          <w:sz w:val="20"/>
          <w:szCs w:val="20"/>
          <w:color w:val="auto"/>
        </w:rPr>
      </w:pPr>
      <w:r>
        <w:rPr>
          <w:rFonts w:ascii="Arial" w:cs="Arial" w:eastAsia="Arial" w:hAnsi="Arial"/>
          <w:sz w:val="18"/>
          <w:szCs w:val="18"/>
          <w:color w:val="auto"/>
        </w:rPr>
        <w:t>The following table summarizes the status of our patents and patent applications as of the date hereof:</w:t>
      </w:r>
    </w:p>
    <w:p>
      <w:pPr>
        <w:spacing w:after="0" w:line="275"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20" w:type="dxa"/>
            <w:vAlign w:val="bottom"/>
          </w:tcPr>
          <w:p>
            <w:pPr>
              <w:spacing w:after="0"/>
              <w:rPr>
                <w:sz w:val="18"/>
                <w:szCs w:val="18"/>
                <w:color w:val="auto"/>
              </w:rPr>
            </w:pPr>
          </w:p>
        </w:tc>
        <w:tc>
          <w:tcPr>
            <w:tcW w:w="2200" w:type="dxa"/>
            <w:vAlign w:val="bottom"/>
          </w:tcPr>
          <w:p>
            <w:pPr>
              <w:jc w:val="center"/>
              <w:ind w:left="10"/>
              <w:spacing w:after="0"/>
              <w:rPr>
                <w:sz w:val="20"/>
                <w:szCs w:val="20"/>
                <w:color w:val="auto"/>
              </w:rPr>
            </w:pPr>
            <w:r>
              <w:rPr>
                <w:rFonts w:ascii="Arial" w:cs="Arial" w:eastAsia="Arial" w:hAnsi="Arial"/>
                <w:sz w:val="18"/>
                <w:szCs w:val="18"/>
                <w:b w:val="1"/>
                <w:bCs w:val="1"/>
                <w:color w:val="auto"/>
                <w:w w:val="93"/>
              </w:rPr>
              <w:t>App Number/</w:t>
            </w:r>
          </w:p>
        </w:tc>
        <w:tc>
          <w:tcPr>
            <w:tcW w:w="4840" w:type="dxa"/>
            <w:vAlign w:val="bottom"/>
          </w:tcPr>
          <w:p>
            <w:pPr>
              <w:jc w:val="center"/>
              <w:ind w:left="70"/>
              <w:spacing w:after="0"/>
              <w:rPr>
                <w:sz w:val="20"/>
                <w:szCs w:val="20"/>
                <w:color w:val="auto"/>
              </w:rPr>
            </w:pPr>
            <w:r>
              <w:rPr>
                <w:rFonts w:ascii="Arial" w:cs="Arial" w:eastAsia="Arial" w:hAnsi="Arial"/>
                <w:sz w:val="18"/>
                <w:szCs w:val="18"/>
                <w:b w:val="1"/>
                <w:bCs w:val="1"/>
                <w:color w:val="auto"/>
                <w:w w:val="93"/>
              </w:rPr>
              <w:t>Brief Summary</w:t>
            </w:r>
          </w:p>
        </w:tc>
        <w:tc>
          <w:tcPr>
            <w:tcW w:w="4360" w:type="dxa"/>
            <w:vAlign w:val="bottom"/>
            <w:vMerge w:val="restart"/>
          </w:tcPr>
          <w:p>
            <w:pPr>
              <w:ind w:left="2040"/>
              <w:spacing w:after="0"/>
              <w:rPr>
                <w:sz w:val="20"/>
                <w:szCs w:val="20"/>
                <w:color w:val="auto"/>
              </w:rPr>
            </w:pPr>
            <w:r>
              <w:rPr>
                <w:rFonts w:ascii="Arial" w:cs="Arial" w:eastAsia="Arial" w:hAnsi="Arial"/>
                <w:sz w:val="18"/>
                <w:szCs w:val="18"/>
                <w:b w:val="1"/>
                <w:bCs w:val="1"/>
                <w:color w:val="auto"/>
              </w:rPr>
              <w:t>Status</w:t>
            </w:r>
          </w:p>
        </w:tc>
        <w:tc>
          <w:tcPr>
            <w:tcW w:w="0" w:type="dxa"/>
            <w:vAlign w:val="bottom"/>
          </w:tcPr>
          <w:p>
            <w:pPr>
              <w:spacing w:after="0"/>
              <w:rPr>
                <w:sz w:val="1"/>
                <w:szCs w:val="1"/>
                <w:color w:val="auto"/>
              </w:rPr>
            </w:pPr>
          </w:p>
        </w:tc>
      </w:tr>
      <w:tr>
        <w:trPr>
          <w:trHeight w:val="126"/>
        </w:trPr>
        <w:tc>
          <w:tcPr>
            <w:tcW w:w="20" w:type="dxa"/>
            <w:vAlign w:val="bottom"/>
          </w:tcPr>
          <w:p>
            <w:pPr>
              <w:spacing w:after="0"/>
              <w:rPr>
                <w:sz w:val="10"/>
                <w:szCs w:val="10"/>
                <w:color w:val="auto"/>
              </w:rPr>
            </w:pPr>
          </w:p>
        </w:tc>
        <w:tc>
          <w:tcPr>
            <w:tcW w:w="2200" w:type="dxa"/>
            <w:vAlign w:val="bottom"/>
            <w:vMerge w:val="restart"/>
          </w:tcPr>
          <w:p>
            <w:pPr>
              <w:jc w:val="center"/>
              <w:ind w:left="10"/>
              <w:spacing w:after="0"/>
              <w:rPr>
                <w:sz w:val="20"/>
                <w:szCs w:val="20"/>
                <w:color w:val="auto"/>
              </w:rPr>
            </w:pPr>
            <w:r>
              <w:rPr>
                <w:rFonts w:ascii="Arial" w:cs="Arial" w:eastAsia="Arial" w:hAnsi="Arial"/>
                <w:sz w:val="18"/>
                <w:szCs w:val="18"/>
                <w:b w:val="1"/>
                <w:bCs w:val="1"/>
                <w:color w:val="auto"/>
                <w:w w:val="93"/>
              </w:rPr>
              <w:t>Filing Date</w:t>
            </w:r>
          </w:p>
        </w:tc>
        <w:tc>
          <w:tcPr>
            <w:tcW w:w="4840" w:type="dxa"/>
            <w:vAlign w:val="bottom"/>
            <w:vMerge w:val="restart"/>
          </w:tcPr>
          <w:p>
            <w:pPr>
              <w:jc w:val="center"/>
              <w:ind w:left="70"/>
              <w:spacing w:after="0"/>
              <w:rPr>
                <w:sz w:val="20"/>
                <w:szCs w:val="20"/>
                <w:color w:val="auto"/>
              </w:rPr>
            </w:pPr>
            <w:r>
              <w:rPr>
                <w:rFonts w:ascii="Arial" w:cs="Arial" w:eastAsia="Arial" w:hAnsi="Arial"/>
                <w:sz w:val="18"/>
                <w:szCs w:val="18"/>
                <w:b w:val="1"/>
                <w:bCs w:val="1"/>
                <w:color w:val="auto"/>
                <w:w w:val="88"/>
              </w:rPr>
              <w:t>(Products Covered)</w:t>
            </w:r>
          </w:p>
        </w:tc>
        <w:tc>
          <w:tcPr>
            <w:tcW w:w="436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15"/>
        </w:trPr>
        <w:tc>
          <w:tcPr>
            <w:tcW w:w="20" w:type="dxa"/>
            <w:vAlign w:val="bottom"/>
          </w:tcPr>
          <w:p>
            <w:pPr>
              <w:spacing w:after="0"/>
              <w:rPr>
                <w:sz w:val="10"/>
                <w:szCs w:val="10"/>
                <w:color w:val="auto"/>
              </w:rPr>
            </w:pPr>
          </w:p>
        </w:tc>
        <w:tc>
          <w:tcPr>
            <w:tcW w:w="2200" w:type="dxa"/>
            <w:vAlign w:val="bottom"/>
            <w:tcBorders>
              <w:bottom w:val="single" w:sz="8" w:color="auto"/>
            </w:tcBorders>
            <w:vMerge w:val="continue"/>
          </w:tcPr>
          <w:p>
            <w:pPr>
              <w:spacing w:after="0"/>
              <w:rPr>
                <w:sz w:val="10"/>
                <w:szCs w:val="10"/>
                <w:color w:val="auto"/>
              </w:rPr>
            </w:pPr>
          </w:p>
        </w:tc>
        <w:tc>
          <w:tcPr>
            <w:tcW w:w="4840" w:type="dxa"/>
            <w:vAlign w:val="bottom"/>
            <w:tcBorders>
              <w:bottom w:val="single" w:sz="8" w:color="auto"/>
            </w:tcBorders>
            <w:vMerge w:val="continue"/>
          </w:tcPr>
          <w:p>
            <w:pPr>
              <w:spacing w:after="0"/>
              <w:rPr>
                <w:sz w:val="10"/>
                <w:szCs w:val="10"/>
                <w:color w:val="auto"/>
              </w:rPr>
            </w:pPr>
          </w:p>
        </w:tc>
        <w:tc>
          <w:tcPr>
            <w:tcW w:w="4360" w:type="dxa"/>
            <w:vAlign w:val="bottom"/>
            <w:tcBorders>
              <w:bottom w:val="single" w:sz="8" w:color="auto"/>
            </w:tcBorders>
          </w:tcPr>
          <w:p>
            <w:pPr>
              <w:spacing w:after="0"/>
              <w:rPr>
                <w:sz w:val="10"/>
                <w:szCs w:val="10"/>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2200" w:type="dxa"/>
            <w:vAlign w:val="bottom"/>
            <w:shd w:val="clear" w:color="auto" w:fill="EEEEEE"/>
          </w:tcPr>
          <w:p>
            <w:pPr>
              <w:spacing w:after="0" w:line="201" w:lineRule="exact"/>
              <w:rPr>
                <w:sz w:val="20"/>
                <w:szCs w:val="20"/>
                <w:color w:val="auto"/>
              </w:rPr>
            </w:pPr>
            <w:r>
              <w:rPr>
                <w:rFonts w:ascii="Arial" w:cs="Arial" w:eastAsia="Arial" w:hAnsi="Arial"/>
                <w:sz w:val="18"/>
                <w:szCs w:val="18"/>
                <w:color w:val="auto"/>
              </w:rPr>
              <w:t>S.N. 11/528,292</w:t>
            </w:r>
          </w:p>
        </w:tc>
        <w:tc>
          <w:tcPr>
            <w:tcW w:w="4840" w:type="dxa"/>
            <w:vAlign w:val="bottom"/>
            <w:shd w:val="clear" w:color="auto" w:fill="EEEEEE"/>
          </w:tcPr>
          <w:p>
            <w:pPr>
              <w:ind w:left="360"/>
              <w:spacing w:after="0" w:line="201" w:lineRule="exact"/>
              <w:rPr>
                <w:sz w:val="20"/>
                <w:szCs w:val="20"/>
                <w:color w:val="auto"/>
              </w:rPr>
            </w:pPr>
            <w:r>
              <w:rPr>
                <w:rFonts w:ascii="Arial" w:cs="Arial" w:eastAsia="Arial" w:hAnsi="Arial"/>
                <w:sz w:val="18"/>
                <w:szCs w:val="18"/>
                <w:color w:val="auto"/>
                <w:w w:val="96"/>
              </w:rPr>
              <w:t>System for providing patient savings and promoting health</w:t>
            </w:r>
          </w:p>
        </w:tc>
        <w:tc>
          <w:tcPr>
            <w:tcW w:w="4360" w:type="dxa"/>
            <w:vAlign w:val="bottom"/>
            <w:vMerge w:val="restart"/>
            <w:shd w:val="clear" w:color="auto" w:fill="EEEEEE"/>
          </w:tcPr>
          <w:p>
            <w:pPr>
              <w:ind w:left="260"/>
              <w:spacing w:after="0"/>
              <w:rPr>
                <w:sz w:val="20"/>
                <w:szCs w:val="20"/>
                <w:color w:val="auto"/>
              </w:rPr>
            </w:pPr>
            <w:r>
              <w:rPr>
                <w:rFonts w:ascii="Arial" w:cs="Arial" w:eastAsia="Arial" w:hAnsi="Arial"/>
                <w:sz w:val="18"/>
                <w:szCs w:val="18"/>
                <w:color w:val="auto"/>
              </w:rPr>
              <w:t>Patent application pending.</w:t>
            </w:r>
          </w:p>
        </w:tc>
        <w:tc>
          <w:tcPr>
            <w:tcW w:w="0" w:type="dxa"/>
            <w:vAlign w:val="bottom"/>
          </w:tcPr>
          <w:p>
            <w:pPr>
              <w:spacing w:after="0"/>
              <w:rPr>
                <w:sz w:val="1"/>
                <w:szCs w:val="1"/>
                <w:color w:val="auto"/>
              </w:rPr>
            </w:pPr>
          </w:p>
        </w:tc>
      </w:tr>
      <w:tr>
        <w:trPr>
          <w:trHeight w:val="122"/>
        </w:trPr>
        <w:tc>
          <w:tcPr>
            <w:tcW w:w="20" w:type="dxa"/>
            <w:vAlign w:val="bottom"/>
          </w:tcPr>
          <w:p>
            <w:pPr>
              <w:spacing w:after="0"/>
              <w:rPr>
                <w:sz w:val="10"/>
                <w:szCs w:val="10"/>
                <w:color w:val="auto"/>
              </w:rPr>
            </w:pPr>
          </w:p>
        </w:tc>
        <w:tc>
          <w:tcPr>
            <w:tcW w:w="2200" w:type="dxa"/>
            <w:vAlign w:val="bottom"/>
            <w:vMerge w:val="restart"/>
            <w:shd w:val="clear" w:color="auto" w:fill="EEEEEE"/>
          </w:tcPr>
          <w:p>
            <w:pPr>
              <w:spacing w:after="0"/>
              <w:rPr>
                <w:sz w:val="20"/>
                <w:szCs w:val="20"/>
                <w:color w:val="auto"/>
              </w:rPr>
            </w:pPr>
            <w:r>
              <w:rPr>
                <w:rFonts w:ascii="Arial" w:cs="Arial" w:eastAsia="Arial" w:hAnsi="Arial"/>
                <w:sz w:val="18"/>
                <w:szCs w:val="18"/>
                <w:color w:val="auto"/>
              </w:rPr>
              <w:t>September 27, 2006</w:t>
            </w:r>
          </w:p>
        </w:tc>
        <w:tc>
          <w:tcPr>
            <w:tcW w:w="4840" w:type="dxa"/>
            <w:vAlign w:val="bottom"/>
            <w:vMerge w:val="restart"/>
            <w:shd w:val="clear" w:color="auto" w:fill="EEEEEE"/>
          </w:tcPr>
          <w:p>
            <w:pPr>
              <w:ind w:left="360"/>
              <w:spacing w:after="0"/>
              <w:rPr>
                <w:sz w:val="20"/>
                <w:szCs w:val="20"/>
                <w:color w:val="auto"/>
              </w:rPr>
            </w:pPr>
            <w:r>
              <w:rPr>
                <w:rFonts w:ascii="Arial" w:cs="Arial" w:eastAsia="Arial" w:hAnsi="Arial"/>
                <w:sz w:val="18"/>
                <w:szCs w:val="18"/>
                <w:color w:val="auto"/>
              </w:rPr>
              <w:t>care product sales</w:t>
            </w:r>
          </w:p>
        </w:tc>
        <w:tc>
          <w:tcPr>
            <w:tcW w:w="4360" w:type="dxa"/>
            <w:vAlign w:val="bottom"/>
            <w:vMerge w:val="continue"/>
            <w:shd w:val="clear" w:color="auto" w:fill="EEEEEE"/>
          </w:tcPr>
          <w:p>
            <w:pPr>
              <w:spacing w:after="0"/>
              <w:rPr>
                <w:sz w:val="10"/>
                <w:szCs w:val="10"/>
                <w:color w:val="auto"/>
              </w:rPr>
            </w:pPr>
          </w:p>
        </w:tc>
        <w:tc>
          <w:tcPr>
            <w:tcW w:w="0" w:type="dxa"/>
            <w:vAlign w:val="bottom"/>
          </w:tcPr>
          <w:p>
            <w:pPr>
              <w:spacing w:after="0"/>
              <w:rPr>
                <w:sz w:val="1"/>
                <w:szCs w:val="1"/>
                <w:color w:val="auto"/>
              </w:rPr>
            </w:pPr>
          </w:p>
        </w:tc>
      </w:tr>
      <w:tr>
        <w:trPr>
          <w:trHeight w:val="115"/>
        </w:trPr>
        <w:tc>
          <w:tcPr>
            <w:tcW w:w="20" w:type="dxa"/>
            <w:vAlign w:val="bottom"/>
          </w:tcPr>
          <w:p>
            <w:pPr>
              <w:spacing w:after="0"/>
              <w:rPr>
                <w:sz w:val="10"/>
                <w:szCs w:val="10"/>
                <w:color w:val="auto"/>
              </w:rPr>
            </w:pPr>
          </w:p>
        </w:tc>
        <w:tc>
          <w:tcPr>
            <w:tcW w:w="2200" w:type="dxa"/>
            <w:vAlign w:val="bottom"/>
            <w:tcBorders>
              <w:bottom w:val="single" w:sz="8" w:color="auto"/>
            </w:tcBorders>
            <w:vMerge w:val="continue"/>
            <w:shd w:val="clear" w:color="auto" w:fill="EEEEEE"/>
          </w:tcPr>
          <w:p>
            <w:pPr>
              <w:spacing w:after="0"/>
              <w:rPr>
                <w:sz w:val="10"/>
                <w:szCs w:val="10"/>
                <w:color w:val="auto"/>
              </w:rPr>
            </w:pPr>
          </w:p>
        </w:tc>
        <w:tc>
          <w:tcPr>
            <w:tcW w:w="4840" w:type="dxa"/>
            <w:vAlign w:val="bottom"/>
            <w:tcBorders>
              <w:bottom w:val="single" w:sz="8" w:color="auto"/>
            </w:tcBorders>
            <w:vMerge w:val="continue"/>
            <w:shd w:val="clear" w:color="auto" w:fill="EEEEEE"/>
          </w:tcPr>
          <w:p>
            <w:pPr>
              <w:spacing w:after="0"/>
              <w:rPr>
                <w:sz w:val="10"/>
                <w:szCs w:val="10"/>
                <w:color w:val="auto"/>
              </w:rPr>
            </w:pPr>
          </w:p>
        </w:tc>
        <w:tc>
          <w:tcPr>
            <w:tcW w:w="4360" w:type="dxa"/>
            <w:vAlign w:val="bottom"/>
            <w:tcBorders>
              <w:bottom w:val="single" w:sz="8" w:color="auto"/>
            </w:tcBorders>
            <w:shd w:val="clear" w:color="auto" w:fill="EEEEEE"/>
          </w:tcPr>
          <w:p>
            <w:pPr>
              <w:spacing w:after="0"/>
              <w:rPr>
                <w:sz w:val="10"/>
                <w:szCs w:val="10"/>
                <w:color w:val="auto"/>
              </w:rPr>
            </w:pPr>
          </w:p>
        </w:tc>
        <w:tc>
          <w:tcPr>
            <w:tcW w:w="0" w:type="dxa"/>
            <w:vAlign w:val="bottom"/>
          </w:tcPr>
          <w:p>
            <w:pPr>
              <w:spacing w:after="0"/>
              <w:rPr>
                <w:sz w:val="1"/>
                <w:szCs w:val="1"/>
                <w:color w:val="auto"/>
              </w:rPr>
            </w:pPr>
          </w:p>
        </w:tc>
      </w:tr>
      <w:tr>
        <w:trPr>
          <w:trHeight w:val="486"/>
        </w:trPr>
        <w:tc>
          <w:tcPr>
            <w:tcW w:w="2220" w:type="dxa"/>
            <w:vAlign w:val="bottom"/>
            <w:gridSpan w:val="2"/>
          </w:tcPr>
          <w:p>
            <w:pPr>
              <w:spacing w:after="0"/>
              <w:rPr>
                <w:sz w:val="20"/>
                <w:szCs w:val="20"/>
                <w:color w:val="auto"/>
              </w:rPr>
            </w:pPr>
            <w:r>
              <w:rPr>
                <w:rFonts w:ascii="Arial" w:cs="Arial" w:eastAsia="Arial" w:hAnsi="Arial"/>
                <w:sz w:val="18"/>
                <w:szCs w:val="18"/>
                <w:b w:val="1"/>
                <w:bCs w:val="1"/>
                <w:color w:val="auto"/>
              </w:rPr>
              <w:t>Government Regulation</w:t>
            </w:r>
          </w:p>
        </w:tc>
        <w:tc>
          <w:tcPr>
            <w:tcW w:w="4840" w:type="dxa"/>
            <w:vAlign w:val="bottom"/>
          </w:tcPr>
          <w:p>
            <w:pPr>
              <w:spacing w:after="0"/>
              <w:rPr>
                <w:sz w:val="24"/>
                <w:szCs w:val="24"/>
                <w:color w:val="auto"/>
              </w:rPr>
            </w:pPr>
          </w:p>
        </w:tc>
        <w:tc>
          <w:tcPr>
            <w:tcW w:w="436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5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Fraud and Abuse Laws</w:t>
      </w:r>
    </w:p>
    <w:p>
      <w:pPr>
        <w:spacing w:after="0" w:line="27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Anti-Kickback Statutes</w:t>
      </w:r>
    </w:p>
    <w:p>
      <w:pPr>
        <w:spacing w:after="0" w:line="283" w:lineRule="exact"/>
        <w:rPr>
          <w:sz w:val="20"/>
          <w:szCs w:val="20"/>
          <w:color w:val="auto"/>
        </w:rPr>
      </w:pPr>
    </w:p>
    <w:p>
      <w:pPr>
        <w:jc w:val="both"/>
        <w:spacing w:after="0" w:line="284" w:lineRule="auto"/>
        <w:rPr>
          <w:sz w:val="20"/>
          <w:szCs w:val="20"/>
          <w:color w:val="auto"/>
        </w:rPr>
      </w:pPr>
      <w:r>
        <w:rPr>
          <w:rFonts w:ascii="Arial" w:cs="Arial" w:eastAsia="Arial" w:hAnsi="Arial"/>
          <w:sz w:val="16"/>
          <w:szCs w:val="16"/>
          <w:color w:val="auto"/>
        </w:rPr>
        <w:t>The federal healthcare program Anti-Kickback Statute prohibits persons from knowingly and willfully soliciting, offering, receiving or providing remuneration, directly or indirectly, in exchange for or to induce either the referral of an individual for, or the furnishing, arranging for or recommending a good or service for which payment may be made in whole or part under a federal healthcare program such as Medicare or Medicaid. The definition of remuneration has been broadly interpreted to include anything of value, including for example gifts, discounts, the furnishing of supplies or equipment, credit arrangements, payments of cash and waivers of payments. Several courts have interpreted the statute's intent requirement to mean that if any one purpose of an arrangement involving remuneration is to induce referrals or otherwise generate business involving goods or services reimbursed in whole or in part under federal healthcare programs, the statute has been violated. The law contains a few statutory exceptions, including payments to bona fide employees, certain discounts and certain payments to group purchasing organizations. Violations can result in significant penalties, imprisonment and exclusion from Medicare, Medicaid and other federal healthcare programs. Exclusion of a manufacturer would preclude any federal healthcare program from paying for its products. In addition, kickback arrangements can provide the basis for an action under the Federal False Claims Act, which is discussed in more detail below. The Anti-Kickback Statute is broad and potentially prohibits many arrangements and practices that are lawful in businesses outside of the healthcare industry. Recognizing that the Anti-Kickback Statute is broad and may technically prohibit many innocuous or beneficial arrangements, the Office of Inspector General of Health and Human Services, or OIG, issued a series of regulations, known as the safe harbors, beginning in July 1991. These safe harbors set forth provisions that, if all the applicable requirements are met, will assure healthcare providers and other parties that they will not be prosecuted under the Anti-Kickback Statute. The failure of a transaction or arrangement to fit precisely within one or more safe harbors does not necessarily mean that it is illegal or that prosecution will be pursued. However, conduct and business arrangements that do not fully satisfy each applicable safe harbor may result in increased scrutiny by government enforcement authorities such as the OIG. Arrangements that implicate the Anti-Kickback Law, and that do not fall within a safe harbor, are analyzed by the OIG on a case-by-case basis. Government officials have focused recent enforcement efforts on, among other things, the sales and marketing activities of healthcare companies, and recently have brought cases against individuals or entities with personnel who allegedly offered unlawful inducements to potential or existing customers in an attempt to procure their business. Settlements of these cases by healthcare companies have involved significant fines and/or penalties and in some instances criminal pleas. In addition to the Federal Anti-Kickback Statute, many states have their own kickback laws. Often, these laws closely follow the language of the federal law, although they do not always have the same exceptions or safe harbors. In some states, these anti-kickback laws apply with respect to all payors, including commercial health insurance companies.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False Claims Laws</w:t>
      </w:r>
    </w:p>
    <w:p>
      <w:pPr>
        <w:spacing w:after="0" w:line="283" w:lineRule="exact"/>
        <w:rPr>
          <w:sz w:val="20"/>
          <w:szCs w:val="20"/>
          <w:color w:val="auto"/>
        </w:rPr>
      </w:pPr>
    </w:p>
    <w:p>
      <w:pPr>
        <w:jc w:val="both"/>
        <w:spacing w:after="0" w:line="253" w:lineRule="auto"/>
        <w:rPr>
          <w:sz w:val="20"/>
          <w:szCs w:val="20"/>
          <w:color w:val="auto"/>
        </w:rPr>
      </w:pPr>
      <w:r>
        <w:rPr>
          <w:rFonts w:ascii="Arial" w:cs="Arial" w:eastAsia="Arial" w:hAnsi="Arial"/>
          <w:sz w:val="18"/>
          <w:szCs w:val="18"/>
          <w:color w:val="auto"/>
        </w:rPr>
        <w:t>Federal false claims laws prohibit any person from knowingly presenting, or causing to be presented, a false claim for payment to the federal government or knowingly making, or causing to be made, a false statement to get a false claim paid. Manufacturers can be held liable under false claims laws, even if they do not submit claims to the government, if they are found to have caused submission of false claims. The Federal Civil False Claims Act also includes whistle blower provisions that allow private citizens to bring suit against an entity or individual on behalf of the United States and to recover a portion of any monetary recovery. Many of the recent highly publicized settlements in the healthcare industry related to sales and marketing practices have been cases brought under the False Claims Act. The majority of states also have statutes or regulations similar to the federal false claims laws, which apply to items and services reimbursed under Medicaid and other state programs, or, in several states, apply regardless of the payor. Sanctions under these federal and state laws may include civil monetary penalties, exclusion of a manufacturer's products from reimbursement under government programs, criminal fines and imprisonment.</w:t>
      </w:r>
    </w:p>
    <w:p>
      <w:pPr>
        <w:spacing w:after="0" w:line="24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Privacy and Security</w:t>
      </w:r>
    </w:p>
    <w:p>
      <w:pPr>
        <w:spacing w:after="0" w:line="229" w:lineRule="exact"/>
        <w:rPr>
          <w:sz w:val="20"/>
          <w:szCs w:val="20"/>
          <w:color w:val="auto"/>
        </w:rPr>
      </w:pPr>
    </w:p>
    <w:p>
      <w:pPr>
        <w:jc w:val="both"/>
        <w:spacing w:after="0" w:line="272" w:lineRule="auto"/>
        <w:rPr>
          <w:sz w:val="20"/>
          <w:szCs w:val="20"/>
          <w:color w:val="auto"/>
        </w:rPr>
      </w:pPr>
      <w:r>
        <w:rPr>
          <w:rFonts w:ascii="Arial" w:cs="Arial" w:eastAsia="Arial" w:hAnsi="Arial"/>
          <w:sz w:val="17"/>
          <w:szCs w:val="17"/>
          <w:color w:val="auto"/>
        </w:rPr>
        <w:t>The Health Insurance Portability and Accountability Act of 1996, or HIPAA, and the rules promulgated there under require certain entities, referred to as covered entities, to comply with established standards, including standards regarding the privacy and security of protected health information, or PHI. HIPAA further requires that covered entities enter into agreements meeting certain regulatory requirements with their business associates, as such term is defined by HIPAA, which, among other things, obligate the business associates to safeguard the covered entity's PHI against improper use and disclosure. While not directly regulated by HIPAA, our customers or distributors might face significant contractual liability pursuant to such an agreement if the business associate breaches the agreement or causes the covered entity to fail to comply with HIPAA. It is possible that HIPPA compliance could become a substantial regulatory burden and expense to our operations, although we do not believe that this will occur as a general website publisher.</w:t>
      </w:r>
    </w:p>
    <w:p>
      <w:pPr>
        <w:spacing w:after="0" w:line="200" w:lineRule="exact"/>
        <w:rPr>
          <w:sz w:val="20"/>
          <w:szCs w:val="20"/>
          <w:color w:val="auto"/>
        </w:rPr>
      </w:pPr>
    </w:p>
    <w:p>
      <w:pPr>
        <w:spacing w:after="0" w:line="27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246620" cy="889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611" w:right="239" w:bottom="1440" w:gutter="0" w:footer="0" w:header="0"/>
        </w:sectPr>
      </w:pPr>
    </w:p>
    <w:bookmarkStart w:id="28" w:name="page29"/>
    <w:bookmarkEnd w:id="28"/>
    <w:p>
      <w:pPr>
        <w:spacing w:after="0"/>
        <w:rPr>
          <w:sz w:val="20"/>
          <w:szCs w:val="20"/>
          <w:color w:val="auto"/>
        </w:rPr>
      </w:pPr>
      <w:r>
        <w:rPr>
          <w:rFonts w:ascii="Arial" w:cs="Arial" w:eastAsia="Arial" w:hAnsi="Arial"/>
          <w:sz w:val="18"/>
          <w:szCs w:val="18"/>
          <w:b w:val="1"/>
          <w:bCs w:val="1"/>
          <w:color w:val="auto"/>
        </w:rPr>
        <w:t>Employees</w:t>
      </w:r>
    </w:p>
    <w:p>
      <w:pPr>
        <w:spacing w:after="0" w:line="283"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As of January 30, 2009, we had two full-time employees and four independent sales and programming contractors who perform various services for us. We also engage consultants for investor relations, accounting and legal services.</w:t>
      </w:r>
    </w:p>
    <w:p>
      <w:pPr>
        <w:spacing w:after="0" w:line="22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DESCRIPTION OF PROPERTY</w:t>
      </w:r>
    </w:p>
    <w:p>
      <w:pPr>
        <w:spacing w:after="0" w:line="283" w:lineRule="exact"/>
        <w:rPr>
          <w:sz w:val="20"/>
          <w:szCs w:val="20"/>
          <w:color w:val="auto"/>
        </w:rPr>
      </w:pPr>
    </w:p>
    <w:p>
      <w:pPr>
        <w:jc w:val="both"/>
        <w:ind w:firstLine="648"/>
        <w:spacing w:after="0" w:line="279" w:lineRule="auto"/>
        <w:rPr>
          <w:sz w:val="20"/>
          <w:szCs w:val="20"/>
          <w:color w:val="auto"/>
        </w:rPr>
      </w:pPr>
      <w:r>
        <w:rPr>
          <w:rFonts w:ascii="Arial" w:cs="Arial" w:eastAsia="Arial" w:hAnsi="Arial"/>
          <w:sz w:val="17"/>
          <w:szCs w:val="17"/>
          <w:color w:val="auto"/>
        </w:rPr>
        <w:t>Our principal executive offices are located at 407 Sixth Street, Rochester, Michigan, 48307. We have entered into a six-month lease for this 2,000 square foot facility, with a cost of approximately $2,500 per month. We additionally have f.ree offices within both Cegedim Dendrite’s US Headquarters, as well as Sudler &amp; Hennessey’s New York City offices. We believe that our properties are adequate for our current and immediately foreseeable operating needs. We do not have any policies regarding investments in real estate, securities or other forms of property.</w:t>
      </w:r>
    </w:p>
    <w:p>
      <w:pPr>
        <w:spacing w:after="0" w:line="2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LEGAL PROCEEDINGS</w:t>
      </w:r>
    </w:p>
    <w:p>
      <w:pPr>
        <w:spacing w:after="0" w:line="283" w:lineRule="exact"/>
        <w:rPr>
          <w:sz w:val="20"/>
          <w:szCs w:val="20"/>
          <w:color w:val="auto"/>
        </w:rPr>
      </w:pPr>
    </w:p>
    <w:p>
      <w:pPr>
        <w:jc w:val="both"/>
        <w:ind w:firstLine="707"/>
        <w:spacing w:after="0" w:line="264" w:lineRule="auto"/>
        <w:rPr>
          <w:sz w:val="20"/>
          <w:szCs w:val="20"/>
          <w:color w:val="auto"/>
        </w:rPr>
      </w:pPr>
      <w:r>
        <w:rPr>
          <w:rFonts w:ascii="Arial" w:cs="Arial" w:eastAsia="Arial" w:hAnsi="Arial"/>
          <w:sz w:val="18"/>
          <w:szCs w:val="18"/>
          <w:color w:val="auto"/>
        </w:rPr>
        <w:t>We are not aware of any pending or threatened litigation against us that we expect will have a material adverse effect on our business, financial condition, liquidity, or operating results. However, legal claims are inherently uncertain and we cannot assure you that we will not be adversely affected in the future by legal proceedings.</w:t>
      </w:r>
    </w:p>
    <w:p>
      <w:pPr>
        <w:spacing w:after="0" w:line="23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MARKET PRICE OF AND DIVDENDS ON COMMON EQUITY AND RELATED STOCKHOLDER MATTERS</w:t>
      </w:r>
    </w:p>
    <w:p>
      <w:pPr>
        <w:spacing w:after="0" w:line="283" w:lineRule="exact"/>
        <w:rPr>
          <w:sz w:val="20"/>
          <w:szCs w:val="20"/>
          <w:color w:val="auto"/>
        </w:rPr>
      </w:pPr>
    </w:p>
    <w:p>
      <w:pPr>
        <w:jc w:val="both"/>
        <w:ind w:firstLine="648"/>
        <w:spacing w:after="0" w:line="302" w:lineRule="auto"/>
        <w:rPr>
          <w:sz w:val="20"/>
          <w:szCs w:val="20"/>
          <w:color w:val="auto"/>
        </w:rPr>
      </w:pPr>
      <w:r>
        <w:rPr>
          <w:rFonts w:ascii="Arial" w:cs="Arial" w:eastAsia="Arial" w:hAnsi="Arial"/>
          <w:sz w:val="16"/>
          <w:szCs w:val="16"/>
          <w:color w:val="auto"/>
        </w:rPr>
        <w:t>There is no established trading market in our Common Stock. There is no assurance than an established trading market will develop, that a market maker will agree to file the necessary documents with FINRA, which operates the OTC Electronic Bulletin Boar, nor can here be any assurance that such an application for quotation will be approved. Our Common Stock is traded on the Pink Sheets, under the symbol OPRX.PK since April 2, 2008. Our common stock was previously traded under the symbol RFDL. The most recent price for our common stock as of January 29, 2009 was $4.30.</w:t>
      </w:r>
    </w:p>
    <w:p>
      <w:pPr>
        <w:spacing w:after="0" w:line="208"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18"/>
          <w:szCs w:val="18"/>
          <w:color w:val="auto"/>
        </w:rPr>
        <w:t>The following table sets forth, for the periods indicated, the high and low bid prices of the Company's Common Stock traded on the Pink Sheets for the fiscal years ended December 31, 2008, December 31, 2007, and December 31, 2006. The quotations reflect inter-dealer prices, without retail mark-up, mark-down or commission, and may not represent actual transactions.</w:t>
      </w:r>
    </w:p>
    <w:p>
      <w:pPr>
        <w:spacing w:after="0" w:line="231" w:lineRule="exact"/>
        <w:rPr>
          <w:sz w:val="20"/>
          <w:szCs w:val="20"/>
          <w:color w:val="auto"/>
        </w:rPr>
      </w:pPr>
    </w:p>
    <w:tbl>
      <w:tblPr>
        <w:tblLayout w:type="fixed"/>
        <w:tblInd w:w="0" w:type="dxa"/>
        <w:tblCellMar>
          <w:top w:w="0" w:type="dxa"/>
          <w:left w:w="0" w:type="dxa"/>
          <w:bottom w:w="0" w:type="dxa"/>
          <w:right w:w="0" w:type="dxa"/>
        </w:tblCellMar>
      </w:tblPr>
      <w:tr>
        <w:trPr>
          <w:trHeight w:val="241"/>
        </w:trPr>
        <w:tc>
          <w:tcPr>
            <w:tcW w:w="20" w:type="dxa"/>
            <w:vAlign w:val="bottom"/>
          </w:tcPr>
          <w:p>
            <w:pPr>
              <w:spacing w:after="0"/>
              <w:rPr>
                <w:sz w:val="20"/>
                <w:szCs w:val="20"/>
                <w:color w:val="auto"/>
              </w:rPr>
            </w:pPr>
          </w:p>
        </w:tc>
        <w:tc>
          <w:tcPr>
            <w:tcW w:w="868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2420" w:type="dxa"/>
            <w:vAlign w:val="bottom"/>
            <w:gridSpan w:val="5"/>
          </w:tcPr>
          <w:p>
            <w:pPr>
              <w:ind w:left="340"/>
              <w:spacing w:after="0"/>
              <w:rPr>
                <w:sz w:val="20"/>
                <w:szCs w:val="20"/>
                <w:color w:val="auto"/>
              </w:rPr>
            </w:pPr>
            <w:r>
              <w:rPr>
                <w:rFonts w:ascii="Arial" w:cs="Arial" w:eastAsia="Arial" w:hAnsi="Arial"/>
                <w:sz w:val="18"/>
                <w:szCs w:val="18"/>
                <w:b w:val="1"/>
                <w:bCs w:val="1"/>
                <w:color w:val="auto"/>
              </w:rPr>
              <w:t>Common Stock</w:t>
            </w:r>
          </w:p>
        </w:tc>
      </w:tr>
      <w:tr>
        <w:trPr>
          <w:trHeight w:val="223"/>
        </w:trPr>
        <w:tc>
          <w:tcPr>
            <w:tcW w:w="8700" w:type="dxa"/>
            <w:vAlign w:val="bottom"/>
            <w:gridSpan w:val="2"/>
          </w:tcPr>
          <w:p>
            <w:pPr>
              <w:spacing w:after="0"/>
              <w:rPr>
                <w:sz w:val="20"/>
                <w:szCs w:val="20"/>
                <w:color w:val="auto"/>
              </w:rPr>
            </w:pPr>
            <w:r>
              <w:rPr>
                <w:rFonts w:ascii="Arial" w:cs="Arial" w:eastAsia="Arial" w:hAnsi="Arial"/>
                <w:sz w:val="18"/>
                <w:szCs w:val="18"/>
                <w:color w:val="auto"/>
              </w:rPr>
              <w:t>Fiscal Year 2008</w:t>
            </w:r>
          </w:p>
        </w:tc>
        <w:tc>
          <w:tcPr>
            <w:tcW w:w="300" w:type="dxa"/>
            <w:vAlign w:val="bottom"/>
            <w:tcBorders>
              <w:top w:val="single" w:sz="8" w:color="auto"/>
            </w:tcBorders>
          </w:tcPr>
          <w:p>
            <w:pPr>
              <w:spacing w:after="0"/>
              <w:rPr>
                <w:sz w:val="19"/>
                <w:szCs w:val="19"/>
                <w:color w:val="auto"/>
              </w:rPr>
            </w:pPr>
          </w:p>
        </w:tc>
        <w:tc>
          <w:tcPr>
            <w:tcW w:w="960" w:type="dxa"/>
            <w:vAlign w:val="bottom"/>
            <w:tcBorders>
              <w:top w:val="single" w:sz="8" w:color="auto"/>
            </w:tcBorders>
          </w:tcPr>
          <w:p>
            <w:pPr>
              <w:jc w:val="right"/>
              <w:ind w:right="370"/>
              <w:spacing w:after="0"/>
              <w:rPr>
                <w:sz w:val="20"/>
                <w:szCs w:val="20"/>
                <w:color w:val="auto"/>
              </w:rPr>
            </w:pPr>
            <w:r>
              <w:rPr>
                <w:rFonts w:ascii="Arial" w:cs="Arial" w:eastAsia="Arial" w:hAnsi="Arial"/>
                <w:sz w:val="18"/>
                <w:szCs w:val="18"/>
                <w:b w:val="1"/>
                <w:bCs w:val="1"/>
                <w:color w:val="auto"/>
              </w:rPr>
              <w:t>High</w:t>
            </w:r>
          </w:p>
        </w:tc>
        <w:tc>
          <w:tcPr>
            <w:tcW w:w="100" w:type="dxa"/>
            <w:vAlign w:val="bottom"/>
            <w:tcBorders>
              <w:top w:val="single" w:sz="8" w:color="auto"/>
            </w:tcBorders>
          </w:tcPr>
          <w:p>
            <w:pPr>
              <w:spacing w:after="0"/>
              <w:rPr>
                <w:sz w:val="19"/>
                <w:szCs w:val="19"/>
                <w:color w:val="auto"/>
              </w:rPr>
            </w:pPr>
          </w:p>
        </w:tc>
        <w:tc>
          <w:tcPr>
            <w:tcW w:w="320" w:type="dxa"/>
            <w:vAlign w:val="bottom"/>
            <w:tcBorders>
              <w:top w:val="single" w:sz="8" w:color="auto"/>
            </w:tcBorders>
          </w:tcPr>
          <w:p>
            <w:pPr>
              <w:spacing w:after="0"/>
              <w:rPr>
                <w:sz w:val="19"/>
                <w:szCs w:val="19"/>
                <w:color w:val="auto"/>
              </w:rPr>
            </w:pPr>
          </w:p>
        </w:tc>
        <w:tc>
          <w:tcPr>
            <w:tcW w:w="940" w:type="dxa"/>
            <w:vAlign w:val="bottom"/>
            <w:tcBorders>
              <w:top w:val="single" w:sz="8" w:color="auto"/>
            </w:tcBorders>
          </w:tcPr>
          <w:p>
            <w:pPr>
              <w:jc w:val="right"/>
              <w:ind w:right="390"/>
              <w:spacing w:after="0"/>
              <w:rPr>
                <w:sz w:val="20"/>
                <w:szCs w:val="20"/>
                <w:color w:val="auto"/>
              </w:rPr>
            </w:pPr>
            <w:r>
              <w:rPr>
                <w:rFonts w:ascii="Arial" w:cs="Arial" w:eastAsia="Arial" w:hAnsi="Arial"/>
                <w:sz w:val="18"/>
                <w:szCs w:val="18"/>
                <w:b w:val="1"/>
                <w:bCs w:val="1"/>
                <w:color w:val="auto"/>
              </w:rPr>
              <w:t>Low</w:t>
            </w:r>
          </w:p>
        </w:tc>
        <w:tc>
          <w:tcPr>
            <w:tcW w:w="100" w:type="dxa"/>
            <w:vAlign w:val="bottom"/>
          </w:tcPr>
          <w:p>
            <w:pPr>
              <w:spacing w:after="0"/>
              <w:rPr>
                <w:sz w:val="19"/>
                <w:szCs w:val="19"/>
                <w:color w:val="auto"/>
              </w:rPr>
            </w:pPr>
          </w:p>
        </w:tc>
      </w:tr>
      <w:tr>
        <w:trPr>
          <w:trHeight w:val="216"/>
        </w:trPr>
        <w:tc>
          <w:tcPr>
            <w:tcW w:w="20" w:type="dxa"/>
            <w:vAlign w:val="bottom"/>
          </w:tcPr>
          <w:p>
            <w:pPr>
              <w:spacing w:after="0"/>
              <w:rPr>
                <w:sz w:val="18"/>
                <w:szCs w:val="18"/>
                <w:color w:val="auto"/>
              </w:rPr>
            </w:pPr>
          </w:p>
        </w:tc>
        <w:tc>
          <w:tcPr>
            <w:tcW w:w="8680" w:type="dxa"/>
            <w:vAlign w:val="bottom"/>
            <w:tcBorders>
              <w:top w:val="single" w:sz="8" w:color="auto"/>
            </w:tcBorders>
            <w:shd w:val="clear" w:color="auto" w:fill="EEEEEE"/>
          </w:tcPr>
          <w:p>
            <w:pPr>
              <w:spacing w:after="0"/>
              <w:rPr>
                <w:sz w:val="20"/>
                <w:szCs w:val="20"/>
                <w:color w:val="auto"/>
              </w:rPr>
            </w:pPr>
            <w:r>
              <w:rPr>
                <w:rFonts w:ascii="Arial" w:cs="Arial" w:eastAsia="Arial" w:hAnsi="Arial"/>
                <w:sz w:val="18"/>
                <w:szCs w:val="18"/>
                <w:color w:val="auto"/>
              </w:rPr>
              <w:t>First Quarter</w:t>
            </w:r>
          </w:p>
        </w:tc>
        <w:tc>
          <w:tcPr>
            <w:tcW w:w="300" w:type="dxa"/>
            <w:vAlign w:val="bottom"/>
            <w:tcBorders>
              <w:top w:val="single" w:sz="8" w:color="auto"/>
            </w:tcBorders>
            <w:shd w:val="clear" w:color="auto" w:fill="EEEEEE"/>
          </w:tcPr>
          <w:p>
            <w:pPr>
              <w:jc w:val="right"/>
              <w:ind w:right="10"/>
              <w:spacing w:after="0"/>
              <w:rPr>
                <w:sz w:val="20"/>
                <w:szCs w:val="20"/>
                <w:color w:val="auto"/>
              </w:rPr>
            </w:pPr>
            <w:r>
              <w:rPr>
                <w:rFonts w:ascii="Arial" w:cs="Arial" w:eastAsia="Arial" w:hAnsi="Arial"/>
                <w:sz w:val="18"/>
                <w:szCs w:val="18"/>
                <w:color w:val="auto"/>
              </w:rPr>
              <w:t>$</w:t>
            </w:r>
          </w:p>
        </w:tc>
        <w:tc>
          <w:tcPr>
            <w:tcW w:w="960" w:type="dxa"/>
            <w:vAlign w:val="bottom"/>
            <w:tcBorders>
              <w:top w:val="single" w:sz="8" w:color="auto"/>
            </w:tcBorders>
            <w:shd w:val="clear" w:color="auto" w:fill="EEEEEE"/>
          </w:tcPr>
          <w:p>
            <w:pPr>
              <w:jc w:val="right"/>
              <w:spacing w:after="0"/>
              <w:rPr>
                <w:sz w:val="20"/>
                <w:szCs w:val="20"/>
                <w:color w:val="auto"/>
              </w:rPr>
            </w:pPr>
            <w:r>
              <w:rPr>
                <w:rFonts w:ascii="Arial" w:cs="Arial" w:eastAsia="Arial" w:hAnsi="Arial"/>
                <w:sz w:val="18"/>
                <w:szCs w:val="18"/>
                <w:color w:val="auto"/>
              </w:rPr>
              <w:t>7.00</w:t>
            </w:r>
          </w:p>
        </w:tc>
        <w:tc>
          <w:tcPr>
            <w:tcW w:w="100" w:type="dxa"/>
            <w:vAlign w:val="bottom"/>
            <w:shd w:val="clear" w:color="auto" w:fill="EEEEEE"/>
          </w:tcPr>
          <w:p>
            <w:pPr>
              <w:spacing w:after="0"/>
              <w:rPr>
                <w:sz w:val="18"/>
                <w:szCs w:val="18"/>
                <w:color w:val="auto"/>
              </w:rPr>
            </w:pPr>
          </w:p>
        </w:tc>
        <w:tc>
          <w:tcPr>
            <w:tcW w:w="320" w:type="dxa"/>
            <w:vAlign w:val="bottom"/>
            <w:tcBorders>
              <w:top w:val="single" w:sz="8" w:color="auto"/>
            </w:tcBorders>
            <w:shd w:val="clear" w:color="auto" w:fill="EEEEEE"/>
          </w:tcPr>
          <w:p>
            <w:pPr>
              <w:jc w:val="right"/>
              <w:ind w:right="30"/>
              <w:spacing w:after="0"/>
              <w:rPr>
                <w:sz w:val="20"/>
                <w:szCs w:val="20"/>
                <w:color w:val="auto"/>
              </w:rPr>
            </w:pPr>
            <w:r>
              <w:rPr>
                <w:rFonts w:ascii="Arial" w:cs="Arial" w:eastAsia="Arial" w:hAnsi="Arial"/>
                <w:sz w:val="18"/>
                <w:szCs w:val="18"/>
                <w:color w:val="auto"/>
              </w:rPr>
              <w:t>$</w:t>
            </w:r>
          </w:p>
        </w:tc>
        <w:tc>
          <w:tcPr>
            <w:tcW w:w="940" w:type="dxa"/>
            <w:vAlign w:val="bottom"/>
            <w:tcBorders>
              <w:top w:val="single" w:sz="8" w:color="auto"/>
            </w:tcBorders>
            <w:shd w:val="clear" w:color="auto" w:fill="EEEEEE"/>
          </w:tcPr>
          <w:p>
            <w:pPr>
              <w:jc w:val="right"/>
              <w:spacing w:after="0"/>
              <w:rPr>
                <w:sz w:val="20"/>
                <w:szCs w:val="20"/>
                <w:color w:val="auto"/>
              </w:rPr>
            </w:pPr>
            <w:r>
              <w:rPr>
                <w:rFonts w:ascii="Arial" w:cs="Arial" w:eastAsia="Arial" w:hAnsi="Arial"/>
                <w:sz w:val="18"/>
                <w:szCs w:val="18"/>
                <w:color w:val="auto"/>
              </w:rPr>
              <w:t>4.00</w:t>
            </w:r>
          </w:p>
        </w:tc>
        <w:tc>
          <w:tcPr>
            <w:tcW w:w="100" w:type="dxa"/>
            <w:vAlign w:val="bottom"/>
            <w:shd w:val="clear" w:color="auto" w:fill="EEEEEE"/>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8680" w:type="dxa"/>
            <w:vAlign w:val="bottom"/>
          </w:tcPr>
          <w:p>
            <w:pPr>
              <w:spacing w:after="0"/>
              <w:rPr>
                <w:sz w:val="20"/>
                <w:szCs w:val="20"/>
                <w:color w:val="auto"/>
              </w:rPr>
            </w:pPr>
            <w:r>
              <w:rPr>
                <w:rFonts w:ascii="Arial" w:cs="Arial" w:eastAsia="Arial" w:hAnsi="Arial"/>
                <w:sz w:val="18"/>
                <w:szCs w:val="18"/>
                <w:color w:val="auto"/>
              </w:rPr>
              <w:t>Second Quarter</w:t>
            </w:r>
          </w:p>
        </w:tc>
        <w:tc>
          <w:tcPr>
            <w:tcW w:w="30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960" w:type="dxa"/>
            <w:vAlign w:val="bottom"/>
          </w:tcPr>
          <w:p>
            <w:pPr>
              <w:jc w:val="right"/>
              <w:spacing w:after="0"/>
              <w:rPr>
                <w:sz w:val="20"/>
                <w:szCs w:val="20"/>
                <w:color w:val="auto"/>
              </w:rPr>
            </w:pPr>
            <w:r>
              <w:rPr>
                <w:rFonts w:ascii="Arial" w:cs="Arial" w:eastAsia="Arial" w:hAnsi="Arial"/>
                <w:sz w:val="18"/>
                <w:szCs w:val="18"/>
                <w:color w:val="auto"/>
              </w:rPr>
              <w:t>15.00</w:t>
            </w:r>
          </w:p>
        </w:tc>
        <w:tc>
          <w:tcPr>
            <w:tcW w:w="420" w:type="dxa"/>
            <w:vAlign w:val="bottom"/>
            <w:gridSpan w:val="2"/>
          </w:tcPr>
          <w:p>
            <w:pPr>
              <w:jc w:val="right"/>
              <w:ind w:right="30"/>
              <w:spacing w:after="0"/>
              <w:rPr>
                <w:sz w:val="20"/>
                <w:szCs w:val="20"/>
                <w:color w:val="auto"/>
              </w:rPr>
            </w:pPr>
            <w:r>
              <w:rPr>
                <w:rFonts w:ascii="Arial" w:cs="Arial" w:eastAsia="Arial" w:hAnsi="Arial"/>
                <w:sz w:val="18"/>
                <w:szCs w:val="18"/>
                <w:color w:val="auto"/>
              </w:rPr>
              <w:t>$</w:t>
            </w:r>
          </w:p>
        </w:tc>
        <w:tc>
          <w:tcPr>
            <w:tcW w:w="940" w:type="dxa"/>
            <w:vAlign w:val="bottom"/>
          </w:tcPr>
          <w:p>
            <w:pPr>
              <w:jc w:val="right"/>
              <w:spacing w:after="0"/>
              <w:rPr>
                <w:sz w:val="20"/>
                <w:szCs w:val="20"/>
                <w:color w:val="auto"/>
              </w:rPr>
            </w:pPr>
            <w:r>
              <w:rPr>
                <w:rFonts w:ascii="Arial" w:cs="Arial" w:eastAsia="Arial" w:hAnsi="Arial"/>
                <w:sz w:val="18"/>
                <w:szCs w:val="18"/>
                <w:color w:val="auto"/>
              </w:rPr>
              <w:t>3.90</w:t>
            </w:r>
          </w:p>
        </w:tc>
        <w:tc>
          <w:tcPr>
            <w:tcW w:w="10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8680" w:type="dxa"/>
            <w:vAlign w:val="bottom"/>
            <w:shd w:val="clear" w:color="auto" w:fill="EEEEEE"/>
          </w:tcPr>
          <w:p>
            <w:pPr>
              <w:spacing w:after="0"/>
              <w:rPr>
                <w:sz w:val="20"/>
                <w:szCs w:val="20"/>
                <w:color w:val="auto"/>
              </w:rPr>
            </w:pPr>
            <w:r>
              <w:rPr>
                <w:rFonts w:ascii="Arial" w:cs="Arial" w:eastAsia="Arial" w:hAnsi="Arial"/>
                <w:sz w:val="18"/>
                <w:szCs w:val="18"/>
                <w:color w:val="auto"/>
              </w:rPr>
              <w:t>Third Quarter</w:t>
            </w:r>
          </w:p>
        </w:tc>
        <w:tc>
          <w:tcPr>
            <w:tcW w:w="300" w:type="dxa"/>
            <w:vAlign w:val="bottom"/>
            <w:shd w:val="clear" w:color="auto" w:fill="EEEEEE"/>
          </w:tcPr>
          <w:p>
            <w:pPr>
              <w:jc w:val="right"/>
              <w:ind w:right="10"/>
              <w:spacing w:after="0"/>
              <w:rPr>
                <w:sz w:val="20"/>
                <w:szCs w:val="20"/>
                <w:color w:val="auto"/>
              </w:rPr>
            </w:pPr>
            <w:r>
              <w:rPr>
                <w:rFonts w:ascii="Arial" w:cs="Arial" w:eastAsia="Arial" w:hAnsi="Arial"/>
                <w:sz w:val="18"/>
                <w:szCs w:val="18"/>
                <w:color w:val="auto"/>
              </w:rPr>
              <w:t>$</w:t>
            </w:r>
          </w:p>
        </w:tc>
        <w:tc>
          <w:tcPr>
            <w:tcW w:w="960" w:type="dxa"/>
            <w:vAlign w:val="bottom"/>
            <w:shd w:val="clear" w:color="auto" w:fill="EEEEEE"/>
          </w:tcPr>
          <w:p>
            <w:pPr>
              <w:jc w:val="right"/>
              <w:spacing w:after="0"/>
              <w:rPr>
                <w:sz w:val="20"/>
                <w:szCs w:val="20"/>
                <w:color w:val="auto"/>
              </w:rPr>
            </w:pPr>
            <w:r>
              <w:rPr>
                <w:rFonts w:ascii="Arial" w:cs="Arial" w:eastAsia="Arial" w:hAnsi="Arial"/>
                <w:sz w:val="18"/>
                <w:szCs w:val="18"/>
                <w:color w:val="auto"/>
              </w:rPr>
              <w:t>4.20</w:t>
            </w:r>
          </w:p>
        </w:tc>
        <w:tc>
          <w:tcPr>
            <w:tcW w:w="420" w:type="dxa"/>
            <w:vAlign w:val="bottom"/>
            <w:gridSpan w:val="2"/>
            <w:shd w:val="clear" w:color="auto" w:fill="EEEEEE"/>
          </w:tcPr>
          <w:p>
            <w:pPr>
              <w:jc w:val="right"/>
              <w:ind w:right="30"/>
              <w:spacing w:after="0"/>
              <w:rPr>
                <w:sz w:val="20"/>
                <w:szCs w:val="20"/>
                <w:color w:val="auto"/>
              </w:rPr>
            </w:pPr>
            <w:r>
              <w:rPr>
                <w:rFonts w:ascii="Arial" w:cs="Arial" w:eastAsia="Arial" w:hAnsi="Arial"/>
                <w:sz w:val="18"/>
                <w:szCs w:val="18"/>
                <w:color w:val="auto"/>
              </w:rPr>
              <w:t>$</w:t>
            </w:r>
          </w:p>
        </w:tc>
        <w:tc>
          <w:tcPr>
            <w:tcW w:w="940" w:type="dxa"/>
            <w:vAlign w:val="bottom"/>
            <w:shd w:val="clear" w:color="auto" w:fill="EEEEEE"/>
          </w:tcPr>
          <w:p>
            <w:pPr>
              <w:jc w:val="right"/>
              <w:spacing w:after="0"/>
              <w:rPr>
                <w:sz w:val="20"/>
                <w:szCs w:val="20"/>
                <w:color w:val="auto"/>
              </w:rPr>
            </w:pPr>
            <w:r>
              <w:rPr>
                <w:rFonts w:ascii="Arial" w:cs="Arial" w:eastAsia="Arial" w:hAnsi="Arial"/>
                <w:sz w:val="18"/>
                <w:szCs w:val="18"/>
                <w:color w:val="auto"/>
              </w:rPr>
              <w:t>3.90</w:t>
            </w:r>
          </w:p>
        </w:tc>
        <w:tc>
          <w:tcPr>
            <w:tcW w:w="100" w:type="dxa"/>
            <w:vAlign w:val="bottom"/>
            <w:shd w:val="clear" w:color="auto" w:fill="EEEEEE"/>
          </w:tcPr>
          <w:p>
            <w:pPr>
              <w:spacing w:after="0"/>
              <w:rPr>
                <w:sz w:val="18"/>
                <w:szCs w:val="18"/>
                <w:color w:val="auto"/>
              </w:rPr>
            </w:pPr>
          </w:p>
        </w:tc>
      </w:tr>
      <w:tr>
        <w:trPr>
          <w:trHeight w:val="230"/>
        </w:trPr>
        <w:tc>
          <w:tcPr>
            <w:tcW w:w="20" w:type="dxa"/>
            <w:vAlign w:val="bottom"/>
          </w:tcPr>
          <w:p>
            <w:pPr>
              <w:spacing w:after="0"/>
              <w:rPr>
                <w:sz w:val="20"/>
                <w:szCs w:val="20"/>
                <w:color w:val="auto"/>
              </w:rPr>
            </w:pPr>
          </w:p>
        </w:tc>
        <w:tc>
          <w:tcPr>
            <w:tcW w:w="8680" w:type="dxa"/>
            <w:vAlign w:val="bottom"/>
          </w:tcPr>
          <w:p>
            <w:pPr>
              <w:spacing w:after="0"/>
              <w:rPr>
                <w:sz w:val="20"/>
                <w:szCs w:val="20"/>
                <w:color w:val="auto"/>
              </w:rPr>
            </w:pPr>
            <w:r>
              <w:rPr>
                <w:rFonts w:ascii="Arial" w:cs="Arial" w:eastAsia="Arial" w:hAnsi="Arial"/>
                <w:sz w:val="18"/>
                <w:szCs w:val="18"/>
                <w:color w:val="auto"/>
              </w:rPr>
              <w:t>Fourth Quarter</w:t>
            </w:r>
          </w:p>
        </w:tc>
        <w:tc>
          <w:tcPr>
            <w:tcW w:w="30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960" w:type="dxa"/>
            <w:vAlign w:val="bottom"/>
          </w:tcPr>
          <w:p>
            <w:pPr>
              <w:jc w:val="right"/>
              <w:spacing w:after="0"/>
              <w:rPr>
                <w:sz w:val="20"/>
                <w:szCs w:val="20"/>
                <w:color w:val="auto"/>
              </w:rPr>
            </w:pPr>
            <w:r>
              <w:rPr>
                <w:rFonts w:ascii="Arial" w:cs="Arial" w:eastAsia="Arial" w:hAnsi="Arial"/>
                <w:sz w:val="18"/>
                <w:szCs w:val="18"/>
                <w:color w:val="auto"/>
              </w:rPr>
              <w:t>4.30</w:t>
            </w:r>
          </w:p>
        </w:tc>
        <w:tc>
          <w:tcPr>
            <w:tcW w:w="420" w:type="dxa"/>
            <w:vAlign w:val="bottom"/>
            <w:gridSpan w:val="2"/>
          </w:tcPr>
          <w:p>
            <w:pPr>
              <w:jc w:val="right"/>
              <w:ind w:right="30"/>
              <w:spacing w:after="0"/>
              <w:rPr>
                <w:sz w:val="20"/>
                <w:szCs w:val="20"/>
                <w:color w:val="auto"/>
              </w:rPr>
            </w:pPr>
            <w:r>
              <w:rPr>
                <w:rFonts w:ascii="Arial" w:cs="Arial" w:eastAsia="Arial" w:hAnsi="Arial"/>
                <w:sz w:val="18"/>
                <w:szCs w:val="18"/>
                <w:color w:val="auto"/>
              </w:rPr>
              <w:t>$</w:t>
            </w:r>
          </w:p>
        </w:tc>
        <w:tc>
          <w:tcPr>
            <w:tcW w:w="940" w:type="dxa"/>
            <w:vAlign w:val="bottom"/>
          </w:tcPr>
          <w:p>
            <w:pPr>
              <w:jc w:val="right"/>
              <w:spacing w:after="0"/>
              <w:rPr>
                <w:sz w:val="20"/>
                <w:szCs w:val="20"/>
                <w:color w:val="auto"/>
              </w:rPr>
            </w:pPr>
            <w:r>
              <w:rPr>
                <w:rFonts w:ascii="Arial" w:cs="Arial" w:eastAsia="Arial" w:hAnsi="Arial"/>
                <w:sz w:val="18"/>
                <w:szCs w:val="18"/>
                <w:color w:val="auto"/>
              </w:rPr>
              <w:t>1.56</w:t>
            </w:r>
          </w:p>
        </w:tc>
        <w:tc>
          <w:tcPr>
            <w:tcW w:w="100" w:type="dxa"/>
            <w:vAlign w:val="bottom"/>
          </w:tcPr>
          <w:p>
            <w:pPr>
              <w:spacing w:after="0"/>
              <w:rPr>
                <w:sz w:val="20"/>
                <w:szCs w:val="20"/>
                <w:color w:val="auto"/>
              </w:rPr>
            </w:pPr>
          </w:p>
        </w:tc>
      </w:tr>
    </w:tbl>
    <w:p>
      <w:pPr>
        <w:spacing w:after="0" w:line="183" w:lineRule="exact"/>
        <w:rPr>
          <w:sz w:val="20"/>
          <w:szCs w:val="20"/>
          <w:color w:val="auto"/>
        </w:rPr>
      </w:pPr>
    </w:p>
    <w:tbl>
      <w:tblPr>
        <w:tblLayout w:type="fixed"/>
        <w:tblInd w:w="0" w:type="dxa"/>
        <w:tblCellMar>
          <w:top w:w="0" w:type="dxa"/>
          <w:left w:w="0" w:type="dxa"/>
          <w:bottom w:w="0" w:type="dxa"/>
          <w:right w:w="0" w:type="dxa"/>
        </w:tblCellMar>
      </w:tblPr>
      <w:tr>
        <w:trPr>
          <w:trHeight w:val="241"/>
        </w:trPr>
        <w:tc>
          <w:tcPr>
            <w:tcW w:w="20" w:type="dxa"/>
            <w:vAlign w:val="bottom"/>
          </w:tcPr>
          <w:p>
            <w:pPr>
              <w:spacing w:after="0"/>
              <w:rPr>
                <w:sz w:val="20"/>
                <w:szCs w:val="20"/>
                <w:color w:val="auto"/>
              </w:rPr>
            </w:pPr>
          </w:p>
        </w:tc>
        <w:tc>
          <w:tcPr>
            <w:tcW w:w="868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2420" w:type="dxa"/>
            <w:vAlign w:val="bottom"/>
            <w:gridSpan w:val="5"/>
          </w:tcPr>
          <w:p>
            <w:pPr>
              <w:ind w:left="340"/>
              <w:spacing w:after="0"/>
              <w:rPr>
                <w:sz w:val="20"/>
                <w:szCs w:val="20"/>
                <w:color w:val="auto"/>
              </w:rPr>
            </w:pPr>
            <w:r>
              <w:rPr>
                <w:rFonts w:ascii="Arial" w:cs="Arial" w:eastAsia="Arial" w:hAnsi="Arial"/>
                <w:sz w:val="18"/>
                <w:szCs w:val="18"/>
                <w:b w:val="1"/>
                <w:bCs w:val="1"/>
                <w:color w:val="auto"/>
              </w:rPr>
              <w:t>Common Stock</w:t>
            </w:r>
          </w:p>
        </w:tc>
      </w:tr>
      <w:tr>
        <w:trPr>
          <w:trHeight w:val="223"/>
        </w:trPr>
        <w:tc>
          <w:tcPr>
            <w:tcW w:w="8700" w:type="dxa"/>
            <w:vAlign w:val="bottom"/>
            <w:gridSpan w:val="2"/>
          </w:tcPr>
          <w:p>
            <w:pPr>
              <w:spacing w:after="0"/>
              <w:rPr>
                <w:sz w:val="20"/>
                <w:szCs w:val="20"/>
                <w:color w:val="auto"/>
              </w:rPr>
            </w:pPr>
            <w:r>
              <w:rPr>
                <w:rFonts w:ascii="Arial" w:cs="Arial" w:eastAsia="Arial" w:hAnsi="Arial"/>
                <w:sz w:val="18"/>
                <w:szCs w:val="18"/>
                <w:color w:val="auto"/>
              </w:rPr>
              <w:t>Fiscal Year 2007</w:t>
            </w:r>
          </w:p>
        </w:tc>
        <w:tc>
          <w:tcPr>
            <w:tcW w:w="300" w:type="dxa"/>
            <w:vAlign w:val="bottom"/>
            <w:tcBorders>
              <w:top w:val="single" w:sz="8" w:color="auto"/>
            </w:tcBorders>
          </w:tcPr>
          <w:p>
            <w:pPr>
              <w:spacing w:after="0"/>
              <w:rPr>
                <w:sz w:val="19"/>
                <w:szCs w:val="19"/>
                <w:color w:val="auto"/>
              </w:rPr>
            </w:pPr>
          </w:p>
        </w:tc>
        <w:tc>
          <w:tcPr>
            <w:tcW w:w="960" w:type="dxa"/>
            <w:vAlign w:val="bottom"/>
            <w:tcBorders>
              <w:top w:val="single" w:sz="8" w:color="auto"/>
            </w:tcBorders>
          </w:tcPr>
          <w:p>
            <w:pPr>
              <w:jc w:val="right"/>
              <w:ind w:right="370"/>
              <w:spacing w:after="0"/>
              <w:rPr>
                <w:sz w:val="20"/>
                <w:szCs w:val="20"/>
                <w:color w:val="auto"/>
              </w:rPr>
            </w:pPr>
            <w:r>
              <w:rPr>
                <w:rFonts w:ascii="Arial" w:cs="Arial" w:eastAsia="Arial" w:hAnsi="Arial"/>
                <w:sz w:val="18"/>
                <w:szCs w:val="18"/>
                <w:b w:val="1"/>
                <w:bCs w:val="1"/>
                <w:color w:val="auto"/>
              </w:rPr>
              <w:t>High</w:t>
            </w:r>
          </w:p>
        </w:tc>
        <w:tc>
          <w:tcPr>
            <w:tcW w:w="100" w:type="dxa"/>
            <w:vAlign w:val="bottom"/>
            <w:tcBorders>
              <w:top w:val="single" w:sz="8" w:color="auto"/>
            </w:tcBorders>
          </w:tcPr>
          <w:p>
            <w:pPr>
              <w:spacing w:after="0"/>
              <w:rPr>
                <w:sz w:val="19"/>
                <w:szCs w:val="19"/>
                <w:color w:val="auto"/>
              </w:rPr>
            </w:pPr>
          </w:p>
        </w:tc>
        <w:tc>
          <w:tcPr>
            <w:tcW w:w="320" w:type="dxa"/>
            <w:vAlign w:val="bottom"/>
            <w:tcBorders>
              <w:top w:val="single" w:sz="8" w:color="auto"/>
            </w:tcBorders>
          </w:tcPr>
          <w:p>
            <w:pPr>
              <w:spacing w:after="0"/>
              <w:rPr>
                <w:sz w:val="19"/>
                <w:szCs w:val="19"/>
                <w:color w:val="auto"/>
              </w:rPr>
            </w:pPr>
          </w:p>
        </w:tc>
        <w:tc>
          <w:tcPr>
            <w:tcW w:w="940" w:type="dxa"/>
            <w:vAlign w:val="bottom"/>
            <w:tcBorders>
              <w:top w:val="single" w:sz="8" w:color="auto"/>
            </w:tcBorders>
          </w:tcPr>
          <w:p>
            <w:pPr>
              <w:jc w:val="right"/>
              <w:ind w:right="390"/>
              <w:spacing w:after="0"/>
              <w:rPr>
                <w:sz w:val="20"/>
                <w:szCs w:val="20"/>
                <w:color w:val="auto"/>
              </w:rPr>
            </w:pPr>
            <w:r>
              <w:rPr>
                <w:rFonts w:ascii="Arial" w:cs="Arial" w:eastAsia="Arial" w:hAnsi="Arial"/>
                <w:sz w:val="18"/>
                <w:szCs w:val="18"/>
                <w:b w:val="1"/>
                <w:bCs w:val="1"/>
                <w:color w:val="auto"/>
              </w:rPr>
              <w:t>Low</w:t>
            </w:r>
          </w:p>
        </w:tc>
        <w:tc>
          <w:tcPr>
            <w:tcW w:w="100" w:type="dxa"/>
            <w:vAlign w:val="bottom"/>
          </w:tcPr>
          <w:p>
            <w:pPr>
              <w:spacing w:after="0"/>
              <w:rPr>
                <w:sz w:val="19"/>
                <w:szCs w:val="19"/>
                <w:color w:val="auto"/>
              </w:rPr>
            </w:pPr>
          </w:p>
        </w:tc>
      </w:tr>
      <w:tr>
        <w:trPr>
          <w:trHeight w:val="216"/>
        </w:trPr>
        <w:tc>
          <w:tcPr>
            <w:tcW w:w="20" w:type="dxa"/>
            <w:vAlign w:val="bottom"/>
          </w:tcPr>
          <w:p>
            <w:pPr>
              <w:spacing w:after="0"/>
              <w:rPr>
                <w:sz w:val="18"/>
                <w:szCs w:val="18"/>
                <w:color w:val="auto"/>
              </w:rPr>
            </w:pPr>
          </w:p>
        </w:tc>
        <w:tc>
          <w:tcPr>
            <w:tcW w:w="8680" w:type="dxa"/>
            <w:vAlign w:val="bottom"/>
            <w:tcBorders>
              <w:top w:val="single" w:sz="8" w:color="auto"/>
            </w:tcBorders>
            <w:shd w:val="clear" w:color="auto" w:fill="EEEEEE"/>
          </w:tcPr>
          <w:p>
            <w:pPr>
              <w:spacing w:after="0"/>
              <w:rPr>
                <w:sz w:val="20"/>
                <w:szCs w:val="20"/>
                <w:color w:val="auto"/>
              </w:rPr>
            </w:pPr>
            <w:r>
              <w:rPr>
                <w:rFonts w:ascii="Arial" w:cs="Arial" w:eastAsia="Arial" w:hAnsi="Arial"/>
                <w:sz w:val="18"/>
                <w:szCs w:val="18"/>
                <w:color w:val="auto"/>
              </w:rPr>
              <w:t>First Quarter</w:t>
            </w:r>
          </w:p>
        </w:tc>
        <w:tc>
          <w:tcPr>
            <w:tcW w:w="300" w:type="dxa"/>
            <w:vAlign w:val="bottom"/>
            <w:tcBorders>
              <w:top w:val="single" w:sz="8" w:color="auto"/>
            </w:tcBorders>
            <w:shd w:val="clear" w:color="auto" w:fill="EEEEEE"/>
          </w:tcPr>
          <w:p>
            <w:pPr>
              <w:jc w:val="right"/>
              <w:ind w:right="10"/>
              <w:spacing w:after="0"/>
              <w:rPr>
                <w:sz w:val="20"/>
                <w:szCs w:val="20"/>
                <w:color w:val="auto"/>
              </w:rPr>
            </w:pPr>
            <w:r>
              <w:rPr>
                <w:rFonts w:ascii="Arial" w:cs="Arial" w:eastAsia="Arial" w:hAnsi="Arial"/>
                <w:sz w:val="18"/>
                <w:szCs w:val="18"/>
                <w:color w:val="auto"/>
              </w:rPr>
              <w:t>$</w:t>
            </w:r>
          </w:p>
        </w:tc>
        <w:tc>
          <w:tcPr>
            <w:tcW w:w="960" w:type="dxa"/>
            <w:vAlign w:val="bottom"/>
            <w:tcBorders>
              <w:top w:val="single" w:sz="8" w:color="auto"/>
            </w:tcBorders>
            <w:shd w:val="clear" w:color="auto" w:fill="EEEEEE"/>
          </w:tcPr>
          <w:p>
            <w:pPr>
              <w:jc w:val="right"/>
              <w:spacing w:after="0"/>
              <w:rPr>
                <w:sz w:val="20"/>
                <w:szCs w:val="20"/>
                <w:color w:val="auto"/>
              </w:rPr>
            </w:pPr>
            <w:r>
              <w:rPr>
                <w:rFonts w:ascii="Arial" w:cs="Arial" w:eastAsia="Arial" w:hAnsi="Arial"/>
                <w:sz w:val="18"/>
                <w:szCs w:val="18"/>
                <w:color w:val="auto"/>
              </w:rPr>
              <w:t>590.00</w:t>
            </w:r>
          </w:p>
        </w:tc>
        <w:tc>
          <w:tcPr>
            <w:tcW w:w="100" w:type="dxa"/>
            <w:vAlign w:val="bottom"/>
            <w:shd w:val="clear" w:color="auto" w:fill="EEEEEE"/>
          </w:tcPr>
          <w:p>
            <w:pPr>
              <w:spacing w:after="0"/>
              <w:rPr>
                <w:sz w:val="18"/>
                <w:szCs w:val="18"/>
                <w:color w:val="auto"/>
              </w:rPr>
            </w:pPr>
          </w:p>
        </w:tc>
        <w:tc>
          <w:tcPr>
            <w:tcW w:w="320" w:type="dxa"/>
            <w:vAlign w:val="bottom"/>
            <w:tcBorders>
              <w:top w:val="single" w:sz="8" w:color="auto"/>
            </w:tcBorders>
            <w:shd w:val="clear" w:color="auto" w:fill="EEEEEE"/>
          </w:tcPr>
          <w:p>
            <w:pPr>
              <w:jc w:val="right"/>
              <w:ind w:right="30"/>
              <w:spacing w:after="0"/>
              <w:rPr>
                <w:sz w:val="20"/>
                <w:szCs w:val="20"/>
                <w:color w:val="auto"/>
              </w:rPr>
            </w:pPr>
            <w:r>
              <w:rPr>
                <w:rFonts w:ascii="Arial" w:cs="Arial" w:eastAsia="Arial" w:hAnsi="Arial"/>
                <w:sz w:val="18"/>
                <w:szCs w:val="18"/>
                <w:color w:val="auto"/>
              </w:rPr>
              <w:t>$</w:t>
            </w:r>
          </w:p>
        </w:tc>
        <w:tc>
          <w:tcPr>
            <w:tcW w:w="940" w:type="dxa"/>
            <w:vAlign w:val="bottom"/>
            <w:tcBorders>
              <w:top w:val="single" w:sz="8" w:color="auto"/>
            </w:tcBorders>
            <w:shd w:val="clear" w:color="auto" w:fill="EEEEEE"/>
          </w:tcPr>
          <w:p>
            <w:pPr>
              <w:jc w:val="right"/>
              <w:spacing w:after="0"/>
              <w:rPr>
                <w:sz w:val="20"/>
                <w:szCs w:val="20"/>
                <w:color w:val="auto"/>
              </w:rPr>
            </w:pPr>
            <w:r>
              <w:rPr>
                <w:rFonts w:ascii="Arial" w:cs="Arial" w:eastAsia="Arial" w:hAnsi="Arial"/>
                <w:sz w:val="18"/>
                <w:szCs w:val="18"/>
                <w:color w:val="auto"/>
              </w:rPr>
              <w:t>380.00</w:t>
            </w:r>
          </w:p>
        </w:tc>
        <w:tc>
          <w:tcPr>
            <w:tcW w:w="100" w:type="dxa"/>
            <w:vAlign w:val="bottom"/>
            <w:shd w:val="clear" w:color="auto" w:fill="EEEEEE"/>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8680" w:type="dxa"/>
            <w:vAlign w:val="bottom"/>
          </w:tcPr>
          <w:p>
            <w:pPr>
              <w:spacing w:after="0"/>
              <w:rPr>
                <w:sz w:val="20"/>
                <w:szCs w:val="20"/>
                <w:color w:val="auto"/>
              </w:rPr>
            </w:pPr>
            <w:r>
              <w:rPr>
                <w:rFonts w:ascii="Arial" w:cs="Arial" w:eastAsia="Arial" w:hAnsi="Arial"/>
                <w:sz w:val="18"/>
                <w:szCs w:val="18"/>
                <w:color w:val="auto"/>
              </w:rPr>
              <w:t>Second Quarter</w:t>
            </w:r>
          </w:p>
        </w:tc>
        <w:tc>
          <w:tcPr>
            <w:tcW w:w="30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960" w:type="dxa"/>
            <w:vAlign w:val="bottom"/>
          </w:tcPr>
          <w:p>
            <w:pPr>
              <w:jc w:val="right"/>
              <w:spacing w:after="0"/>
              <w:rPr>
                <w:sz w:val="20"/>
                <w:szCs w:val="20"/>
                <w:color w:val="auto"/>
              </w:rPr>
            </w:pPr>
            <w:r>
              <w:rPr>
                <w:rFonts w:ascii="Arial" w:cs="Arial" w:eastAsia="Arial" w:hAnsi="Arial"/>
                <w:sz w:val="18"/>
                <w:szCs w:val="18"/>
                <w:color w:val="auto"/>
              </w:rPr>
              <w:t>550.00</w:t>
            </w:r>
          </w:p>
        </w:tc>
        <w:tc>
          <w:tcPr>
            <w:tcW w:w="420" w:type="dxa"/>
            <w:vAlign w:val="bottom"/>
            <w:gridSpan w:val="2"/>
          </w:tcPr>
          <w:p>
            <w:pPr>
              <w:jc w:val="right"/>
              <w:ind w:right="30"/>
              <w:spacing w:after="0"/>
              <w:rPr>
                <w:sz w:val="20"/>
                <w:szCs w:val="20"/>
                <w:color w:val="auto"/>
              </w:rPr>
            </w:pPr>
            <w:r>
              <w:rPr>
                <w:rFonts w:ascii="Arial" w:cs="Arial" w:eastAsia="Arial" w:hAnsi="Arial"/>
                <w:sz w:val="18"/>
                <w:szCs w:val="18"/>
                <w:color w:val="auto"/>
              </w:rPr>
              <w:t>$</w:t>
            </w:r>
          </w:p>
        </w:tc>
        <w:tc>
          <w:tcPr>
            <w:tcW w:w="940" w:type="dxa"/>
            <w:vAlign w:val="bottom"/>
          </w:tcPr>
          <w:p>
            <w:pPr>
              <w:jc w:val="right"/>
              <w:spacing w:after="0"/>
              <w:rPr>
                <w:sz w:val="20"/>
                <w:szCs w:val="20"/>
                <w:color w:val="auto"/>
              </w:rPr>
            </w:pPr>
            <w:r>
              <w:rPr>
                <w:rFonts w:ascii="Arial" w:cs="Arial" w:eastAsia="Arial" w:hAnsi="Arial"/>
                <w:sz w:val="18"/>
                <w:szCs w:val="18"/>
                <w:color w:val="auto"/>
              </w:rPr>
              <w:t>360.00</w:t>
            </w:r>
          </w:p>
        </w:tc>
        <w:tc>
          <w:tcPr>
            <w:tcW w:w="10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8680" w:type="dxa"/>
            <w:vAlign w:val="bottom"/>
            <w:shd w:val="clear" w:color="auto" w:fill="EEEEEE"/>
          </w:tcPr>
          <w:p>
            <w:pPr>
              <w:spacing w:after="0"/>
              <w:rPr>
                <w:sz w:val="20"/>
                <w:szCs w:val="20"/>
                <w:color w:val="auto"/>
              </w:rPr>
            </w:pPr>
            <w:r>
              <w:rPr>
                <w:rFonts w:ascii="Arial" w:cs="Arial" w:eastAsia="Arial" w:hAnsi="Arial"/>
                <w:sz w:val="18"/>
                <w:szCs w:val="18"/>
                <w:color w:val="auto"/>
              </w:rPr>
              <w:t>Third Quarter</w:t>
            </w:r>
          </w:p>
        </w:tc>
        <w:tc>
          <w:tcPr>
            <w:tcW w:w="300" w:type="dxa"/>
            <w:vAlign w:val="bottom"/>
            <w:shd w:val="clear" w:color="auto" w:fill="EEEEEE"/>
          </w:tcPr>
          <w:p>
            <w:pPr>
              <w:jc w:val="right"/>
              <w:ind w:right="10"/>
              <w:spacing w:after="0"/>
              <w:rPr>
                <w:sz w:val="20"/>
                <w:szCs w:val="20"/>
                <w:color w:val="auto"/>
              </w:rPr>
            </w:pPr>
            <w:r>
              <w:rPr>
                <w:rFonts w:ascii="Arial" w:cs="Arial" w:eastAsia="Arial" w:hAnsi="Arial"/>
                <w:sz w:val="18"/>
                <w:szCs w:val="18"/>
                <w:color w:val="auto"/>
              </w:rPr>
              <w:t>$</w:t>
            </w:r>
          </w:p>
        </w:tc>
        <w:tc>
          <w:tcPr>
            <w:tcW w:w="960" w:type="dxa"/>
            <w:vAlign w:val="bottom"/>
            <w:shd w:val="clear" w:color="auto" w:fill="EEEEEE"/>
          </w:tcPr>
          <w:p>
            <w:pPr>
              <w:jc w:val="right"/>
              <w:spacing w:after="0"/>
              <w:rPr>
                <w:sz w:val="20"/>
                <w:szCs w:val="20"/>
                <w:color w:val="auto"/>
              </w:rPr>
            </w:pPr>
            <w:r>
              <w:rPr>
                <w:rFonts w:ascii="Arial" w:cs="Arial" w:eastAsia="Arial" w:hAnsi="Arial"/>
                <w:sz w:val="18"/>
                <w:szCs w:val="18"/>
                <w:color w:val="auto"/>
              </w:rPr>
              <w:t>490.00</w:t>
            </w:r>
          </w:p>
        </w:tc>
        <w:tc>
          <w:tcPr>
            <w:tcW w:w="420" w:type="dxa"/>
            <w:vAlign w:val="bottom"/>
            <w:gridSpan w:val="2"/>
            <w:shd w:val="clear" w:color="auto" w:fill="EEEEEE"/>
          </w:tcPr>
          <w:p>
            <w:pPr>
              <w:jc w:val="right"/>
              <w:ind w:right="30"/>
              <w:spacing w:after="0"/>
              <w:rPr>
                <w:sz w:val="20"/>
                <w:szCs w:val="20"/>
                <w:color w:val="auto"/>
              </w:rPr>
            </w:pPr>
            <w:r>
              <w:rPr>
                <w:rFonts w:ascii="Arial" w:cs="Arial" w:eastAsia="Arial" w:hAnsi="Arial"/>
                <w:sz w:val="18"/>
                <w:szCs w:val="18"/>
                <w:color w:val="auto"/>
              </w:rPr>
              <w:t>$</w:t>
            </w:r>
          </w:p>
        </w:tc>
        <w:tc>
          <w:tcPr>
            <w:tcW w:w="940" w:type="dxa"/>
            <w:vAlign w:val="bottom"/>
            <w:shd w:val="clear" w:color="auto" w:fill="EEEEEE"/>
          </w:tcPr>
          <w:p>
            <w:pPr>
              <w:jc w:val="right"/>
              <w:spacing w:after="0"/>
              <w:rPr>
                <w:sz w:val="20"/>
                <w:szCs w:val="20"/>
                <w:color w:val="auto"/>
              </w:rPr>
            </w:pPr>
            <w:r>
              <w:rPr>
                <w:rFonts w:ascii="Arial" w:cs="Arial" w:eastAsia="Arial" w:hAnsi="Arial"/>
                <w:sz w:val="18"/>
                <w:szCs w:val="18"/>
                <w:color w:val="auto"/>
              </w:rPr>
              <w:t>64.00</w:t>
            </w:r>
          </w:p>
        </w:tc>
        <w:tc>
          <w:tcPr>
            <w:tcW w:w="100" w:type="dxa"/>
            <w:vAlign w:val="bottom"/>
            <w:shd w:val="clear" w:color="auto" w:fill="EEEEEE"/>
          </w:tcPr>
          <w:p>
            <w:pPr>
              <w:spacing w:after="0"/>
              <w:rPr>
                <w:sz w:val="18"/>
                <w:szCs w:val="18"/>
                <w:color w:val="auto"/>
              </w:rPr>
            </w:pPr>
          </w:p>
        </w:tc>
      </w:tr>
      <w:tr>
        <w:trPr>
          <w:trHeight w:val="230"/>
        </w:trPr>
        <w:tc>
          <w:tcPr>
            <w:tcW w:w="20" w:type="dxa"/>
            <w:vAlign w:val="bottom"/>
          </w:tcPr>
          <w:p>
            <w:pPr>
              <w:spacing w:after="0"/>
              <w:rPr>
                <w:sz w:val="20"/>
                <w:szCs w:val="20"/>
                <w:color w:val="auto"/>
              </w:rPr>
            </w:pPr>
          </w:p>
        </w:tc>
        <w:tc>
          <w:tcPr>
            <w:tcW w:w="8680" w:type="dxa"/>
            <w:vAlign w:val="bottom"/>
          </w:tcPr>
          <w:p>
            <w:pPr>
              <w:spacing w:after="0"/>
              <w:rPr>
                <w:sz w:val="20"/>
                <w:szCs w:val="20"/>
                <w:color w:val="auto"/>
              </w:rPr>
            </w:pPr>
            <w:r>
              <w:rPr>
                <w:rFonts w:ascii="Arial" w:cs="Arial" w:eastAsia="Arial" w:hAnsi="Arial"/>
                <w:sz w:val="18"/>
                <w:szCs w:val="18"/>
                <w:color w:val="auto"/>
              </w:rPr>
              <w:t>Fourth Quarter</w:t>
            </w:r>
          </w:p>
        </w:tc>
        <w:tc>
          <w:tcPr>
            <w:tcW w:w="30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960" w:type="dxa"/>
            <w:vAlign w:val="bottom"/>
          </w:tcPr>
          <w:p>
            <w:pPr>
              <w:jc w:val="right"/>
              <w:spacing w:after="0"/>
              <w:rPr>
                <w:sz w:val="20"/>
                <w:szCs w:val="20"/>
                <w:color w:val="auto"/>
              </w:rPr>
            </w:pPr>
            <w:r>
              <w:rPr>
                <w:rFonts w:ascii="Arial" w:cs="Arial" w:eastAsia="Arial" w:hAnsi="Arial"/>
                <w:sz w:val="18"/>
                <w:szCs w:val="18"/>
                <w:color w:val="auto"/>
              </w:rPr>
              <w:t>72.00</w:t>
            </w:r>
          </w:p>
        </w:tc>
        <w:tc>
          <w:tcPr>
            <w:tcW w:w="420" w:type="dxa"/>
            <w:vAlign w:val="bottom"/>
            <w:gridSpan w:val="2"/>
          </w:tcPr>
          <w:p>
            <w:pPr>
              <w:jc w:val="right"/>
              <w:ind w:right="30"/>
              <w:spacing w:after="0"/>
              <w:rPr>
                <w:sz w:val="20"/>
                <w:szCs w:val="20"/>
                <w:color w:val="auto"/>
              </w:rPr>
            </w:pPr>
            <w:r>
              <w:rPr>
                <w:rFonts w:ascii="Arial" w:cs="Arial" w:eastAsia="Arial" w:hAnsi="Arial"/>
                <w:sz w:val="18"/>
                <w:szCs w:val="18"/>
                <w:color w:val="auto"/>
              </w:rPr>
              <w:t>$</w:t>
            </w:r>
          </w:p>
        </w:tc>
        <w:tc>
          <w:tcPr>
            <w:tcW w:w="940" w:type="dxa"/>
            <w:vAlign w:val="bottom"/>
          </w:tcPr>
          <w:p>
            <w:pPr>
              <w:jc w:val="right"/>
              <w:spacing w:after="0"/>
              <w:rPr>
                <w:sz w:val="20"/>
                <w:szCs w:val="20"/>
                <w:color w:val="auto"/>
              </w:rPr>
            </w:pPr>
            <w:r>
              <w:rPr>
                <w:rFonts w:ascii="Arial" w:cs="Arial" w:eastAsia="Arial" w:hAnsi="Arial"/>
                <w:sz w:val="18"/>
                <w:szCs w:val="18"/>
                <w:color w:val="auto"/>
              </w:rPr>
              <w:t>3.00</w:t>
            </w:r>
          </w:p>
        </w:tc>
        <w:tc>
          <w:tcPr>
            <w:tcW w:w="100" w:type="dxa"/>
            <w:vAlign w:val="bottom"/>
          </w:tcPr>
          <w:p>
            <w:pPr>
              <w:spacing w:after="0"/>
              <w:rPr>
                <w:sz w:val="20"/>
                <w:szCs w:val="20"/>
                <w:color w:val="auto"/>
              </w:rPr>
            </w:pPr>
          </w:p>
        </w:tc>
      </w:tr>
    </w:tbl>
    <w:p>
      <w:pPr>
        <w:spacing w:after="0" w:line="183" w:lineRule="exact"/>
        <w:rPr>
          <w:sz w:val="20"/>
          <w:szCs w:val="20"/>
          <w:color w:val="auto"/>
        </w:rPr>
      </w:pPr>
    </w:p>
    <w:tbl>
      <w:tblPr>
        <w:tblLayout w:type="fixed"/>
        <w:tblInd w:w="0" w:type="dxa"/>
        <w:tblCellMar>
          <w:top w:w="0" w:type="dxa"/>
          <w:left w:w="0" w:type="dxa"/>
          <w:bottom w:w="0" w:type="dxa"/>
          <w:right w:w="0" w:type="dxa"/>
        </w:tblCellMar>
      </w:tblPr>
      <w:tr>
        <w:trPr>
          <w:trHeight w:val="241"/>
        </w:trPr>
        <w:tc>
          <w:tcPr>
            <w:tcW w:w="20" w:type="dxa"/>
            <w:vAlign w:val="bottom"/>
          </w:tcPr>
          <w:p>
            <w:pPr>
              <w:spacing w:after="0"/>
              <w:rPr>
                <w:sz w:val="20"/>
                <w:szCs w:val="20"/>
                <w:color w:val="auto"/>
              </w:rPr>
            </w:pPr>
          </w:p>
        </w:tc>
        <w:tc>
          <w:tcPr>
            <w:tcW w:w="3400" w:type="dxa"/>
            <w:vAlign w:val="bottom"/>
          </w:tcPr>
          <w:p>
            <w:pPr>
              <w:spacing w:after="0"/>
              <w:rPr>
                <w:sz w:val="20"/>
                <w:szCs w:val="20"/>
                <w:color w:val="auto"/>
              </w:rPr>
            </w:pPr>
          </w:p>
        </w:tc>
        <w:tc>
          <w:tcPr>
            <w:tcW w:w="528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2420" w:type="dxa"/>
            <w:vAlign w:val="bottom"/>
            <w:gridSpan w:val="5"/>
          </w:tcPr>
          <w:p>
            <w:pPr>
              <w:ind w:left="340"/>
              <w:spacing w:after="0"/>
              <w:rPr>
                <w:sz w:val="20"/>
                <w:szCs w:val="20"/>
                <w:color w:val="auto"/>
              </w:rPr>
            </w:pPr>
            <w:r>
              <w:rPr>
                <w:rFonts w:ascii="Arial" w:cs="Arial" w:eastAsia="Arial" w:hAnsi="Arial"/>
                <w:sz w:val="18"/>
                <w:szCs w:val="18"/>
                <w:b w:val="1"/>
                <w:bCs w:val="1"/>
                <w:color w:val="auto"/>
              </w:rPr>
              <w:t>Common Stock</w:t>
            </w:r>
          </w:p>
        </w:tc>
      </w:tr>
      <w:tr>
        <w:trPr>
          <w:trHeight w:val="223"/>
        </w:trPr>
        <w:tc>
          <w:tcPr>
            <w:tcW w:w="3420" w:type="dxa"/>
            <w:vAlign w:val="bottom"/>
            <w:gridSpan w:val="2"/>
          </w:tcPr>
          <w:p>
            <w:pPr>
              <w:spacing w:after="0"/>
              <w:rPr>
                <w:sz w:val="20"/>
                <w:szCs w:val="20"/>
                <w:color w:val="auto"/>
              </w:rPr>
            </w:pPr>
            <w:r>
              <w:rPr>
                <w:rFonts w:ascii="Arial" w:cs="Arial" w:eastAsia="Arial" w:hAnsi="Arial"/>
                <w:sz w:val="18"/>
                <w:szCs w:val="18"/>
                <w:color w:val="auto"/>
              </w:rPr>
              <w:t>Fiscal Year 2006</w:t>
            </w:r>
          </w:p>
        </w:tc>
        <w:tc>
          <w:tcPr>
            <w:tcW w:w="5280" w:type="dxa"/>
            <w:vAlign w:val="bottom"/>
          </w:tcPr>
          <w:p>
            <w:pPr>
              <w:spacing w:after="0"/>
              <w:rPr>
                <w:sz w:val="19"/>
                <w:szCs w:val="19"/>
                <w:color w:val="auto"/>
              </w:rPr>
            </w:pPr>
          </w:p>
        </w:tc>
        <w:tc>
          <w:tcPr>
            <w:tcW w:w="300" w:type="dxa"/>
            <w:vAlign w:val="bottom"/>
            <w:tcBorders>
              <w:top w:val="single" w:sz="8" w:color="auto"/>
            </w:tcBorders>
          </w:tcPr>
          <w:p>
            <w:pPr>
              <w:spacing w:after="0"/>
              <w:rPr>
                <w:sz w:val="19"/>
                <w:szCs w:val="19"/>
                <w:color w:val="auto"/>
              </w:rPr>
            </w:pPr>
          </w:p>
        </w:tc>
        <w:tc>
          <w:tcPr>
            <w:tcW w:w="960" w:type="dxa"/>
            <w:vAlign w:val="bottom"/>
            <w:tcBorders>
              <w:top w:val="single" w:sz="8" w:color="auto"/>
            </w:tcBorders>
          </w:tcPr>
          <w:p>
            <w:pPr>
              <w:jc w:val="right"/>
              <w:ind w:right="370"/>
              <w:spacing w:after="0"/>
              <w:rPr>
                <w:sz w:val="20"/>
                <w:szCs w:val="20"/>
                <w:color w:val="auto"/>
              </w:rPr>
            </w:pPr>
            <w:r>
              <w:rPr>
                <w:rFonts w:ascii="Arial" w:cs="Arial" w:eastAsia="Arial" w:hAnsi="Arial"/>
                <w:sz w:val="18"/>
                <w:szCs w:val="18"/>
                <w:b w:val="1"/>
                <w:bCs w:val="1"/>
                <w:color w:val="auto"/>
              </w:rPr>
              <w:t>High</w:t>
            </w:r>
          </w:p>
        </w:tc>
        <w:tc>
          <w:tcPr>
            <w:tcW w:w="100" w:type="dxa"/>
            <w:vAlign w:val="bottom"/>
            <w:tcBorders>
              <w:top w:val="single" w:sz="8" w:color="auto"/>
            </w:tcBorders>
          </w:tcPr>
          <w:p>
            <w:pPr>
              <w:spacing w:after="0"/>
              <w:rPr>
                <w:sz w:val="19"/>
                <w:szCs w:val="19"/>
                <w:color w:val="auto"/>
              </w:rPr>
            </w:pPr>
          </w:p>
        </w:tc>
        <w:tc>
          <w:tcPr>
            <w:tcW w:w="320" w:type="dxa"/>
            <w:vAlign w:val="bottom"/>
            <w:tcBorders>
              <w:top w:val="single" w:sz="8" w:color="auto"/>
            </w:tcBorders>
          </w:tcPr>
          <w:p>
            <w:pPr>
              <w:spacing w:after="0"/>
              <w:rPr>
                <w:sz w:val="19"/>
                <w:szCs w:val="19"/>
                <w:color w:val="auto"/>
              </w:rPr>
            </w:pPr>
          </w:p>
        </w:tc>
        <w:tc>
          <w:tcPr>
            <w:tcW w:w="940" w:type="dxa"/>
            <w:vAlign w:val="bottom"/>
            <w:tcBorders>
              <w:top w:val="single" w:sz="8" w:color="auto"/>
            </w:tcBorders>
          </w:tcPr>
          <w:p>
            <w:pPr>
              <w:jc w:val="right"/>
              <w:ind w:right="390"/>
              <w:spacing w:after="0"/>
              <w:rPr>
                <w:sz w:val="20"/>
                <w:szCs w:val="20"/>
                <w:color w:val="auto"/>
              </w:rPr>
            </w:pPr>
            <w:r>
              <w:rPr>
                <w:rFonts w:ascii="Arial" w:cs="Arial" w:eastAsia="Arial" w:hAnsi="Arial"/>
                <w:sz w:val="18"/>
                <w:szCs w:val="18"/>
                <w:b w:val="1"/>
                <w:bCs w:val="1"/>
                <w:color w:val="auto"/>
              </w:rPr>
              <w:t>Low</w:t>
            </w:r>
          </w:p>
        </w:tc>
        <w:tc>
          <w:tcPr>
            <w:tcW w:w="100" w:type="dxa"/>
            <w:vAlign w:val="bottom"/>
          </w:tcPr>
          <w:p>
            <w:pPr>
              <w:spacing w:after="0"/>
              <w:rPr>
                <w:sz w:val="19"/>
                <w:szCs w:val="19"/>
                <w:color w:val="auto"/>
              </w:rPr>
            </w:pPr>
          </w:p>
        </w:tc>
      </w:tr>
      <w:tr>
        <w:trPr>
          <w:trHeight w:val="216"/>
        </w:trPr>
        <w:tc>
          <w:tcPr>
            <w:tcW w:w="20" w:type="dxa"/>
            <w:vAlign w:val="bottom"/>
          </w:tcPr>
          <w:p>
            <w:pPr>
              <w:spacing w:after="0"/>
              <w:rPr>
                <w:sz w:val="18"/>
                <w:szCs w:val="18"/>
                <w:color w:val="auto"/>
              </w:rPr>
            </w:pPr>
          </w:p>
        </w:tc>
        <w:tc>
          <w:tcPr>
            <w:tcW w:w="3400" w:type="dxa"/>
            <w:vAlign w:val="bottom"/>
            <w:tcBorders>
              <w:top w:val="single" w:sz="8" w:color="auto"/>
            </w:tcBorders>
            <w:shd w:val="clear" w:color="auto" w:fill="EEEEEE"/>
          </w:tcPr>
          <w:p>
            <w:pPr>
              <w:spacing w:after="0"/>
              <w:rPr>
                <w:sz w:val="20"/>
                <w:szCs w:val="20"/>
                <w:color w:val="auto"/>
              </w:rPr>
            </w:pPr>
            <w:r>
              <w:rPr>
                <w:rFonts w:ascii="Arial" w:cs="Arial" w:eastAsia="Arial" w:hAnsi="Arial"/>
                <w:sz w:val="18"/>
                <w:szCs w:val="18"/>
                <w:color w:val="auto"/>
              </w:rPr>
              <w:t>First Quarter</w:t>
            </w:r>
          </w:p>
        </w:tc>
        <w:tc>
          <w:tcPr>
            <w:tcW w:w="5580" w:type="dxa"/>
            <w:vAlign w:val="bottom"/>
            <w:tcBorders>
              <w:top w:val="single" w:sz="8" w:color="auto"/>
            </w:tcBorders>
            <w:gridSpan w:val="2"/>
            <w:shd w:val="clear" w:color="auto" w:fill="EEEEEE"/>
          </w:tcPr>
          <w:p>
            <w:pPr>
              <w:jc w:val="right"/>
              <w:ind w:right="100"/>
              <w:spacing w:after="0"/>
              <w:rPr>
                <w:sz w:val="20"/>
                <w:szCs w:val="20"/>
                <w:color w:val="auto"/>
              </w:rPr>
            </w:pPr>
            <w:r>
              <w:rPr>
                <w:rFonts w:ascii="Arial" w:cs="Arial" w:eastAsia="Arial" w:hAnsi="Arial"/>
                <w:sz w:val="18"/>
                <w:szCs w:val="18"/>
                <w:color w:val="auto"/>
              </w:rPr>
              <w:t>$</w:t>
            </w:r>
          </w:p>
        </w:tc>
        <w:tc>
          <w:tcPr>
            <w:tcW w:w="960" w:type="dxa"/>
            <w:vAlign w:val="bottom"/>
            <w:tcBorders>
              <w:top w:val="single" w:sz="8" w:color="auto"/>
            </w:tcBorders>
            <w:shd w:val="clear" w:color="auto" w:fill="EEEEEE"/>
          </w:tcPr>
          <w:p>
            <w:pPr>
              <w:jc w:val="right"/>
              <w:spacing w:after="0"/>
              <w:rPr>
                <w:sz w:val="20"/>
                <w:szCs w:val="20"/>
                <w:color w:val="auto"/>
              </w:rPr>
            </w:pPr>
            <w:r>
              <w:rPr>
                <w:rFonts w:ascii="Arial" w:cs="Arial" w:eastAsia="Arial" w:hAnsi="Arial"/>
                <w:sz w:val="18"/>
                <w:szCs w:val="18"/>
                <w:color w:val="auto"/>
              </w:rPr>
              <w:t>558.33</w:t>
            </w:r>
          </w:p>
        </w:tc>
        <w:tc>
          <w:tcPr>
            <w:tcW w:w="100" w:type="dxa"/>
            <w:vAlign w:val="bottom"/>
            <w:shd w:val="clear" w:color="auto" w:fill="EEEEEE"/>
          </w:tcPr>
          <w:p>
            <w:pPr>
              <w:spacing w:after="0"/>
              <w:rPr>
                <w:sz w:val="18"/>
                <w:szCs w:val="18"/>
                <w:color w:val="auto"/>
              </w:rPr>
            </w:pPr>
          </w:p>
        </w:tc>
        <w:tc>
          <w:tcPr>
            <w:tcW w:w="320" w:type="dxa"/>
            <w:vAlign w:val="bottom"/>
            <w:tcBorders>
              <w:top w:val="single" w:sz="8" w:color="auto"/>
            </w:tcBorders>
            <w:shd w:val="clear" w:color="auto" w:fill="EEEEEE"/>
          </w:tcPr>
          <w:p>
            <w:pPr>
              <w:jc w:val="right"/>
              <w:ind w:right="30"/>
              <w:spacing w:after="0"/>
              <w:rPr>
                <w:sz w:val="20"/>
                <w:szCs w:val="20"/>
                <w:color w:val="auto"/>
              </w:rPr>
            </w:pPr>
            <w:r>
              <w:rPr>
                <w:rFonts w:ascii="Arial" w:cs="Arial" w:eastAsia="Arial" w:hAnsi="Arial"/>
                <w:sz w:val="18"/>
                <w:szCs w:val="18"/>
                <w:color w:val="auto"/>
              </w:rPr>
              <w:t>$</w:t>
            </w:r>
          </w:p>
        </w:tc>
        <w:tc>
          <w:tcPr>
            <w:tcW w:w="940" w:type="dxa"/>
            <w:vAlign w:val="bottom"/>
            <w:tcBorders>
              <w:top w:val="single" w:sz="8" w:color="auto"/>
            </w:tcBorders>
            <w:shd w:val="clear" w:color="auto" w:fill="EEEEEE"/>
          </w:tcPr>
          <w:p>
            <w:pPr>
              <w:jc w:val="right"/>
              <w:spacing w:after="0"/>
              <w:rPr>
                <w:sz w:val="20"/>
                <w:szCs w:val="20"/>
                <w:color w:val="auto"/>
              </w:rPr>
            </w:pPr>
            <w:r>
              <w:rPr>
                <w:rFonts w:ascii="Arial" w:cs="Arial" w:eastAsia="Arial" w:hAnsi="Arial"/>
                <w:sz w:val="18"/>
                <w:szCs w:val="18"/>
                <w:color w:val="auto"/>
              </w:rPr>
              <w:t>83.33</w:t>
            </w:r>
          </w:p>
        </w:tc>
        <w:tc>
          <w:tcPr>
            <w:tcW w:w="100" w:type="dxa"/>
            <w:vAlign w:val="bottom"/>
            <w:shd w:val="clear" w:color="auto" w:fill="EEEEEE"/>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3400" w:type="dxa"/>
            <w:vAlign w:val="bottom"/>
          </w:tcPr>
          <w:p>
            <w:pPr>
              <w:spacing w:after="0"/>
              <w:rPr>
                <w:sz w:val="20"/>
                <w:szCs w:val="20"/>
                <w:color w:val="auto"/>
              </w:rPr>
            </w:pPr>
            <w:r>
              <w:rPr>
                <w:rFonts w:ascii="Arial" w:cs="Arial" w:eastAsia="Arial" w:hAnsi="Arial"/>
                <w:sz w:val="18"/>
                <w:szCs w:val="18"/>
                <w:color w:val="auto"/>
              </w:rPr>
              <w:t>Second Quarter</w:t>
            </w:r>
          </w:p>
        </w:tc>
        <w:tc>
          <w:tcPr>
            <w:tcW w:w="558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960" w:type="dxa"/>
            <w:vAlign w:val="bottom"/>
          </w:tcPr>
          <w:p>
            <w:pPr>
              <w:jc w:val="right"/>
              <w:spacing w:after="0"/>
              <w:rPr>
                <w:sz w:val="20"/>
                <w:szCs w:val="20"/>
                <w:color w:val="auto"/>
              </w:rPr>
            </w:pPr>
            <w:r>
              <w:rPr>
                <w:rFonts w:ascii="Arial" w:cs="Arial" w:eastAsia="Arial" w:hAnsi="Arial"/>
                <w:sz w:val="18"/>
                <w:szCs w:val="18"/>
                <w:color w:val="auto"/>
              </w:rPr>
              <w:t>466.67</w:t>
            </w:r>
          </w:p>
        </w:tc>
        <w:tc>
          <w:tcPr>
            <w:tcW w:w="420" w:type="dxa"/>
            <w:vAlign w:val="bottom"/>
            <w:gridSpan w:val="2"/>
          </w:tcPr>
          <w:p>
            <w:pPr>
              <w:jc w:val="right"/>
              <w:ind w:right="30"/>
              <w:spacing w:after="0"/>
              <w:rPr>
                <w:sz w:val="20"/>
                <w:szCs w:val="20"/>
                <w:color w:val="auto"/>
              </w:rPr>
            </w:pPr>
            <w:r>
              <w:rPr>
                <w:rFonts w:ascii="Arial" w:cs="Arial" w:eastAsia="Arial" w:hAnsi="Arial"/>
                <w:sz w:val="18"/>
                <w:szCs w:val="18"/>
                <w:color w:val="auto"/>
              </w:rPr>
              <w:t>$</w:t>
            </w:r>
          </w:p>
        </w:tc>
        <w:tc>
          <w:tcPr>
            <w:tcW w:w="940" w:type="dxa"/>
            <w:vAlign w:val="bottom"/>
          </w:tcPr>
          <w:p>
            <w:pPr>
              <w:jc w:val="right"/>
              <w:spacing w:after="0"/>
              <w:rPr>
                <w:sz w:val="20"/>
                <w:szCs w:val="20"/>
                <w:color w:val="auto"/>
              </w:rPr>
            </w:pPr>
            <w:r>
              <w:rPr>
                <w:rFonts w:ascii="Arial" w:cs="Arial" w:eastAsia="Arial" w:hAnsi="Arial"/>
                <w:sz w:val="18"/>
                <w:szCs w:val="18"/>
                <w:color w:val="auto"/>
              </w:rPr>
              <w:t>283.33</w:t>
            </w:r>
          </w:p>
        </w:tc>
        <w:tc>
          <w:tcPr>
            <w:tcW w:w="10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3400" w:type="dxa"/>
            <w:vAlign w:val="bottom"/>
            <w:shd w:val="clear" w:color="auto" w:fill="EEEEEE"/>
          </w:tcPr>
          <w:p>
            <w:pPr>
              <w:spacing w:after="0"/>
              <w:rPr>
                <w:sz w:val="20"/>
                <w:szCs w:val="20"/>
                <w:color w:val="auto"/>
              </w:rPr>
            </w:pPr>
            <w:r>
              <w:rPr>
                <w:rFonts w:ascii="Arial" w:cs="Arial" w:eastAsia="Arial" w:hAnsi="Arial"/>
                <w:sz w:val="18"/>
                <w:szCs w:val="18"/>
                <w:color w:val="auto"/>
              </w:rPr>
              <w:t>Third Quarter</w:t>
            </w:r>
          </w:p>
        </w:tc>
        <w:tc>
          <w:tcPr>
            <w:tcW w:w="5580" w:type="dxa"/>
            <w:vAlign w:val="bottom"/>
            <w:gridSpan w:val="2"/>
            <w:shd w:val="clear" w:color="auto" w:fill="EEEEEE"/>
          </w:tcPr>
          <w:p>
            <w:pPr>
              <w:jc w:val="right"/>
              <w:ind w:right="100"/>
              <w:spacing w:after="0"/>
              <w:rPr>
                <w:sz w:val="20"/>
                <w:szCs w:val="20"/>
                <w:color w:val="auto"/>
              </w:rPr>
            </w:pPr>
            <w:r>
              <w:rPr>
                <w:rFonts w:ascii="Arial" w:cs="Arial" w:eastAsia="Arial" w:hAnsi="Arial"/>
                <w:sz w:val="18"/>
                <w:szCs w:val="18"/>
                <w:color w:val="auto"/>
              </w:rPr>
              <w:t>$</w:t>
            </w:r>
          </w:p>
        </w:tc>
        <w:tc>
          <w:tcPr>
            <w:tcW w:w="960" w:type="dxa"/>
            <w:vAlign w:val="bottom"/>
            <w:shd w:val="clear" w:color="auto" w:fill="EEEEEE"/>
          </w:tcPr>
          <w:p>
            <w:pPr>
              <w:jc w:val="right"/>
              <w:spacing w:after="0"/>
              <w:rPr>
                <w:sz w:val="20"/>
                <w:szCs w:val="20"/>
                <w:color w:val="auto"/>
              </w:rPr>
            </w:pPr>
            <w:r>
              <w:rPr>
                <w:rFonts w:ascii="Arial" w:cs="Arial" w:eastAsia="Arial" w:hAnsi="Arial"/>
                <w:sz w:val="18"/>
                <w:szCs w:val="18"/>
                <w:color w:val="auto"/>
              </w:rPr>
              <w:t>658.33</w:t>
            </w:r>
          </w:p>
        </w:tc>
        <w:tc>
          <w:tcPr>
            <w:tcW w:w="420" w:type="dxa"/>
            <w:vAlign w:val="bottom"/>
            <w:gridSpan w:val="2"/>
            <w:shd w:val="clear" w:color="auto" w:fill="EEEEEE"/>
          </w:tcPr>
          <w:p>
            <w:pPr>
              <w:jc w:val="right"/>
              <w:ind w:right="30"/>
              <w:spacing w:after="0"/>
              <w:rPr>
                <w:sz w:val="20"/>
                <w:szCs w:val="20"/>
                <w:color w:val="auto"/>
              </w:rPr>
            </w:pPr>
            <w:r>
              <w:rPr>
                <w:rFonts w:ascii="Arial" w:cs="Arial" w:eastAsia="Arial" w:hAnsi="Arial"/>
                <w:sz w:val="18"/>
                <w:szCs w:val="18"/>
                <w:color w:val="auto"/>
              </w:rPr>
              <w:t>$</w:t>
            </w:r>
          </w:p>
        </w:tc>
        <w:tc>
          <w:tcPr>
            <w:tcW w:w="940" w:type="dxa"/>
            <w:vAlign w:val="bottom"/>
            <w:shd w:val="clear" w:color="auto" w:fill="EEEEEE"/>
          </w:tcPr>
          <w:p>
            <w:pPr>
              <w:jc w:val="right"/>
              <w:spacing w:after="0"/>
              <w:rPr>
                <w:sz w:val="20"/>
                <w:szCs w:val="20"/>
                <w:color w:val="auto"/>
              </w:rPr>
            </w:pPr>
            <w:r>
              <w:rPr>
                <w:rFonts w:ascii="Arial" w:cs="Arial" w:eastAsia="Arial" w:hAnsi="Arial"/>
                <w:sz w:val="18"/>
                <w:szCs w:val="18"/>
                <w:color w:val="auto"/>
              </w:rPr>
              <w:t>313.33</w:t>
            </w:r>
          </w:p>
        </w:tc>
        <w:tc>
          <w:tcPr>
            <w:tcW w:w="100" w:type="dxa"/>
            <w:vAlign w:val="bottom"/>
            <w:shd w:val="clear" w:color="auto" w:fill="EEEEEE"/>
          </w:tcPr>
          <w:p>
            <w:pPr>
              <w:spacing w:after="0"/>
              <w:rPr>
                <w:sz w:val="18"/>
                <w:szCs w:val="18"/>
                <w:color w:val="auto"/>
              </w:rPr>
            </w:pPr>
          </w:p>
        </w:tc>
      </w:tr>
      <w:tr>
        <w:trPr>
          <w:trHeight w:val="230"/>
        </w:trPr>
        <w:tc>
          <w:tcPr>
            <w:tcW w:w="20" w:type="dxa"/>
            <w:vAlign w:val="bottom"/>
          </w:tcPr>
          <w:p>
            <w:pPr>
              <w:spacing w:after="0"/>
              <w:rPr>
                <w:sz w:val="20"/>
                <w:szCs w:val="20"/>
                <w:color w:val="auto"/>
              </w:rPr>
            </w:pPr>
          </w:p>
        </w:tc>
        <w:tc>
          <w:tcPr>
            <w:tcW w:w="3400" w:type="dxa"/>
            <w:vAlign w:val="bottom"/>
          </w:tcPr>
          <w:p>
            <w:pPr>
              <w:spacing w:after="0"/>
              <w:rPr>
                <w:sz w:val="20"/>
                <w:szCs w:val="20"/>
                <w:color w:val="auto"/>
              </w:rPr>
            </w:pPr>
            <w:r>
              <w:rPr>
                <w:rFonts w:ascii="Arial" w:cs="Arial" w:eastAsia="Arial" w:hAnsi="Arial"/>
                <w:sz w:val="18"/>
                <w:szCs w:val="18"/>
                <w:color w:val="auto"/>
              </w:rPr>
              <w:t>Fourth Quarter</w:t>
            </w:r>
          </w:p>
        </w:tc>
        <w:tc>
          <w:tcPr>
            <w:tcW w:w="558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960" w:type="dxa"/>
            <w:vAlign w:val="bottom"/>
          </w:tcPr>
          <w:p>
            <w:pPr>
              <w:jc w:val="right"/>
              <w:spacing w:after="0"/>
              <w:rPr>
                <w:sz w:val="20"/>
                <w:szCs w:val="20"/>
                <w:color w:val="auto"/>
              </w:rPr>
            </w:pPr>
            <w:r>
              <w:rPr>
                <w:rFonts w:ascii="Arial" w:cs="Arial" w:eastAsia="Arial" w:hAnsi="Arial"/>
                <w:sz w:val="18"/>
                <w:szCs w:val="18"/>
                <w:color w:val="auto"/>
              </w:rPr>
              <w:t>600.00</w:t>
            </w:r>
          </w:p>
        </w:tc>
        <w:tc>
          <w:tcPr>
            <w:tcW w:w="420" w:type="dxa"/>
            <w:vAlign w:val="bottom"/>
            <w:gridSpan w:val="2"/>
          </w:tcPr>
          <w:p>
            <w:pPr>
              <w:jc w:val="right"/>
              <w:ind w:right="30"/>
              <w:spacing w:after="0"/>
              <w:rPr>
                <w:sz w:val="20"/>
                <w:szCs w:val="20"/>
                <w:color w:val="auto"/>
              </w:rPr>
            </w:pPr>
            <w:r>
              <w:rPr>
                <w:rFonts w:ascii="Arial" w:cs="Arial" w:eastAsia="Arial" w:hAnsi="Arial"/>
                <w:sz w:val="18"/>
                <w:szCs w:val="18"/>
                <w:color w:val="auto"/>
              </w:rPr>
              <w:t>$</w:t>
            </w:r>
          </w:p>
        </w:tc>
        <w:tc>
          <w:tcPr>
            <w:tcW w:w="940" w:type="dxa"/>
            <w:vAlign w:val="bottom"/>
          </w:tcPr>
          <w:p>
            <w:pPr>
              <w:jc w:val="right"/>
              <w:spacing w:after="0"/>
              <w:rPr>
                <w:sz w:val="20"/>
                <w:szCs w:val="20"/>
                <w:color w:val="auto"/>
              </w:rPr>
            </w:pPr>
            <w:r>
              <w:rPr>
                <w:rFonts w:ascii="Arial" w:cs="Arial" w:eastAsia="Arial" w:hAnsi="Arial"/>
                <w:sz w:val="18"/>
                <w:szCs w:val="18"/>
                <w:color w:val="auto"/>
              </w:rPr>
              <w:t>313.33</w:t>
            </w:r>
          </w:p>
        </w:tc>
        <w:tc>
          <w:tcPr>
            <w:tcW w:w="100" w:type="dxa"/>
            <w:vAlign w:val="bottom"/>
          </w:tcPr>
          <w:p>
            <w:pPr>
              <w:spacing w:after="0"/>
              <w:rPr>
                <w:sz w:val="20"/>
                <w:szCs w:val="20"/>
                <w:color w:val="auto"/>
              </w:rPr>
            </w:pPr>
          </w:p>
        </w:tc>
      </w:tr>
      <w:tr>
        <w:trPr>
          <w:trHeight w:val="715"/>
        </w:trPr>
        <w:tc>
          <w:tcPr>
            <w:tcW w:w="20" w:type="dxa"/>
            <w:vAlign w:val="bottom"/>
          </w:tcPr>
          <w:p>
            <w:pPr>
              <w:spacing w:after="0"/>
              <w:rPr>
                <w:sz w:val="24"/>
                <w:szCs w:val="24"/>
                <w:color w:val="auto"/>
              </w:rPr>
            </w:pPr>
          </w:p>
        </w:tc>
        <w:tc>
          <w:tcPr>
            <w:tcW w:w="3400" w:type="dxa"/>
            <w:vAlign w:val="bottom"/>
          </w:tcPr>
          <w:p>
            <w:pPr>
              <w:spacing w:after="0"/>
              <w:rPr>
                <w:sz w:val="24"/>
                <w:szCs w:val="24"/>
                <w:color w:val="auto"/>
              </w:rPr>
            </w:pPr>
          </w:p>
        </w:tc>
        <w:tc>
          <w:tcPr>
            <w:tcW w:w="5280" w:type="dxa"/>
            <w:vAlign w:val="bottom"/>
          </w:tcPr>
          <w:p>
            <w:pPr>
              <w:jc w:val="right"/>
              <w:ind w:right="2810"/>
              <w:spacing w:after="0"/>
              <w:rPr>
                <w:sz w:val="20"/>
                <w:szCs w:val="20"/>
                <w:color w:val="auto"/>
              </w:rPr>
            </w:pPr>
            <w:r>
              <w:rPr>
                <w:rFonts w:ascii="Arial" w:cs="Arial" w:eastAsia="Arial" w:hAnsi="Arial"/>
                <w:sz w:val="18"/>
                <w:szCs w:val="18"/>
                <w:color w:val="auto"/>
              </w:rPr>
              <w:t>29</w:t>
            </w:r>
          </w:p>
        </w:tc>
        <w:tc>
          <w:tcPr>
            <w:tcW w:w="30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108"/>
        </w:trPr>
        <w:tc>
          <w:tcPr>
            <w:tcW w:w="20" w:type="dxa"/>
            <w:vAlign w:val="bottom"/>
          </w:tcPr>
          <w:p>
            <w:pPr>
              <w:spacing w:after="0"/>
              <w:rPr>
                <w:sz w:val="9"/>
                <w:szCs w:val="9"/>
                <w:color w:val="auto"/>
              </w:rPr>
            </w:pPr>
          </w:p>
        </w:tc>
        <w:tc>
          <w:tcPr>
            <w:tcW w:w="3400" w:type="dxa"/>
            <w:vAlign w:val="bottom"/>
            <w:tcBorders>
              <w:bottom w:val="single" w:sz="8" w:color="808080"/>
            </w:tcBorders>
          </w:tcPr>
          <w:p>
            <w:pPr>
              <w:spacing w:after="0"/>
              <w:rPr>
                <w:sz w:val="9"/>
                <w:szCs w:val="9"/>
                <w:color w:val="auto"/>
              </w:rPr>
            </w:pPr>
          </w:p>
        </w:tc>
        <w:tc>
          <w:tcPr>
            <w:tcW w:w="5280" w:type="dxa"/>
            <w:vAlign w:val="bottom"/>
            <w:tcBorders>
              <w:bottom w:val="single" w:sz="8" w:color="808080"/>
            </w:tcBorders>
          </w:tcPr>
          <w:p>
            <w:pPr>
              <w:spacing w:after="0"/>
              <w:rPr>
                <w:sz w:val="9"/>
                <w:szCs w:val="9"/>
                <w:color w:val="auto"/>
              </w:rPr>
            </w:pPr>
          </w:p>
        </w:tc>
        <w:tc>
          <w:tcPr>
            <w:tcW w:w="300" w:type="dxa"/>
            <w:vAlign w:val="bottom"/>
            <w:tcBorders>
              <w:bottom w:val="single" w:sz="8" w:color="808080"/>
            </w:tcBorders>
          </w:tcPr>
          <w:p>
            <w:pPr>
              <w:spacing w:after="0"/>
              <w:rPr>
                <w:sz w:val="9"/>
                <w:szCs w:val="9"/>
                <w:color w:val="auto"/>
              </w:rPr>
            </w:pPr>
          </w:p>
        </w:tc>
        <w:tc>
          <w:tcPr>
            <w:tcW w:w="960" w:type="dxa"/>
            <w:vAlign w:val="bottom"/>
            <w:tcBorders>
              <w:bottom w:val="single" w:sz="8" w:color="808080"/>
            </w:tcBorders>
          </w:tcPr>
          <w:p>
            <w:pPr>
              <w:spacing w:after="0"/>
              <w:rPr>
                <w:sz w:val="9"/>
                <w:szCs w:val="9"/>
                <w:color w:val="auto"/>
              </w:rPr>
            </w:pPr>
          </w:p>
        </w:tc>
        <w:tc>
          <w:tcPr>
            <w:tcW w:w="100" w:type="dxa"/>
            <w:vAlign w:val="bottom"/>
            <w:tcBorders>
              <w:bottom w:val="single" w:sz="8" w:color="808080"/>
            </w:tcBorders>
          </w:tcPr>
          <w:p>
            <w:pPr>
              <w:spacing w:after="0"/>
              <w:rPr>
                <w:sz w:val="9"/>
                <w:szCs w:val="9"/>
                <w:color w:val="auto"/>
              </w:rPr>
            </w:pPr>
          </w:p>
        </w:tc>
        <w:tc>
          <w:tcPr>
            <w:tcW w:w="320" w:type="dxa"/>
            <w:vAlign w:val="bottom"/>
            <w:tcBorders>
              <w:bottom w:val="single" w:sz="8" w:color="808080"/>
            </w:tcBorders>
          </w:tcPr>
          <w:p>
            <w:pPr>
              <w:spacing w:after="0"/>
              <w:rPr>
                <w:sz w:val="9"/>
                <w:szCs w:val="9"/>
                <w:color w:val="auto"/>
              </w:rPr>
            </w:pPr>
          </w:p>
        </w:tc>
        <w:tc>
          <w:tcPr>
            <w:tcW w:w="940" w:type="dxa"/>
            <w:vAlign w:val="bottom"/>
            <w:tcBorders>
              <w:bottom w:val="single" w:sz="8" w:color="808080"/>
            </w:tcBorders>
          </w:tcPr>
          <w:p>
            <w:pPr>
              <w:spacing w:after="0"/>
              <w:rPr>
                <w:sz w:val="9"/>
                <w:szCs w:val="9"/>
                <w:color w:val="auto"/>
              </w:rPr>
            </w:pPr>
          </w:p>
        </w:tc>
        <w:tc>
          <w:tcPr>
            <w:tcW w:w="100" w:type="dxa"/>
            <w:vAlign w:val="bottom"/>
            <w:tcBorders>
              <w:bottom w:val="single" w:sz="8" w:color="808080"/>
            </w:tcBorders>
          </w:tcPr>
          <w:p>
            <w:pPr>
              <w:spacing w:after="0"/>
              <w:rPr>
                <w:sz w:val="9"/>
                <w:szCs w:val="9"/>
                <w:color w:val="auto"/>
              </w:rPr>
            </w:pPr>
          </w:p>
        </w:tc>
      </w:tr>
    </w:tbl>
    <w:p>
      <w:pPr>
        <w:sectPr>
          <w:pgSz w:w="11900" w:h="16838" w:orient="portrait"/>
          <w:cols w:equalWidth="0" w:num="1">
            <w:col w:w="11420"/>
          </w:cols>
          <w:pgMar w:left="240" w:top="634" w:right="239" w:bottom="1440" w:gutter="0" w:footer="0" w:header="0"/>
        </w:sectPr>
      </w:pPr>
    </w:p>
    <w:bookmarkStart w:id="29" w:name="page30"/>
    <w:bookmarkEnd w:id="29"/>
    <w:p>
      <w:pPr>
        <w:ind w:left="660"/>
        <w:spacing w:after="0"/>
        <w:rPr>
          <w:sz w:val="20"/>
          <w:szCs w:val="20"/>
          <w:color w:val="auto"/>
        </w:rPr>
      </w:pPr>
      <w:r>
        <w:rPr>
          <w:rFonts w:ascii="Arial" w:cs="Arial" w:eastAsia="Arial" w:hAnsi="Arial"/>
          <w:sz w:val="18"/>
          <w:szCs w:val="18"/>
          <w:color w:val="auto"/>
        </w:rPr>
        <w:t>There were approximately 357 holders of record of our common stock as of January 30, 2009.</w:t>
      </w:r>
    </w:p>
    <w:p>
      <w:pPr>
        <w:spacing w:after="0" w:line="279"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18"/>
          <w:szCs w:val="18"/>
          <w:color w:val="auto"/>
        </w:rPr>
        <w:t>We have never declared or paid cash dividends on our common stock and do not expect to pay any dividends on our common stock in the foreseeable future. We currently intend to retain any future earnings for our business. The payment of any future dividends on our common stock will be determined by our Board of Directors and will depend on business conditions, our financial earnings and other factors.</w:t>
      </w:r>
    </w:p>
    <w:p>
      <w:pPr>
        <w:spacing w:after="0" w:line="23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MANAGEMENT'S DISCUSSION AND ANALYSIS OR PLAN OF OPERATION</w:t>
      </w:r>
    </w:p>
    <w:p>
      <w:pPr>
        <w:spacing w:after="0" w:line="27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Forward Looking Statements</w:t>
      </w:r>
    </w:p>
    <w:p>
      <w:pPr>
        <w:spacing w:after="0" w:line="283" w:lineRule="exact"/>
        <w:rPr>
          <w:sz w:val="20"/>
          <w:szCs w:val="20"/>
          <w:color w:val="auto"/>
        </w:rPr>
      </w:pPr>
    </w:p>
    <w:p>
      <w:pPr>
        <w:jc w:val="both"/>
        <w:ind w:firstLine="648"/>
        <w:spacing w:after="0" w:line="271" w:lineRule="auto"/>
        <w:rPr>
          <w:sz w:val="20"/>
          <w:szCs w:val="20"/>
          <w:color w:val="auto"/>
        </w:rPr>
      </w:pPr>
      <w:r>
        <w:rPr>
          <w:rFonts w:ascii="Arial" w:cs="Arial" w:eastAsia="Arial" w:hAnsi="Arial"/>
          <w:sz w:val="17"/>
          <w:szCs w:val="17"/>
          <w:color w:val="auto"/>
        </w:rPr>
        <w:t>Some of the statements contained in this Prospectus that are not historical facts are "forward-looking statements" which can be identified by the use of terminology such as "estimates," "projects," "plans," "believes," "expects," "anticipates," "intends," or the negative or other variations, or by discussions of strategy that involve risks and uncertainties. We urge you to be cautious of the forward-looking statements, that such statements, which are contained in this Prospectus, reflect our current beliefs with respect to future events and involve known and unknown risks, uncertainties and other factors affecting our operations, market growth, services, products and licenses. No assurances can be given regarding the achievement of future results, as actual results may differ materially as a result of the risks we face, and actual events may differ from the assumptions underlying the statements that have been made regarding anticipated events. Factors that may cause actual results, our performance or achievements, or industry results, to differ materially from those contemplated by such forward-looking statements include without limitation:</w:t>
      </w:r>
    </w:p>
    <w:p>
      <w:pPr>
        <w:spacing w:after="0" w:line="233" w:lineRule="exact"/>
        <w:rPr>
          <w:sz w:val="20"/>
          <w:szCs w:val="20"/>
          <w:color w:val="auto"/>
        </w:rPr>
      </w:pPr>
    </w:p>
    <w:p>
      <w:pPr>
        <w:ind w:left="580" w:hanging="326"/>
        <w:spacing w:after="0"/>
        <w:tabs>
          <w:tab w:leader="none" w:pos="580" w:val="left"/>
        </w:tabs>
        <w:numPr>
          <w:ilvl w:val="0"/>
          <w:numId w:val="27"/>
        </w:numPr>
        <w:rPr>
          <w:rFonts w:ascii="Arial" w:cs="Arial" w:eastAsia="Arial" w:hAnsi="Arial"/>
          <w:sz w:val="18"/>
          <w:szCs w:val="18"/>
          <w:color w:val="auto"/>
        </w:rPr>
      </w:pPr>
      <w:r>
        <w:rPr>
          <w:rFonts w:ascii="Arial" w:cs="Arial" w:eastAsia="Arial" w:hAnsi="Arial"/>
          <w:sz w:val="18"/>
          <w:szCs w:val="18"/>
          <w:color w:val="auto"/>
        </w:rPr>
        <w:t>Our ability to attract and retain management, and to integrate and maintain technical information and management information systems;</w:t>
      </w:r>
    </w:p>
    <w:p>
      <w:pPr>
        <w:spacing w:after="0" w:line="23" w:lineRule="exact"/>
        <w:rPr>
          <w:rFonts w:ascii="Arial" w:cs="Arial" w:eastAsia="Arial" w:hAnsi="Arial"/>
          <w:sz w:val="18"/>
          <w:szCs w:val="18"/>
          <w:color w:val="auto"/>
        </w:rPr>
      </w:pPr>
    </w:p>
    <w:p>
      <w:pPr>
        <w:ind w:left="580" w:hanging="326"/>
        <w:spacing w:after="0"/>
        <w:tabs>
          <w:tab w:leader="none" w:pos="580" w:val="left"/>
        </w:tabs>
        <w:numPr>
          <w:ilvl w:val="0"/>
          <w:numId w:val="27"/>
        </w:numPr>
        <w:rPr>
          <w:rFonts w:ascii="Arial" w:cs="Arial" w:eastAsia="Arial" w:hAnsi="Arial"/>
          <w:sz w:val="18"/>
          <w:szCs w:val="18"/>
          <w:color w:val="auto"/>
        </w:rPr>
      </w:pPr>
      <w:r>
        <w:rPr>
          <w:rFonts w:ascii="Arial" w:cs="Arial" w:eastAsia="Arial" w:hAnsi="Arial"/>
          <w:sz w:val="18"/>
          <w:szCs w:val="18"/>
          <w:color w:val="auto"/>
        </w:rPr>
        <w:t>Our ability to raise capital when needed and on acceptable terms and conditions;</w:t>
      </w:r>
    </w:p>
    <w:p>
      <w:pPr>
        <w:spacing w:after="0" w:line="9" w:lineRule="exact"/>
        <w:rPr>
          <w:rFonts w:ascii="Arial" w:cs="Arial" w:eastAsia="Arial" w:hAnsi="Arial"/>
          <w:sz w:val="18"/>
          <w:szCs w:val="18"/>
          <w:color w:val="auto"/>
        </w:rPr>
      </w:pPr>
    </w:p>
    <w:p>
      <w:pPr>
        <w:ind w:left="580" w:hanging="326"/>
        <w:spacing w:after="0"/>
        <w:tabs>
          <w:tab w:leader="none" w:pos="580" w:val="left"/>
        </w:tabs>
        <w:numPr>
          <w:ilvl w:val="0"/>
          <w:numId w:val="27"/>
        </w:numPr>
        <w:rPr>
          <w:rFonts w:ascii="Arial" w:cs="Arial" w:eastAsia="Arial" w:hAnsi="Arial"/>
          <w:sz w:val="18"/>
          <w:szCs w:val="18"/>
          <w:color w:val="auto"/>
        </w:rPr>
      </w:pPr>
      <w:r>
        <w:rPr>
          <w:rFonts w:ascii="Arial" w:cs="Arial" w:eastAsia="Arial" w:hAnsi="Arial"/>
          <w:sz w:val="18"/>
          <w:szCs w:val="18"/>
          <w:color w:val="auto"/>
        </w:rPr>
        <w:t>The intensity of competition; and</w:t>
      </w:r>
    </w:p>
    <w:p>
      <w:pPr>
        <w:spacing w:after="0" w:line="9" w:lineRule="exact"/>
        <w:rPr>
          <w:rFonts w:ascii="Arial" w:cs="Arial" w:eastAsia="Arial" w:hAnsi="Arial"/>
          <w:sz w:val="18"/>
          <w:szCs w:val="18"/>
          <w:color w:val="auto"/>
        </w:rPr>
      </w:pPr>
    </w:p>
    <w:p>
      <w:pPr>
        <w:ind w:left="580" w:hanging="326"/>
        <w:spacing w:after="0"/>
        <w:tabs>
          <w:tab w:leader="none" w:pos="580" w:val="left"/>
        </w:tabs>
        <w:numPr>
          <w:ilvl w:val="0"/>
          <w:numId w:val="27"/>
        </w:numPr>
        <w:rPr>
          <w:rFonts w:ascii="Arial" w:cs="Arial" w:eastAsia="Arial" w:hAnsi="Arial"/>
          <w:sz w:val="18"/>
          <w:szCs w:val="18"/>
          <w:color w:val="auto"/>
        </w:rPr>
      </w:pPr>
      <w:r>
        <w:rPr>
          <w:rFonts w:ascii="Arial" w:cs="Arial" w:eastAsia="Arial" w:hAnsi="Arial"/>
          <w:sz w:val="18"/>
          <w:szCs w:val="18"/>
          <w:color w:val="auto"/>
        </w:rPr>
        <w:t>General economic conditions.</w:t>
      </w:r>
    </w:p>
    <w:p>
      <w:pPr>
        <w:spacing w:after="0" w:line="9" w:lineRule="exact"/>
        <w:rPr>
          <w:rFonts w:ascii="Arial" w:cs="Arial" w:eastAsia="Arial" w:hAnsi="Arial"/>
          <w:sz w:val="18"/>
          <w:szCs w:val="18"/>
          <w:color w:val="auto"/>
        </w:rPr>
      </w:pPr>
    </w:p>
    <w:p>
      <w:pPr>
        <w:ind w:left="580" w:hanging="326"/>
        <w:spacing w:after="0"/>
        <w:tabs>
          <w:tab w:leader="none" w:pos="580" w:val="left"/>
        </w:tabs>
        <w:numPr>
          <w:ilvl w:val="0"/>
          <w:numId w:val="27"/>
        </w:numPr>
        <w:rPr>
          <w:rFonts w:ascii="Arial" w:cs="Arial" w:eastAsia="Arial" w:hAnsi="Arial"/>
          <w:sz w:val="18"/>
          <w:szCs w:val="18"/>
          <w:color w:val="auto"/>
        </w:rPr>
      </w:pPr>
      <w:r>
        <w:rPr>
          <w:rFonts w:ascii="Arial" w:cs="Arial" w:eastAsia="Arial" w:hAnsi="Arial"/>
          <w:sz w:val="18"/>
          <w:szCs w:val="18"/>
          <w:color w:val="auto"/>
        </w:rPr>
        <w:t>Changes in government regulations</w:t>
      </w:r>
    </w:p>
    <w:p>
      <w:pPr>
        <w:spacing w:after="0" w:line="26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Plan of Operation</w:t>
      </w:r>
    </w:p>
    <w:p>
      <w:pPr>
        <w:spacing w:after="0" w:line="283"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We are a development-stage company located in Michigan. Since our formation, we have concentrated on developing our business strategy and obtaining financing. We plan to expand awareness, traffic and database to our patient savings portal OPTIMIZERx.com, as well as the launch of our offer development systems OFFERx™ and ADHERxE. We expect that the primary components of our business will be:</w:t>
      </w:r>
    </w:p>
    <w:p>
      <w:pPr>
        <w:spacing w:after="0" w:line="235" w:lineRule="exact"/>
        <w:rPr>
          <w:sz w:val="20"/>
          <w:szCs w:val="20"/>
          <w:color w:val="auto"/>
        </w:rPr>
      </w:pPr>
    </w:p>
    <w:p>
      <w:pPr>
        <w:ind w:left="580" w:hanging="326"/>
        <w:spacing w:after="0"/>
        <w:tabs>
          <w:tab w:leader="none" w:pos="580" w:val="left"/>
        </w:tabs>
        <w:numPr>
          <w:ilvl w:val="0"/>
          <w:numId w:val="28"/>
        </w:numPr>
        <w:rPr>
          <w:rFonts w:ascii="Arial" w:cs="Arial" w:eastAsia="Arial" w:hAnsi="Arial"/>
          <w:sz w:val="18"/>
          <w:szCs w:val="18"/>
          <w:color w:val="auto"/>
        </w:rPr>
      </w:pPr>
      <w:r>
        <w:rPr>
          <w:rFonts w:ascii="Arial" w:cs="Arial" w:eastAsia="Arial" w:hAnsi="Arial"/>
          <w:sz w:val="18"/>
          <w:szCs w:val="18"/>
          <w:color w:val="auto"/>
        </w:rPr>
        <w:t>The online patient savings portal OPTIMIZERx.com and our network affiliates</w:t>
      </w:r>
    </w:p>
    <w:p>
      <w:pPr>
        <w:spacing w:after="0" w:line="23" w:lineRule="exact"/>
        <w:rPr>
          <w:rFonts w:ascii="Arial" w:cs="Arial" w:eastAsia="Arial" w:hAnsi="Arial"/>
          <w:sz w:val="18"/>
          <w:szCs w:val="18"/>
          <w:color w:val="auto"/>
        </w:rPr>
      </w:pPr>
    </w:p>
    <w:p>
      <w:pPr>
        <w:ind w:left="580" w:hanging="326"/>
        <w:spacing w:after="0"/>
        <w:tabs>
          <w:tab w:leader="none" w:pos="580" w:val="left"/>
        </w:tabs>
        <w:numPr>
          <w:ilvl w:val="0"/>
          <w:numId w:val="28"/>
        </w:numPr>
        <w:rPr>
          <w:rFonts w:ascii="Arial" w:cs="Arial" w:eastAsia="Arial" w:hAnsi="Arial"/>
          <w:sz w:val="18"/>
          <w:szCs w:val="18"/>
          <w:color w:val="auto"/>
        </w:rPr>
      </w:pPr>
      <w:r>
        <w:rPr>
          <w:rFonts w:ascii="Arial" w:cs="Arial" w:eastAsia="Arial" w:hAnsi="Arial"/>
          <w:sz w:val="18"/>
          <w:szCs w:val="18"/>
          <w:color w:val="auto"/>
        </w:rPr>
        <w:t>OFFERx to develop, promote and fulfill new offers from pharmaceutical and healthcare manufactures</w:t>
      </w:r>
    </w:p>
    <w:p>
      <w:pPr>
        <w:spacing w:after="0" w:line="9" w:lineRule="exact"/>
        <w:rPr>
          <w:rFonts w:ascii="Arial" w:cs="Arial" w:eastAsia="Arial" w:hAnsi="Arial"/>
          <w:sz w:val="18"/>
          <w:szCs w:val="18"/>
          <w:color w:val="auto"/>
        </w:rPr>
      </w:pPr>
    </w:p>
    <w:p>
      <w:pPr>
        <w:ind w:left="580" w:hanging="326"/>
        <w:spacing w:after="0"/>
        <w:tabs>
          <w:tab w:leader="none" w:pos="580" w:val="left"/>
        </w:tabs>
        <w:numPr>
          <w:ilvl w:val="0"/>
          <w:numId w:val="28"/>
        </w:numPr>
        <w:rPr>
          <w:rFonts w:ascii="Arial" w:cs="Arial" w:eastAsia="Arial" w:hAnsi="Arial"/>
          <w:sz w:val="18"/>
          <w:szCs w:val="18"/>
          <w:color w:val="auto"/>
        </w:rPr>
      </w:pPr>
      <w:r>
        <w:rPr>
          <w:rFonts w:ascii="Arial" w:cs="Arial" w:eastAsia="Arial" w:hAnsi="Arial"/>
          <w:sz w:val="18"/>
          <w:szCs w:val="18"/>
          <w:color w:val="auto"/>
        </w:rPr>
        <w:t>ADHERxE to allow manufacturers to re-engage their customers per activation of new savings each month</w:t>
      </w:r>
    </w:p>
    <w:p>
      <w:pPr>
        <w:spacing w:after="0" w:line="265" w:lineRule="exact"/>
        <w:rPr>
          <w:sz w:val="20"/>
          <w:szCs w:val="20"/>
          <w:color w:val="auto"/>
        </w:rPr>
      </w:pPr>
    </w:p>
    <w:p>
      <w:pPr>
        <w:spacing w:after="0" w:line="308" w:lineRule="auto"/>
        <w:rPr>
          <w:sz w:val="20"/>
          <w:szCs w:val="20"/>
          <w:color w:val="auto"/>
        </w:rPr>
      </w:pPr>
      <w:r>
        <w:rPr>
          <w:rFonts w:ascii="Arial" w:cs="Arial" w:eastAsia="Arial" w:hAnsi="Arial"/>
          <w:sz w:val="17"/>
          <w:szCs w:val="17"/>
          <w:color w:val="auto"/>
        </w:rPr>
        <w:t>As demand increases for savings and support programs to help the growing number of patients manage their rising healthcare costs, we plan to extend our reach and visibility through increased online, print and broadcast marketing to increase traffic and our database of qualified health care consumers.</w:t>
      </w:r>
    </w:p>
    <w:p>
      <w:pPr>
        <w:spacing w:after="0" w:line="201" w:lineRule="exact"/>
        <w:rPr>
          <w:sz w:val="20"/>
          <w:szCs w:val="20"/>
          <w:color w:val="auto"/>
        </w:rPr>
      </w:pPr>
    </w:p>
    <w:p>
      <w:pPr>
        <w:ind w:right="20"/>
        <w:spacing w:after="0" w:line="277" w:lineRule="auto"/>
        <w:rPr>
          <w:sz w:val="20"/>
          <w:szCs w:val="20"/>
          <w:color w:val="auto"/>
        </w:rPr>
      </w:pPr>
      <w:r>
        <w:rPr>
          <w:rFonts w:ascii="Arial" w:cs="Arial" w:eastAsia="Arial" w:hAnsi="Arial"/>
          <w:sz w:val="18"/>
          <w:szCs w:val="18"/>
          <w:color w:val="auto"/>
        </w:rPr>
        <w:t>In turn, we will generate revenues through: (i) advertising sales from our online OPTIMIZERx.com and affiliate network; (ii) its database; (iii) direct marketing and sponsorships and (iv) our platforms to create, promote and manage new savings offers for additional clients.</w:t>
      </w:r>
    </w:p>
    <w:p>
      <w:pPr>
        <w:spacing w:after="0" w:line="22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Results of Operations</w:t>
      </w:r>
    </w:p>
    <w:p>
      <w:pPr>
        <w:spacing w:after="0" w:line="283" w:lineRule="exact"/>
        <w:rPr>
          <w:sz w:val="20"/>
          <w:szCs w:val="20"/>
          <w:color w:val="auto"/>
        </w:rPr>
      </w:pPr>
    </w:p>
    <w:p>
      <w:pPr>
        <w:ind w:right="20"/>
        <w:spacing w:after="0" w:line="308" w:lineRule="auto"/>
        <w:rPr>
          <w:sz w:val="20"/>
          <w:szCs w:val="20"/>
          <w:color w:val="auto"/>
        </w:rPr>
      </w:pPr>
      <w:r>
        <w:rPr>
          <w:rFonts w:ascii="Arial" w:cs="Arial" w:eastAsia="Arial" w:hAnsi="Arial"/>
          <w:sz w:val="17"/>
          <w:szCs w:val="17"/>
          <w:color w:val="auto"/>
        </w:rPr>
        <w:t>Since inception, OPTIMIZERx Corp. has generated minimal revenue from advertising and use of its database. In the same period, OPTIMIZERx Corp has incurred expenses related to funding the development of the business plan, new products and platforms and raising capital.</w:t>
      </w:r>
    </w:p>
    <w:p>
      <w:pPr>
        <w:spacing w:after="0" w:line="200" w:lineRule="exact"/>
        <w:rPr>
          <w:sz w:val="20"/>
          <w:szCs w:val="20"/>
          <w:color w:val="auto"/>
        </w:rPr>
      </w:pPr>
    </w:p>
    <w:p>
      <w:pPr>
        <w:spacing w:after="0" w:line="24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246620" cy="889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638" w:right="239" w:bottom="1440" w:gutter="0" w:footer="0" w:header="0"/>
        </w:sectPr>
      </w:pPr>
    </w:p>
    <w:bookmarkStart w:id="30" w:name="page31"/>
    <w:bookmarkEnd w:id="30"/>
    <w:p>
      <w:pPr>
        <w:spacing w:after="0"/>
        <w:rPr>
          <w:sz w:val="20"/>
          <w:szCs w:val="20"/>
          <w:color w:val="auto"/>
        </w:rPr>
      </w:pPr>
      <w:r>
        <w:rPr>
          <w:rFonts w:ascii="Arial" w:cs="Arial" w:eastAsia="Arial" w:hAnsi="Arial"/>
          <w:sz w:val="18"/>
          <w:szCs w:val="18"/>
          <w:b w:val="1"/>
          <w:bCs w:val="1"/>
          <w:color w:val="auto"/>
        </w:rPr>
        <w:t>Nine Months Ended September 30, 2008</w:t>
      </w:r>
    </w:p>
    <w:p>
      <w:pPr>
        <w:spacing w:after="0" w:line="283"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Since our formation in January 2006, we have focused on developing a business and financing plan to launch and expand OPTIMIZERx.com and its additional marketing and offer development platforms.</w:t>
      </w:r>
    </w:p>
    <w:p>
      <w:pPr>
        <w:spacing w:after="0" w:line="224" w:lineRule="exact"/>
        <w:rPr>
          <w:sz w:val="20"/>
          <w:szCs w:val="20"/>
          <w:color w:val="auto"/>
        </w:rPr>
      </w:pPr>
    </w:p>
    <w:p>
      <w:pPr>
        <w:jc w:val="both"/>
        <w:spacing w:after="0" w:line="342" w:lineRule="auto"/>
        <w:rPr>
          <w:sz w:val="20"/>
          <w:szCs w:val="20"/>
          <w:color w:val="auto"/>
        </w:rPr>
      </w:pPr>
      <w:r>
        <w:rPr>
          <w:rFonts w:ascii="Arial" w:cs="Arial" w:eastAsia="Arial" w:hAnsi="Arial"/>
          <w:sz w:val="16"/>
          <w:szCs w:val="16"/>
          <w:color w:val="auto"/>
        </w:rPr>
        <w:t>Our operating loss for the nine months ended September 30, 2008 was $569,954. The operating loss for the period reflects expenses paid to consultants and firms related to developing the operating functions of our business in editorial, finance, product development and technology infrastructure.</w:t>
      </w:r>
    </w:p>
    <w:p>
      <w:pPr>
        <w:spacing w:after="0" w:line="17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Liquidity and Capital Resources</w:t>
      </w:r>
    </w:p>
    <w:p>
      <w:pPr>
        <w:spacing w:after="0" w:line="283"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As of September 30, 2008, we had a cash balance of $2,807,520. On Sept 8, 2008, we received gross proceeds of $3,500,000 from VICIS Capital (net $2,985,000).</w:t>
      </w:r>
    </w:p>
    <w:p>
      <w:pPr>
        <w:spacing w:after="0" w:line="224" w:lineRule="exact"/>
        <w:rPr>
          <w:sz w:val="20"/>
          <w:szCs w:val="20"/>
          <w:color w:val="auto"/>
        </w:rPr>
      </w:pPr>
    </w:p>
    <w:p>
      <w:pPr>
        <w:jc w:val="both"/>
        <w:ind w:right="20"/>
        <w:spacing w:after="0" w:line="308" w:lineRule="auto"/>
        <w:rPr>
          <w:sz w:val="20"/>
          <w:szCs w:val="20"/>
          <w:color w:val="auto"/>
        </w:rPr>
      </w:pPr>
      <w:r>
        <w:rPr>
          <w:rFonts w:ascii="Arial" w:cs="Arial" w:eastAsia="Arial" w:hAnsi="Arial"/>
          <w:sz w:val="17"/>
          <w:szCs w:val="17"/>
          <w:color w:val="auto"/>
        </w:rPr>
        <w:t>In July 7, 2008, we entered into an investment placement agent agreement with Midtown Partners &amp; Co LLC to raise on a best efforts basis an amount of up to USD $3 million. Prior to this relationship our financing activities consisted of private investors and loans to cover our operating expenses.</w:t>
      </w:r>
    </w:p>
    <w:p>
      <w:pPr>
        <w:spacing w:after="0" w:line="201"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On Sept 8, 2008 we received gross proceeds of $3,500,000 (net $2,985,000) from VICIS Capital for preferred equity share sales which was used towards our working capital.</w:t>
      </w:r>
    </w:p>
    <w:p>
      <w:pPr>
        <w:spacing w:after="0" w:line="224"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We believe that our currently available working capital after receiving the net proceeds of the VICIS Capital agreement should be adequate to sustain our operations at our current levels through at least the next twelve to eighteen months. However, depending on our future needs and changes and trends in the capital markets affecting our shares and us, we may determine to seek additional equity or debt financing in the private or public markets. Additional financing, whether through public or private equity or debt financing, arrangements with stockholders or other sources to fund operations, may not be available, or if available, may be on terms unacceptable to us.</w:t>
      </w:r>
    </w:p>
    <w:p>
      <w:pPr>
        <w:spacing w:after="0" w:line="242"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The Company’s monthly use of funds is for general operations, product development, sales and marketing. Our operational overhead is generally minimized through our small staff and use of independent contractors.</w:t>
      </w:r>
    </w:p>
    <w:p>
      <w:pPr>
        <w:spacing w:after="0" w:line="239"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20" w:type="dxa"/>
            <w:vAlign w:val="bottom"/>
          </w:tcPr>
          <w:p>
            <w:pPr>
              <w:spacing w:after="0"/>
              <w:rPr>
                <w:sz w:val="18"/>
                <w:szCs w:val="18"/>
                <w:color w:val="auto"/>
              </w:rPr>
            </w:pPr>
          </w:p>
        </w:tc>
        <w:tc>
          <w:tcPr>
            <w:tcW w:w="4920" w:type="dxa"/>
            <w:vAlign w:val="bottom"/>
            <w:shd w:val="clear" w:color="auto" w:fill="EEEEEE"/>
          </w:tcPr>
          <w:p>
            <w:pPr>
              <w:spacing w:after="0"/>
              <w:rPr>
                <w:sz w:val="20"/>
                <w:szCs w:val="20"/>
                <w:color w:val="auto"/>
              </w:rPr>
            </w:pPr>
            <w:r>
              <w:rPr>
                <w:rFonts w:ascii="Arial" w:cs="Arial" w:eastAsia="Arial" w:hAnsi="Arial"/>
                <w:sz w:val="18"/>
                <w:szCs w:val="18"/>
                <w:color w:val="auto"/>
              </w:rPr>
              <w:t>Estimated Monthly Expenses:</w:t>
            </w:r>
          </w:p>
        </w:tc>
        <w:tc>
          <w:tcPr>
            <w:tcW w:w="6480" w:type="dxa"/>
            <w:vAlign w:val="bottom"/>
            <w:gridSpan w:val="2"/>
            <w:shd w:val="clear" w:color="auto" w:fill="EEEEEE"/>
          </w:tcPr>
          <w:p>
            <w:pPr>
              <w:jc w:val="center"/>
              <w:ind w:left="670"/>
              <w:spacing w:after="0"/>
              <w:rPr>
                <w:sz w:val="20"/>
                <w:szCs w:val="20"/>
                <w:color w:val="auto"/>
              </w:rPr>
            </w:pPr>
            <w:r>
              <w:rPr>
                <w:rFonts w:ascii="Arial" w:cs="Arial" w:eastAsia="Arial" w:hAnsi="Arial"/>
                <w:sz w:val="18"/>
                <w:szCs w:val="18"/>
                <w:color w:val="auto"/>
                <w:w w:val="89"/>
              </w:rPr>
              <w:t>Normal Expected Range</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4920" w:type="dxa"/>
            <w:vAlign w:val="bottom"/>
          </w:tcPr>
          <w:p>
            <w:pPr>
              <w:spacing w:after="0"/>
              <w:rPr>
                <w:sz w:val="18"/>
                <w:szCs w:val="18"/>
                <w:color w:val="auto"/>
              </w:rPr>
            </w:pPr>
          </w:p>
        </w:tc>
        <w:tc>
          <w:tcPr>
            <w:tcW w:w="3600" w:type="dxa"/>
            <w:vAlign w:val="bottom"/>
          </w:tcPr>
          <w:p>
            <w:pPr>
              <w:spacing w:after="0"/>
              <w:rPr>
                <w:sz w:val="18"/>
                <w:szCs w:val="18"/>
                <w:color w:val="auto"/>
              </w:rPr>
            </w:pPr>
          </w:p>
        </w:tc>
        <w:tc>
          <w:tcPr>
            <w:tcW w:w="28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920" w:type="dxa"/>
            <w:vAlign w:val="bottom"/>
            <w:shd w:val="clear" w:color="auto" w:fill="EEEEEE"/>
          </w:tcPr>
          <w:p>
            <w:pPr>
              <w:spacing w:after="0"/>
              <w:rPr>
                <w:sz w:val="20"/>
                <w:szCs w:val="20"/>
                <w:color w:val="auto"/>
              </w:rPr>
            </w:pPr>
            <w:r>
              <w:rPr>
                <w:rFonts w:ascii="Arial" w:cs="Arial" w:eastAsia="Arial" w:hAnsi="Arial"/>
                <w:sz w:val="18"/>
                <w:szCs w:val="18"/>
                <w:color w:val="auto"/>
              </w:rPr>
              <w:t>Staff salaries</w:t>
            </w:r>
          </w:p>
        </w:tc>
        <w:tc>
          <w:tcPr>
            <w:tcW w:w="3600" w:type="dxa"/>
            <w:vAlign w:val="bottom"/>
            <w:shd w:val="clear" w:color="auto" w:fill="EEEEEE"/>
          </w:tcPr>
          <w:p>
            <w:pPr>
              <w:jc w:val="right"/>
              <w:spacing w:after="0"/>
              <w:rPr>
                <w:sz w:val="20"/>
                <w:szCs w:val="20"/>
                <w:color w:val="auto"/>
              </w:rPr>
            </w:pPr>
            <w:r>
              <w:rPr>
                <w:rFonts w:ascii="Arial" w:cs="Arial" w:eastAsia="Arial" w:hAnsi="Arial"/>
                <w:sz w:val="18"/>
                <w:szCs w:val="18"/>
                <w:color w:val="auto"/>
              </w:rPr>
              <w:t>$25,000</w:t>
            </w:r>
          </w:p>
        </w:tc>
        <w:tc>
          <w:tcPr>
            <w:tcW w:w="2880" w:type="dxa"/>
            <w:vAlign w:val="bottom"/>
            <w:shd w:val="clear" w:color="auto" w:fill="EEEEEE"/>
          </w:tcPr>
          <w:p>
            <w:pPr>
              <w:ind w:left="40"/>
              <w:spacing w:after="0"/>
              <w:rPr>
                <w:sz w:val="20"/>
                <w:szCs w:val="20"/>
                <w:color w:val="auto"/>
              </w:rPr>
            </w:pPr>
            <w:r>
              <w:rPr>
                <w:rFonts w:ascii="Arial" w:cs="Arial" w:eastAsia="Arial" w:hAnsi="Arial"/>
                <w:sz w:val="18"/>
                <w:szCs w:val="18"/>
                <w:color w:val="auto"/>
              </w:rPr>
              <w:t>- 35,000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20" w:type="dxa"/>
            <w:vAlign w:val="bottom"/>
          </w:tcPr>
          <w:p>
            <w:pPr>
              <w:spacing w:after="0"/>
              <w:rPr>
                <w:sz w:val="20"/>
                <w:szCs w:val="20"/>
                <w:color w:val="auto"/>
              </w:rPr>
            </w:pPr>
            <w:r>
              <w:rPr>
                <w:rFonts w:ascii="Arial" w:cs="Arial" w:eastAsia="Arial" w:hAnsi="Arial"/>
                <w:sz w:val="18"/>
                <w:szCs w:val="18"/>
                <w:color w:val="auto"/>
              </w:rPr>
              <w:t>Independent Sales Representatives</w:t>
            </w:r>
          </w:p>
        </w:tc>
        <w:tc>
          <w:tcPr>
            <w:tcW w:w="3600" w:type="dxa"/>
            <w:vAlign w:val="bottom"/>
          </w:tcPr>
          <w:p>
            <w:pPr>
              <w:jc w:val="right"/>
              <w:spacing w:after="0"/>
              <w:rPr>
                <w:sz w:val="20"/>
                <w:szCs w:val="20"/>
                <w:color w:val="auto"/>
              </w:rPr>
            </w:pPr>
            <w:r>
              <w:rPr>
                <w:rFonts w:ascii="Arial" w:cs="Arial" w:eastAsia="Arial" w:hAnsi="Arial"/>
                <w:sz w:val="18"/>
                <w:szCs w:val="18"/>
                <w:color w:val="auto"/>
              </w:rPr>
              <w:t>$10,000</w:t>
            </w:r>
          </w:p>
        </w:tc>
        <w:tc>
          <w:tcPr>
            <w:tcW w:w="2880" w:type="dxa"/>
            <w:vAlign w:val="bottom"/>
          </w:tcPr>
          <w:p>
            <w:pPr>
              <w:ind w:left="40"/>
              <w:spacing w:after="0"/>
              <w:rPr>
                <w:sz w:val="20"/>
                <w:szCs w:val="20"/>
                <w:color w:val="auto"/>
              </w:rPr>
            </w:pPr>
            <w:r>
              <w:rPr>
                <w:rFonts w:ascii="Arial" w:cs="Arial" w:eastAsia="Arial" w:hAnsi="Arial"/>
                <w:sz w:val="18"/>
                <w:szCs w:val="18"/>
                <w:color w:val="auto"/>
              </w:rPr>
              <w:t>- 15,000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20" w:type="dxa"/>
            <w:vAlign w:val="bottom"/>
            <w:shd w:val="clear" w:color="auto" w:fill="EEEEEE"/>
          </w:tcPr>
          <w:p>
            <w:pPr>
              <w:spacing w:after="0"/>
              <w:rPr>
                <w:sz w:val="20"/>
                <w:szCs w:val="20"/>
                <w:color w:val="auto"/>
              </w:rPr>
            </w:pPr>
            <w:r>
              <w:rPr>
                <w:rFonts w:ascii="Arial" w:cs="Arial" w:eastAsia="Arial" w:hAnsi="Arial"/>
                <w:sz w:val="18"/>
                <w:szCs w:val="18"/>
                <w:color w:val="auto"/>
              </w:rPr>
              <w:t>IT and Web/Product Development</w:t>
            </w:r>
          </w:p>
        </w:tc>
        <w:tc>
          <w:tcPr>
            <w:tcW w:w="3600" w:type="dxa"/>
            <w:vAlign w:val="bottom"/>
            <w:shd w:val="clear" w:color="auto" w:fill="EEEEEE"/>
          </w:tcPr>
          <w:p>
            <w:pPr>
              <w:jc w:val="right"/>
              <w:spacing w:after="0"/>
              <w:rPr>
                <w:sz w:val="20"/>
                <w:szCs w:val="20"/>
                <w:color w:val="auto"/>
              </w:rPr>
            </w:pPr>
            <w:r>
              <w:rPr>
                <w:rFonts w:ascii="Arial" w:cs="Arial" w:eastAsia="Arial" w:hAnsi="Arial"/>
                <w:sz w:val="18"/>
                <w:szCs w:val="18"/>
                <w:color w:val="auto"/>
              </w:rPr>
              <w:t>$10,000</w:t>
            </w:r>
          </w:p>
        </w:tc>
        <w:tc>
          <w:tcPr>
            <w:tcW w:w="2880" w:type="dxa"/>
            <w:vAlign w:val="bottom"/>
            <w:shd w:val="clear" w:color="auto" w:fill="EEEEEE"/>
          </w:tcPr>
          <w:p>
            <w:pPr>
              <w:ind w:left="40"/>
              <w:spacing w:after="0"/>
              <w:rPr>
                <w:sz w:val="20"/>
                <w:szCs w:val="20"/>
                <w:color w:val="auto"/>
              </w:rPr>
            </w:pPr>
            <w:r>
              <w:rPr>
                <w:rFonts w:ascii="Arial" w:cs="Arial" w:eastAsia="Arial" w:hAnsi="Arial"/>
                <w:sz w:val="18"/>
                <w:szCs w:val="18"/>
                <w:color w:val="auto"/>
              </w:rPr>
              <w:t>- 15,000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20" w:type="dxa"/>
            <w:vAlign w:val="bottom"/>
          </w:tcPr>
          <w:p>
            <w:pPr>
              <w:spacing w:after="0"/>
              <w:rPr>
                <w:sz w:val="20"/>
                <w:szCs w:val="20"/>
                <w:color w:val="auto"/>
              </w:rPr>
            </w:pPr>
            <w:r>
              <w:rPr>
                <w:rFonts w:ascii="Arial" w:cs="Arial" w:eastAsia="Arial" w:hAnsi="Arial"/>
                <w:sz w:val="18"/>
                <w:szCs w:val="18"/>
                <w:color w:val="auto"/>
              </w:rPr>
              <w:t>Rent and other general expenses</w:t>
            </w:r>
          </w:p>
        </w:tc>
        <w:tc>
          <w:tcPr>
            <w:tcW w:w="6480" w:type="dxa"/>
            <w:vAlign w:val="bottom"/>
            <w:gridSpan w:val="2"/>
          </w:tcPr>
          <w:p>
            <w:pPr>
              <w:jc w:val="center"/>
              <w:ind w:left="650"/>
              <w:spacing w:after="0"/>
              <w:rPr>
                <w:sz w:val="20"/>
                <w:szCs w:val="20"/>
                <w:color w:val="auto"/>
              </w:rPr>
            </w:pPr>
            <w:r>
              <w:rPr>
                <w:rFonts w:ascii="Arial" w:cs="Arial" w:eastAsia="Arial" w:hAnsi="Arial"/>
                <w:sz w:val="18"/>
                <w:szCs w:val="18"/>
                <w:color w:val="auto"/>
                <w:w w:val="90"/>
              </w:rPr>
              <w:t>$5,000 - 10,000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20" w:type="dxa"/>
            <w:vAlign w:val="bottom"/>
            <w:shd w:val="clear" w:color="auto" w:fill="EEEEEE"/>
          </w:tcPr>
          <w:p>
            <w:pPr>
              <w:spacing w:after="0"/>
              <w:rPr>
                <w:sz w:val="20"/>
                <w:szCs w:val="20"/>
                <w:color w:val="auto"/>
              </w:rPr>
            </w:pPr>
            <w:r>
              <w:rPr>
                <w:rFonts w:ascii="Arial" w:cs="Arial" w:eastAsia="Arial" w:hAnsi="Arial"/>
                <w:sz w:val="18"/>
                <w:szCs w:val="18"/>
                <w:color w:val="auto"/>
              </w:rPr>
              <w:t>Travel and other related expenses</w:t>
            </w:r>
          </w:p>
        </w:tc>
        <w:tc>
          <w:tcPr>
            <w:tcW w:w="6480" w:type="dxa"/>
            <w:vAlign w:val="bottom"/>
            <w:gridSpan w:val="2"/>
            <w:shd w:val="clear" w:color="auto" w:fill="EEEEEE"/>
          </w:tcPr>
          <w:p>
            <w:pPr>
              <w:jc w:val="center"/>
              <w:ind w:left="650"/>
              <w:spacing w:after="0"/>
              <w:rPr>
                <w:sz w:val="20"/>
                <w:szCs w:val="20"/>
                <w:color w:val="auto"/>
              </w:rPr>
            </w:pPr>
            <w:r>
              <w:rPr>
                <w:rFonts w:ascii="Arial" w:cs="Arial" w:eastAsia="Arial" w:hAnsi="Arial"/>
                <w:sz w:val="18"/>
                <w:szCs w:val="18"/>
                <w:color w:val="auto"/>
                <w:w w:val="90"/>
              </w:rPr>
              <w:t>$5,000 - 10,000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20" w:type="dxa"/>
            <w:vAlign w:val="bottom"/>
          </w:tcPr>
          <w:p>
            <w:pPr>
              <w:spacing w:after="0"/>
              <w:rPr>
                <w:sz w:val="20"/>
                <w:szCs w:val="20"/>
                <w:color w:val="auto"/>
              </w:rPr>
            </w:pPr>
            <w:r>
              <w:rPr>
                <w:rFonts w:ascii="Arial" w:cs="Arial" w:eastAsia="Arial" w:hAnsi="Arial"/>
                <w:sz w:val="18"/>
                <w:szCs w:val="18"/>
                <w:color w:val="auto"/>
              </w:rPr>
              <w:t>Other expenses</w:t>
            </w:r>
          </w:p>
        </w:tc>
        <w:tc>
          <w:tcPr>
            <w:tcW w:w="3600" w:type="dxa"/>
            <w:vAlign w:val="bottom"/>
          </w:tcPr>
          <w:p>
            <w:pPr>
              <w:jc w:val="right"/>
              <w:spacing w:after="0"/>
              <w:rPr>
                <w:sz w:val="20"/>
                <w:szCs w:val="20"/>
                <w:color w:val="auto"/>
              </w:rPr>
            </w:pPr>
            <w:r>
              <w:rPr>
                <w:rFonts w:ascii="Arial" w:cs="Arial" w:eastAsia="Arial" w:hAnsi="Arial"/>
                <w:sz w:val="18"/>
                <w:szCs w:val="18"/>
                <w:color w:val="auto"/>
              </w:rPr>
              <w:t>$2,000</w:t>
            </w:r>
          </w:p>
        </w:tc>
        <w:tc>
          <w:tcPr>
            <w:tcW w:w="2880" w:type="dxa"/>
            <w:vAlign w:val="bottom"/>
          </w:tcPr>
          <w:p>
            <w:pPr>
              <w:ind w:left="40"/>
              <w:spacing w:after="0"/>
              <w:rPr>
                <w:sz w:val="20"/>
                <w:szCs w:val="20"/>
                <w:color w:val="auto"/>
              </w:rPr>
            </w:pPr>
            <w:r>
              <w:rPr>
                <w:rFonts w:ascii="Arial" w:cs="Arial" w:eastAsia="Arial" w:hAnsi="Arial"/>
                <w:sz w:val="18"/>
                <w:szCs w:val="18"/>
                <w:color w:val="auto"/>
              </w:rPr>
              <w:t>- 5,000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20" w:type="dxa"/>
            <w:vAlign w:val="bottom"/>
            <w:shd w:val="clear" w:color="auto" w:fill="EEEEEE"/>
          </w:tcPr>
          <w:p>
            <w:pPr>
              <w:spacing w:after="0"/>
              <w:rPr>
                <w:sz w:val="20"/>
                <w:szCs w:val="20"/>
                <w:color w:val="auto"/>
              </w:rPr>
            </w:pPr>
            <w:r>
              <w:rPr>
                <w:rFonts w:ascii="Arial" w:cs="Arial" w:eastAsia="Arial" w:hAnsi="Arial"/>
                <w:sz w:val="18"/>
                <w:szCs w:val="18"/>
                <w:color w:val="auto"/>
              </w:rPr>
              <w:t>Marketing &amp; Advertising</w:t>
            </w:r>
          </w:p>
        </w:tc>
        <w:tc>
          <w:tcPr>
            <w:tcW w:w="6480" w:type="dxa"/>
            <w:vAlign w:val="bottom"/>
            <w:gridSpan w:val="2"/>
            <w:shd w:val="clear" w:color="auto" w:fill="EEEEEE"/>
          </w:tcPr>
          <w:p>
            <w:pPr>
              <w:jc w:val="center"/>
              <w:ind w:left="650"/>
              <w:spacing w:after="0"/>
              <w:rPr>
                <w:sz w:val="20"/>
                <w:szCs w:val="20"/>
                <w:color w:val="auto"/>
              </w:rPr>
            </w:pPr>
            <w:r>
              <w:rPr>
                <w:rFonts w:ascii="Arial" w:cs="Arial" w:eastAsia="Arial" w:hAnsi="Arial"/>
                <w:sz w:val="18"/>
                <w:szCs w:val="18"/>
                <w:color w:val="auto"/>
                <w:w w:val="89"/>
              </w:rPr>
              <w:t>(Variable: See comments below)</w:t>
            </w:r>
          </w:p>
        </w:tc>
        <w:tc>
          <w:tcPr>
            <w:tcW w:w="0" w:type="dxa"/>
            <w:vAlign w:val="bottom"/>
          </w:tcPr>
          <w:p>
            <w:pPr>
              <w:spacing w:after="0"/>
              <w:rPr>
                <w:sz w:val="1"/>
                <w:szCs w:val="1"/>
                <w:color w:val="auto"/>
              </w:rPr>
            </w:pPr>
          </w:p>
        </w:tc>
      </w:tr>
    </w:tbl>
    <w:p>
      <w:pPr>
        <w:spacing w:after="0" w:line="256" w:lineRule="exact"/>
        <w:rPr>
          <w:sz w:val="20"/>
          <w:szCs w:val="20"/>
          <w:color w:val="auto"/>
        </w:rPr>
      </w:pPr>
    </w:p>
    <w:p>
      <w:pPr>
        <w:spacing w:after="0"/>
        <w:rPr>
          <w:sz w:val="20"/>
          <w:szCs w:val="20"/>
          <w:color w:val="auto"/>
        </w:rPr>
      </w:pPr>
      <w:r>
        <w:rPr>
          <w:rFonts w:ascii="Arial" w:cs="Arial" w:eastAsia="Arial" w:hAnsi="Arial"/>
          <w:sz w:val="18"/>
          <w:szCs w:val="18"/>
          <w:color w:val="auto"/>
        </w:rPr>
        <w:t>Normal Expected Monthly Burn Rate: Approximately $57,000- 90,000 plus marketing and advertising</w:t>
      </w:r>
    </w:p>
    <w:p>
      <w:pPr>
        <w:spacing w:after="0" w:line="279"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The biggest anticipated variance in expenses will relate to company’s marketing/advertising expenses to both the pharmaceutical industry and direct to consumers. Based on confirmation of successful online and traditional advertising programs, we will aggressively ramp up these programs to increase site traffic, membership database and revenue.</w:t>
      </w:r>
    </w:p>
    <w:p>
      <w:pPr>
        <w:spacing w:after="0" w:line="235"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This includes our anticipated plans to spend $250,000 in online advertising to generate approximately 500,000+ additional enrollments into our database through a contract with ValueClick Media during the first 4 months of 2009. Additionally, we will be testing a new 30 second national cable commercial to deliver approximately 70 million views/impressions at a cost of approximately $150,000 within the first quarter of 2009 (for a preview, please go to www.optimizerx.com/commercial/). Upon attaining specific advertisers, we may also have additional advertising expenses to generate maximum advertising revenue to the company. Management anticipates our current cash balance positions us well to manage the required expenses to support our growth plans over the next twelve months.</w:t>
      </w:r>
    </w:p>
    <w:p>
      <w:pPr>
        <w:spacing w:after="0" w:line="24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Years ended December 31, 2007 and 2006</w:t>
      </w:r>
    </w:p>
    <w:p>
      <w:pPr>
        <w:spacing w:after="0" w:line="283" w:lineRule="exact"/>
        <w:rPr>
          <w:sz w:val="20"/>
          <w:szCs w:val="20"/>
          <w:color w:val="auto"/>
        </w:rPr>
      </w:pPr>
    </w:p>
    <w:p>
      <w:pPr>
        <w:spacing w:after="0"/>
        <w:rPr>
          <w:sz w:val="20"/>
          <w:szCs w:val="20"/>
          <w:color w:val="auto"/>
        </w:rPr>
      </w:pPr>
      <w:r>
        <w:rPr>
          <w:rFonts w:ascii="Arial" w:cs="Arial" w:eastAsia="Arial" w:hAnsi="Arial"/>
          <w:sz w:val="18"/>
          <w:szCs w:val="18"/>
          <w:color w:val="auto"/>
        </w:rPr>
        <w:t>Our net losses for the fiscal years ending December 31, 2007 and 2006 were $361,466 and $184,310 respectively.</w:t>
      </w:r>
    </w:p>
    <w:p>
      <w:pPr>
        <w:spacing w:after="0" w:line="200" w:lineRule="exact"/>
        <w:rPr>
          <w:sz w:val="20"/>
          <w:szCs w:val="20"/>
          <w:color w:val="auto"/>
        </w:rPr>
      </w:pPr>
    </w:p>
    <w:p>
      <w:pPr>
        <w:spacing w:after="0" w:line="32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246620" cy="889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634" w:right="239" w:bottom="1440" w:gutter="0" w:footer="0" w:header="0"/>
        </w:sectPr>
      </w:pPr>
    </w:p>
    <w:bookmarkStart w:id="31" w:name="page32"/>
    <w:bookmarkEnd w:id="31"/>
    <w:p>
      <w:pPr>
        <w:spacing w:after="0"/>
        <w:rPr>
          <w:sz w:val="20"/>
          <w:szCs w:val="20"/>
          <w:color w:val="auto"/>
        </w:rPr>
      </w:pPr>
      <w:r>
        <w:rPr>
          <w:rFonts w:ascii="Arial" w:cs="Arial" w:eastAsia="Arial" w:hAnsi="Arial"/>
          <w:sz w:val="18"/>
          <w:szCs w:val="18"/>
          <w:b w:val="1"/>
          <w:bCs w:val="1"/>
          <w:color w:val="auto"/>
        </w:rPr>
        <w:t>Liquidity and Capital Resources</w:t>
      </w:r>
    </w:p>
    <w:p>
      <w:pPr>
        <w:spacing w:after="0" w:line="283"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At December 31, 2007, our financing since inception activities consisted of founder equity financing, loans and advances made to cover our operating expenses in 2007 and 2006 respectively.</w:t>
      </w:r>
    </w:p>
    <w:p>
      <w:pPr>
        <w:spacing w:after="0" w:line="224"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Beginning October 2007 and ending September 2008, we sold an aggregate of 875,000 shares of our common stock in a private placement to multiple accredited investors at a price of $1.00 per share for an aggregate purchase price of $875,000.</w:t>
      </w:r>
    </w:p>
    <w:p>
      <w:pPr>
        <w:spacing w:after="0" w:line="224"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On September 8, 2008, we sold 35 shares Series A Preferred Stock for $3,500,000 to an accredited investor in a private placement exempt from registration under Rule 506 of Regulation D of the Securities Act.</w:t>
      </w:r>
    </w:p>
    <w:p>
      <w:pPr>
        <w:spacing w:after="0" w:line="22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Off-Balance Sheet Arrangements</w:t>
      </w:r>
    </w:p>
    <w:p>
      <w:pPr>
        <w:spacing w:after="0" w:line="283" w:lineRule="exact"/>
        <w:rPr>
          <w:sz w:val="20"/>
          <w:szCs w:val="20"/>
          <w:color w:val="auto"/>
        </w:rPr>
      </w:pPr>
    </w:p>
    <w:p>
      <w:pPr>
        <w:spacing w:after="0"/>
        <w:rPr>
          <w:sz w:val="20"/>
          <w:szCs w:val="20"/>
          <w:color w:val="auto"/>
        </w:rPr>
      </w:pPr>
      <w:r>
        <w:rPr>
          <w:rFonts w:ascii="Arial" w:cs="Arial" w:eastAsia="Arial" w:hAnsi="Arial"/>
          <w:sz w:val="18"/>
          <w:szCs w:val="18"/>
          <w:color w:val="auto"/>
        </w:rPr>
        <w:t>None.</w:t>
      </w:r>
    </w:p>
    <w:p>
      <w:pPr>
        <w:spacing w:after="0" w:line="27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Stock Based Compensation</w:t>
      </w:r>
    </w:p>
    <w:p>
      <w:pPr>
        <w:spacing w:after="0" w:line="283" w:lineRule="exact"/>
        <w:rPr>
          <w:sz w:val="20"/>
          <w:szCs w:val="20"/>
          <w:color w:val="auto"/>
        </w:rPr>
      </w:pPr>
    </w:p>
    <w:p>
      <w:pPr>
        <w:jc w:val="both"/>
        <w:spacing w:after="0" w:line="286" w:lineRule="auto"/>
        <w:rPr>
          <w:sz w:val="20"/>
          <w:szCs w:val="20"/>
          <w:color w:val="auto"/>
        </w:rPr>
      </w:pPr>
      <w:r>
        <w:rPr>
          <w:rFonts w:ascii="Arial" w:cs="Arial" w:eastAsia="Arial" w:hAnsi="Arial"/>
          <w:sz w:val="17"/>
          <w:szCs w:val="17"/>
          <w:color w:val="auto"/>
        </w:rPr>
        <w:t>Effective January 1, 2006, the Company adopted SFAS No. 123 (revised), "Share-Based Payment" (SFAS 123(R)) utilizing the modified prospective approach. Prior to the adoption of SFAS 123(R) we accounted for stock option grant in accordance with APB Opinion No. 25, “Accounting for Stock Issued to Employees," and accordingly, recognized compensation expense for stock option grants using the intrinsic value method.</w:t>
      </w:r>
    </w:p>
    <w:p>
      <w:pPr>
        <w:spacing w:after="0" w:line="220"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Under the modified prospective approach, SFAS 123(R) applies to new awards and to awards that were outstanding on January 1, 2006 that are subsequently modified, repurchased or cancelled. Under the modified prospective approach, compensation cost recognized in the first quarter of fiscal 2006 includes compensation cost for all share-based payments granted prior to, but not yet vested as of January 1, 2006, based on the grant-date fair value estimated in accordance with the original provisions of SFAS 123, and compensation cost for all share-based payments granted subsequent to January 1, 2006 based on the grant-date fair value estimated in accordance with the provisions of SFAS 123(R). For all quarters after the first quarter of fiscal 2006, compensation costs recognized will include compensation costs for all share-based payments granted based on the grant date fair value estimated in accordance with the provisions of SFAS 123(R).</w:t>
      </w:r>
    </w:p>
    <w:p>
      <w:pPr>
        <w:spacing w:after="0" w:line="243" w:lineRule="exact"/>
        <w:rPr>
          <w:sz w:val="20"/>
          <w:szCs w:val="20"/>
          <w:color w:val="auto"/>
        </w:rPr>
      </w:pPr>
    </w:p>
    <w:p>
      <w:pPr>
        <w:jc w:val="both"/>
        <w:spacing w:after="0" w:line="308" w:lineRule="auto"/>
        <w:rPr>
          <w:sz w:val="20"/>
          <w:szCs w:val="20"/>
          <w:color w:val="auto"/>
        </w:rPr>
      </w:pPr>
      <w:r>
        <w:rPr>
          <w:rFonts w:ascii="Arial" w:cs="Arial" w:eastAsia="Arial" w:hAnsi="Arial"/>
          <w:sz w:val="17"/>
          <w:szCs w:val="17"/>
          <w:color w:val="auto"/>
        </w:rPr>
        <w:t>The fair value of each option granted in 2008 is estimated on the date of grant using the Black-Scholes option-pricing model with the following weighted average assumptions: dividend yield of 0%, expected volatility of 150%, risk-free interest rate of 2.59% and expected life of 60 months.</w:t>
      </w:r>
    </w:p>
    <w:p>
      <w:pPr>
        <w:spacing w:after="0" w:line="200" w:lineRule="exact"/>
        <w:rPr>
          <w:sz w:val="20"/>
          <w:szCs w:val="20"/>
          <w:color w:val="auto"/>
        </w:rPr>
      </w:pPr>
    </w:p>
    <w:p>
      <w:pPr>
        <w:spacing w:after="0" w:line="24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246620" cy="889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634" w:right="239" w:bottom="1440" w:gutter="0" w:footer="0" w:header="0"/>
        </w:sectPr>
      </w:pPr>
    </w:p>
    <w:bookmarkStart w:id="32" w:name="page33"/>
    <w:bookmarkEnd w:id="32"/>
    <w:p>
      <w:pPr>
        <w:jc w:val="center"/>
        <w:spacing w:after="0"/>
        <w:rPr>
          <w:sz w:val="20"/>
          <w:szCs w:val="20"/>
          <w:color w:val="auto"/>
        </w:rPr>
      </w:pPr>
      <w:r>
        <w:rPr>
          <w:rFonts w:ascii="Arial" w:cs="Arial" w:eastAsia="Arial" w:hAnsi="Arial"/>
          <w:sz w:val="18"/>
          <w:szCs w:val="18"/>
          <w:b w:val="1"/>
          <w:bCs w:val="1"/>
          <w:color w:val="auto"/>
        </w:rPr>
        <w:t>MANAGEMENT AND CERTAIN SECURITY HOLDERS</w:t>
      </w:r>
    </w:p>
    <w:p>
      <w:pPr>
        <w:spacing w:after="0" w:line="27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Directors and Executive Officers</w:t>
      </w:r>
    </w:p>
    <w:p>
      <w:pPr>
        <w:spacing w:after="0" w:line="283" w:lineRule="exact"/>
        <w:rPr>
          <w:sz w:val="20"/>
          <w:szCs w:val="20"/>
          <w:color w:val="auto"/>
        </w:rPr>
      </w:pPr>
    </w:p>
    <w:p>
      <w:pPr>
        <w:jc w:val="both"/>
        <w:ind w:firstLine="648"/>
        <w:spacing w:after="0" w:line="273" w:lineRule="auto"/>
        <w:rPr>
          <w:sz w:val="20"/>
          <w:szCs w:val="20"/>
          <w:color w:val="auto"/>
        </w:rPr>
      </w:pPr>
      <w:r>
        <w:rPr>
          <w:rFonts w:ascii="Arial" w:cs="Arial" w:eastAsia="Arial" w:hAnsi="Arial"/>
          <w:sz w:val="17"/>
          <w:szCs w:val="17"/>
          <w:color w:val="auto"/>
        </w:rPr>
        <w:t>The following table and text sets forth the names and ages of all our directors and executive officers and our key management personnel as of January 30, 2009. All of our directors serve until the next annual meeting of stockholders and until their successors are elected and qualified, or until their earlier death, retirement, resignation or removal. Executive officers serve at the discretion of the Board of Directors, and are elected or appointed to serve until the next Board of Directors meeting following the annual meeting of stockholders. Also provided is a brief description of the business experience of each director and executive officer and the key management personnel during the past five years and an indication of directorships held by each director in other companies subject to the reporting requirements under the Federal securities laws.</w:t>
      </w:r>
    </w:p>
    <w:p>
      <w:pPr>
        <w:spacing w:after="0" w:line="228"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3060" w:type="dxa"/>
            <w:vAlign w:val="bottom"/>
          </w:tcPr>
          <w:p>
            <w:pPr>
              <w:spacing w:after="0"/>
              <w:rPr>
                <w:sz w:val="20"/>
                <w:szCs w:val="20"/>
                <w:color w:val="auto"/>
              </w:rPr>
            </w:pPr>
            <w:r>
              <w:rPr>
                <w:rFonts w:ascii="Arial" w:cs="Arial" w:eastAsia="Arial" w:hAnsi="Arial"/>
                <w:sz w:val="18"/>
                <w:szCs w:val="18"/>
                <w:b w:val="1"/>
                <w:bCs w:val="1"/>
                <w:color w:val="auto"/>
              </w:rPr>
              <w:t>Name of Individual</w:t>
            </w:r>
          </w:p>
        </w:tc>
        <w:tc>
          <w:tcPr>
            <w:tcW w:w="1940" w:type="dxa"/>
            <w:vAlign w:val="bottom"/>
          </w:tcPr>
          <w:p>
            <w:pPr>
              <w:jc w:val="center"/>
              <w:ind w:left="1030"/>
              <w:spacing w:after="0"/>
              <w:rPr>
                <w:sz w:val="20"/>
                <w:szCs w:val="20"/>
                <w:color w:val="auto"/>
              </w:rPr>
            </w:pPr>
            <w:r>
              <w:rPr>
                <w:rFonts w:ascii="Arial" w:cs="Arial" w:eastAsia="Arial" w:hAnsi="Arial"/>
                <w:sz w:val="18"/>
                <w:szCs w:val="18"/>
                <w:b w:val="1"/>
                <w:bCs w:val="1"/>
                <w:color w:val="auto"/>
                <w:w w:val="88"/>
              </w:rPr>
              <w:t>Age</w:t>
            </w:r>
          </w:p>
        </w:tc>
        <w:tc>
          <w:tcPr>
            <w:tcW w:w="6420" w:type="dxa"/>
            <w:vAlign w:val="bottom"/>
          </w:tcPr>
          <w:p>
            <w:pPr>
              <w:ind w:left="280"/>
              <w:spacing w:after="0"/>
              <w:rPr>
                <w:sz w:val="20"/>
                <w:szCs w:val="20"/>
                <w:color w:val="auto"/>
              </w:rPr>
            </w:pPr>
            <w:r>
              <w:rPr>
                <w:rFonts w:ascii="Arial" w:cs="Arial" w:eastAsia="Arial" w:hAnsi="Arial"/>
                <w:sz w:val="18"/>
                <w:szCs w:val="18"/>
                <w:b w:val="1"/>
                <w:bCs w:val="1"/>
                <w:color w:val="auto"/>
              </w:rPr>
              <w:t>Position with company and subsidiaries</w:t>
            </w:r>
          </w:p>
        </w:tc>
      </w:tr>
      <w:tr>
        <w:trPr>
          <w:trHeight w:val="216"/>
        </w:trPr>
        <w:tc>
          <w:tcPr>
            <w:tcW w:w="3060" w:type="dxa"/>
            <w:vAlign w:val="bottom"/>
            <w:shd w:val="clear" w:color="auto" w:fill="EEEEEE"/>
          </w:tcPr>
          <w:p>
            <w:pPr>
              <w:spacing w:after="0"/>
              <w:rPr>
                <w:sz w:val="20"/>
                <w:szCs w:val="20"/>
                <w:color w:val="auto"/>
              </w:rPr>
            </w:pPr>
            <w:r>
              <w:rPr>
                <w:rFonts w:ascii="Arial" w:cs="Arial" w:eastAsia="Arial" w:hAnsi="Arial"/>
                <w:sz w:val="18"/>
                <w:szCs w:val="18"/>
                <w:color w:val="auto"/>
              </w:rPr>
              <w:t>David A. Harrell</w:t>
            </w:r>
          </w:p>
        </w:tc>
        <w:tc>
          <w:tcPr>
            <w:tcW w:w="1940" w:type="dxa"/>
            <w:vAlign w:val="bottom"/>
            <w:shd w:val="clear" w:color="auto" w:fill="EEEEEE"/>
          </w:tcPr>
          <w:p>
            <w:pPr>
              <w:jc w:val="center"/>
              <w:ind w:left="1030"/>
              <w:spacing w:after="0"/>
              <w:rPr>
                <w:sz w:val="20"/>
                <w:szCs w:val="20"/>
                <w:color w:val="auto"/>
              </w:rPr>
            </w:pPr>
            <w:r>
              <w:rPr>
                <w:rFonts w:ascii="Arial" w:cs="Arial" w:eastAsia="Arial" w:hAnsi="Arial"/>
                <w:sz w:val="18"/>
                <w:szCs w:val="18"/>
                <w:color w:val="auto"/>
                <w:w w:val="89"/>
              </w:rPr>
              <w:t>42</w:t>
            </w:r>
          </w:p>
        </w:tc>
        <w:tc>
          <w:tcPr>
            <w:tcW w:w="6420" w:type="dxa"/>
            <w:vAlign w:val="bottom"/>
            <w:shd w:val="clear" w:color="auto" w:fill="EEEEEE"/>
          </w:tcPr>
          <w:p>
            <w:pPr>
              <w:ind w:left="280"/>
              <w:spacing w:after="0"/>
              <w:rPr>
                <w:sz w:val="20"/>
                <w:szCs w:val="20"/>
                <w:color w:val="auto"/>
              </w:rPr>
            </w:pPr>
            <w:r>
              <w:rPr>
                <w:rFonts w:ascii="Arial" w:cs="Arial" w:eastAsia="Arial" w:hAnsi="Arial"/>
                <w:sz w:val="18"/>
                <w:szCs w:val="18"/>
                <w:color w:val="auto"/>
              </w:rPr>
              <w:t>Chief Executive Officer, President and Director</w:t>
            </w:r>
          </w:p>
        </w:tc>
      </w:tr>
      <w:tr>
        <w:trPr>
          <w:trHeight w:val="216"/>
        </w:trPr>
        <w:tc>
          <w:tcPr>
            <w:tcW w:w="3060" w:type="dxa"/>
            <w:vAlign w:val="bottom"/>
          </w:tcPr>
          <w:p>
            <w:pPr>
              <w:spacing w:after="0"/>
              <w:rPr>
                <w:sz w:val="20"/>
                <w:szCs w:val="20"/>
                <w:color w:val="auto"/>
              </w:rPr>
            </w:pPr>
            <w:r>
              <w:rPr>
                <w:rFonts w:ascii="Arial" w:cs="Arial" w:eastAsia="Arial" w:hAnsi="Arial"/>
                <w:sz w:val="18"/>
                <w:szCs w:val="18"/>
                <w:color w:val="auto"/>
              </w:rPr>
              <w:t>Thomas E. Majerowicz</w:t>
            </w:r>
          </w:p>
        </w:tc>
        <w:tc>
          <w:tcPr>
            <w:tcW w:w="1940" w:type="dxa"/>
            <w:vAlign w:val="bottom"/>
          </w:tcPr>
          <w:p>
            <w:pPr>
              <w:jc w:val="center"/>
              <w:ind w:left="1030"/>
              <w:spacing w:after="0"/>
              <w:rPr>
                <w:sz w:val="20"/>
                <w:szCs w:val="20"/>
                <w:color w:val="auto"/>
              </w:rPr>
            </w:pPr>
            <w:r>
              <w:rPr>
                <w:rFonts w:ascii="Arial" w:cs="Arial" w:eastAsia="Arial" w:hAnsi="Arial"/>
                <w:sz w:val="18"/>
                <w:szCs w:val="18"/>
                <w:color w:val="auto"/>
                <w:w w:val="89"/>
              </w:rPr>
              <w:t>57</w:t>
            </w:r>
          </w:p>
        </w:tc>
        <w:tc>
          <w:tcPr>
            <w:tcW w:w="6420" w:type="dxa"/>
            <w:vAlign w:val="bottom"/>
          </w:tcPr>
          <w:p>
            <w:pPr>
              <w:ind w:left="280"/>
              <w:spacing w:after="0"/>
              <w:rPr>
                <w:sz w:val="20"/>
                <w:szCs w:val="20"/>
                <w:color w:val="auto"/>
              </w:rPr>
            </w:pPr>
            <w:r>
              <w:rPr>
                <w:rFonts w:ascii="Arial" w:cs="Arial" w:eastAsia="Arial" w:hAnsi="Arial"/>
                <w:sz w:val="18"/>
                <w:szCs w:val="18"/>
                <w:color w:val="auto"/>
              </w:rPr>
              <w:t>Secretary and Director</w:t>
            </w:r>
          </w:p>
        </w:tc>
      </w:tr>
      <w:tr>
        <w:trPr>
          <w:trHeight w:val="216"/>
        </w:trPr>
        <w:tc>
          <w:tcPr>
            <w:tcW w:w="3060" w:type="dxa"/>
            <w:vAlign w:val="bottom"/>
            <w:shd w:val="clear" w:color="auto" w:fill="EEEEEE"/>
          </w:tcPr>
          <w:p>
            <w:pPr>
              <w:spacing w:after="0"/>
              <w:rPr>
                <w:sz w:val="20"/>
                <w:szCs w:val="20"/>
                <w:color w:val="auto"/>
              </w:rPr>
            </w:pPr>
            <w:r>
              <w:rPr>
                <w:rFonts w:ascii="Arial" w:cs="Arial" w:eastAsia="Arial" w:hAnsi="Arial"/>
                <w:sz w:val="18"/>
                <w:szCs w:val="18"/>
                <w:color w:val="auto"/>
              </w:rPr>
              <w:t>Terence J. Hamilton</w:t>
            </w:r>
          </w:p>
        </w:tc>
        <w:tc>
          <w:tcPr>
            <w:tcW w:w="1940" w:type="dxa"/>
            <w:vAlign w:val="bottom"/>
            <w:shd w:val="clear" w:color="auto" w:fill="EEEEEE"/>
          </w:tcPr>
          <w:p>
            <w:pPr>
              <w:jc w:val="center"/>
              <w:ind w:left="1030"/>
              <w:spacing w:after="0"/>
              <w:rPr>
                <w:sz w:val="20"/>
                <w:szCs w:val="20"/>
                <w:color w:val="auto"/>
              </w:rPr>
            </w:pPr>
            <w:r>
              <w:rPr>
                <w:rFonts w:ascii="Arial" w:cs="Arial" w:eastAsia="Arial" w:hAnsi="Arial"/>
                <w:sz w:val="18"/>
                <w:szCs w:val="18"/>
                <w:color w:val="auto"/>
                <w:w w:val="89"/>
              </w:rPr>
              <w:t>43</w:t>
            </w:r>
          </w:p>
        </w:tc>
        <w:tc>
          <w:tcPr>
            <w:tcW w:w="6420" w:type="dxa"/>
            <w:vAlign w:val="bottom"/>
            <w:shd w:val="clear" w:color="auto" w:fill="EEEEEE"/>
          </w:tcPr>
          <w:p>
            <w:pPr>
              <w:ind w:left="280"/>
              <w:spacing w:after="0"/>
              <w:rPr>
                <w:sz w:val="20"/>
                <w:szCs w:val="20"/>
                <w:color w:val="auto"/>
              </w:rPr>
            </w:pPr>
            <w:r>
              <w:rPr>
                <w:rFonts w:ascii="Arial" w:cs="Arial" w:eastAsia="Arial" w:hAnsi="Arial"/>
                <w:sz w:val="18"/>
                <w:szCs w:val="18"/>
                <w:color w:val="auto"/>
              </w:rPr>
              <w:t>Director</w:t>
            </w:r>
          </w:p>
        </w:tc>
      </w:tr>
    </w:tbl>
    <w:p>
      <w:pPr>
        <w:spacing w:after="0" w:line="25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David A. Harrell</w:t>
      </w:r>
    </w:p>
    <w:p>
      <w:pPr>
        <w:spacing w:after="0" w:line="283" w:lineRule="exact"/>
        <w:rPr>
          <w:sz w:val="20"/>
          <w:szCs w:val="20"/>
          <w:color w:val="auto"/>
        </w:rPr>
      </w:pPr>
    </w:p>
    <w:p>
      <w:pPr>
        <w:jc w:val="both"/>
        <w:ind w:firstLine="648"/>
        <w:spacing w:after="0" w:line="270" w:lineRule="auto"/>
        <w:rPr>
          <w:sz w:val="20"/>
          <w:szCs w:val="20"/>
          <w:color w:val="auto"/>
        </w:rPr>
      </w:pPr>
      <w:r>
        <w:rPr>
          <w:rFonts w:ascii="Arial" w:cs="Arial" w:eastAsia="Arial" w:hAnsi="Arial"/>
          <w:sz w:val="17"/>
          <w:szCs w:val="17"/>
          <w:color w:val="auto"/>
        </w:rPr>
        <w:t>Mr. Harrell founded the Company in January 2006 and served as its President and Chief Executive Officer. Mr. Harrell became a director when the Company changed from a limited liability to a corporation in 2007. Mr. Harrell was the Vice President of Development for Meridian Incorporated from 2003-2005 and, prior to that, was Vice President of Sales and Marketing since 1999 at Advance Graphic Systems. Mr. Harrell spent two decades leading sales, marketing and business development units within the pharmaceutical and national retail industries. Prior to founding the Company, Mr. Harrell served as Vice President of Business Development for Meridian. Prior to that, Mr. Harrell was Vice President of Sales and Marketing for Advance Graphic Systems. Serving ten years at SmithKline Beecham, Mr. Harrell specialized in the managed markets healthcare segment. As part of the Integrated Health Division, Mr. Harrell was responsible for contracting and achieving regional revenue growth for SmithKline Beecham's four business units: Pharmaceuticals, Consumer Health, Clinical Labs and Diversified Pharmaceutical Services (PBM). During his tenure with SmithKline Beecham, he was a recipient of numerous national awards and served as a member of the Division's Strategic Planning Committee. Mr. Harrell graduated from Oakland University with a Bachelor of Science in Business Administration.</w:t>
      </w:r>
    </w:p>
    <w:p>
      <w:pPr>
        <w:spacing w:after="0" w:line="22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Thomas E. Majerowicz</w:t>
      </w:r>
    </w:p>
    <w:p>
      <w:pPr>
        <w:spacing w:after="0" w:line="283"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Mr. Majerowicz joined the Company as our Director in 2007. Mr. Majerowicz has been a partner at the law firm of Puzzuoli, Hribar, Iafrate, Majerowicz &amp; Kohler since 1979.</w:t>
      </w:r>
    </w:p>
    <w:p>
      <w:pPr>
        <w:spacing w:after="0" w:line="22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Terence J. Hamilton</w:t>
      </w:r>
    </w:p>
    <w:p>
      <w:pPr>
        <w:spacing w:after="0" w:line="283"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18"/>
          <w:szCs w:val="18"/>
          <w:color w:val="auto"/>
        </w:rPr>
        <w:t>Mr. Hamilton joined the Company as a Director and VP of Sales in February 2008. Prior to that, Mr. Hamilton was Manager at MedImmune since 2005 and was Senior National Account Manager for Glaxo SmithKline pharmaceuticals for 13 years prior to that. Mr. Hamilton has spent the last 19 years working in the pharmaceutical and biotech arenas within various sales, marketing and managed markets management positions. He also has held many positions within the pharmaceutical and biotech industries, including District Manager, Brand Manager, Managed Market Specialist, Contract Manager, Government Account Manager.</w:t>
      </w:r>
    </w:p>
    <w:p>
      <w:pPr>
        <w:spacing w:after="0" w:line="23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Term of Office</w:t>
      </w:r>
    </w:p>
    <w:p>
      <w:pPr>
        <w:spacing w:after="0" w:line="283"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Our directors are appointed for a one-year term to hold office until the next annual meeting of our shareholders or until removed from office in accordance with our bylaws.</w:t>
      </w:r>
    </w:p>
    <w:p>
      <w:pPr>
        <w:spacing w:after="0" w:line="224" w:lineRule="exact"/>
        <w:rPr>
          <w:sz w:val="20"/>
          <w:szCs w:val="20"/>
          <w:color w:val="auto"/>
        </w:rPr>
      </w:pPr>
    </w:p>
    <w:p>
      <w:pPr>
        <w:spacing w:after="0"/>
        <w:rPr>
          <w:sz w:val="20"/>
          <w:szCs w:val="20"/>
          <w:color w:val="auto"/>
        </w:rPr>
      </w:pPr>
      <w:r>
        <w:rPr>
          <w:rFonts w:ascii="Arial" w:cs="Arial" w:eastAsia="Arial" w:hAnsi="Arial"/>
          <w:sz w:val="18"/>
          <w:szCs w:val="18"/>
          <w:color w:val="auto"/>
        </w:rPr>
        <w:t>Our executive officers are appointed by our board of directors and hold office until removed by the board.</w:t>
      </w:r>
    </w:p>
    <w:p>
      <w:pPr>
        <w:spacing w:after="0" w:line="27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Significant Employees</w:t>
      </w:r>
    </w:p>
    <w:p>
      <w:pPr>
        <w:spacing w:after="0" w:line="283" w:lineRule="exact"/>
        <w:rPr>
          <w:sz w:val="20"/>
          <w:szCs w:val="20"/>
          <w:color w:val="auto"/>
        </w:rPr>
      </w:pPr>
    </w:p>
    <w:p>
      <w:pPr>
        <w:spacing w:after="0"/>
        <w:rPr>
          <w:sz w:val="20"/>
          <w:szCs w:val="20"/>
          <w:color w:val="auto"/>
        </w:rPr>
      </w:pPr>
      <w:r>
        <w:rPr>
          <w:rFonts w:ascii="Arial" w:cs="Arial" w:eastAsia="Arial" w:hAnsi="Arial"/>
          <w:sz w:val="18"/>
          <w:szCs w:val="18"/>
          <w:color w:val="auto"/>
        </w:rPr>
        <w:t>We have no significant employees other than our officers and directors.</w:t>
      </w:r>
    </w:p>
    <w:p>
      <w:pPr>
        <w:spacing w:after="0" w:line="200" w:lineRule="exact"/>
        <w:rPr>
          <w:sz w:val="20"/>
          <w:szCs w:val="20"/>
          <w:color w:val="auto"/>
        </w:rPr>
      </w:pPr>
    </w:p>
    <w:p>
      <w:pPr>
        <w:spacing w:after="0" w:line="32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246620" cy="889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634" w:right="239" w:bottom="1440" w:gutter="0" w:footer="0" w:header="0"/>
        </w:sectPr>
      </w:pPr>
    </w:p>
    <w:bookmarkStart w:id="33" w:name="page34"/>
    <w:bookmarkEnd w:id="33"/>
    <w:p>
      <w:pPr>
        <w:spacing w:after="0"/>
        <w:rPr>
          <w:sz w:val="20"/>
          <w:szCs w:val="20"/>
          <w:color w:val="auto"/>
        </w:rPr>
      </w:pPr>
      <w:r>
        <w:rPr>
          <w:rFonts w:ascii="Arial" w:cs="Arial" w:eastAsia="Arial" w:hAnsi="Arial"/>
          <w:sz w:val="18"/>
          <w:szCs w:val="18"/>
          <w:b w:val="1"/>
          <w:bCs w:val="1"/>
          <w:color w:val="auto"/>
        </w:rPr>
        <w:t>Family Relationships</w:t>
      </w:r>
    </w:p>
    <w:p>
      <w:pPr>
        <w:spacing w:after="0" w:line="283"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There are no family relationships between or among the directors, executive officers or persons nominated or chosen by us to become directors or executive officers.</w:t>
      </w:r>
    </w:p>
    <w:p>
      <w:pPr>
        <w:spacing w:after="0" w:line="22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Involvement in Certain Legal Proceedings</w:t>
      </w:r>
    </w:p>
    <w:p>
      <w:pPr>
        <w:spacing w:after="0" w:line="283"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To the best of our knowledge, during the past five years, none of the following occurred with respect to a present director, person nominated to become director, executive officer, or control person: (1) any bankruptcy petition filed by or against any business of which such person was a general partner or executive officer either at the time of the bankruptcy or within two years prior to that time; (2) any conviction in a criminal proceeding or being subject to a pending criminal proceeding (excluding traffic violations and other minor offenses); (3) being subject to any order, judgment or decree, not subsequently reversed, suspended or vacated, of any court of competent jurisdiction, permanently or temporarily enjoining, barring, suspending or otherwise limiting his or her involvement in any type of business, securities or banking activities; and (4) being found by a court of competent jurisdiction (in a civil action), the SEC or the Commodities Futures Trading Commission to have violated a federal or state securities or commodities law, and the judgment has not been reversed, suspended or vacated.</w:t>
      </w:r>
    </w:p>
    <w:p>
      <w:pPr>
        <w:spacing w:after="0" w:line="200" w:lineRule="exact"/>
        <w:rPr>
          <w:sz w:val="20"/>
          <w:szCs w:val="20"/>
          <w:color w:val="auto"/>
        </w:rPr>
      </w:pPr>
    </w:p>
    <w:p>
      <w:pPr>
        <w:spacing w:after="0" w:line="28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246620" cy="889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607" w:right="239" w:bottom="1440" w:gutter="0" w:footer="0" w:header="0"/>
        </w:sectPr>
      </w:pPr>
    </w:p>
    <w:bookmarkStart w:id="34" w:name="page35"/>
    <w:bookmarkEnd w:id="34"/>
    <w:p>
      <w:pPr>
        <w:jc w:val="center"/>
        <w:spacing w:after="0"/>
        <w:rPr>
          <w:sz w:val="20"/>
          <w:szCs w:val="20"/>
          <w:color w:val="auto"/>
        </w:rPr>
      </w:pPr>
      <w:r>
        <w:rPr>
          <w:rFonts w:ascii="Arial" w:cs="Arial" w:eastAsia="Arial" w:hAnsi="Arial"/>
          <w:sz w:val="18"/>
          <w:szCs w:val="18"/>
          <w:b w:val="1"/>
          <w:bCs w:val="1"/>
          <w:color w:val="auto"/>
        </w:rPr>
        <w:t>EXECUTIVE COMPENSATION</w:t>
      </w:r>
    </w:p>
    <w:p>
      <w:pPr>
        <w:spacing w:after="0" w:line="27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SUMMARY COMPENSATION TABLE</w:t>
      </w:r>
    </w:p>
    <w:p>
      <w:pPr>
        <w:spacing w:after="0" w:line="283"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18"/>
          <w:szCs w:val="18"/>
          <w:color w:val="auto"/>
        </w:rPr>
        <w:t>The following table sets forth the aggregate cash compensation paid during the fiscal years ended December 31, 2008, 2007 and 2006 to our Chief Executive Officer and our three most highly compensated executive officers other than our Chief Executive Officer. Other than as listed below, the Company had no executive officers whose total annual salary and bonus exceeded $100,000 for that fiscal year</w:t>
      </w:r>
    </w:p>
    <w:p>
      <w:pPr>
        <w:spacing w:after="0" w:line="231"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20" w:type="dxa"/>
            <w:vAlign w:val="bottom"/>
          </w:tcPr>
          <w:p>
            <w:pPr>
              <w:spacing w:after="0"/>
              <w:rPr>
                <w:sz w:val="18"/>
                <w:szCs w:val="18"/>
                <w:color w:val="auto"/>
              </w:rPr>
            </w:pPr>
          </w:p>
        </w:tc>
        <w:tc>
          <w:tcPr>
            <w:tcW w:w="33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60" w:type="dxa"/>
            <w:vAlign w:val="bottom"/>
          </w:tcPr>
          <w:p>
            <w:pPr>
              <w:jc w:val="right"/>
              <w:ind w:right="70"/>
              <w:spacing w:after="0"/>
              <w:rPr>
                <w:sz w:val="20"/>
                <w:szCs w:val="20"/>
                <w:color w:val="auto"/>
              </w:rPr>
            </w:pPr>
            <w:r>
              <w:rPr>
                <w:rFonts w:ascii="Arial" w:cs="Arial" w:eastAsia="Arial" w:hAnsi="Arial"/>
                <w:sz w:val="18"/>
                <w:szCs w:val="18"/>
                <w:b w:val="1"/>
                <w:bCs w:val="1"/>
                <w:color w:val="auto"/>
              </w:rPr>
              <w:t>Stock</w:t>
            </w:r>
          </w:p>
        </w:tc>
        <w:tc>
          <w:tcPr>
            <w:tcW w:w="2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60" w:type="dxa"/>
            <w:vAlign w:val="bottom"/>
          </w:tcPr>
          <w:p>
            <w:pPr>
              <w:jc w:val="right"/>
              <w:ind w:right="270"/>
              <w:spacing w:after="0"/>
              <w:rPr>
                <w:sz w:val="20"/>
                <w:szCs w:val="20"/>
                <w:color w:val="auto"/>
              </w:rPr>
            </w:pPr>
            <w:r>
              <w:rPr>
                <w:rFonts w:ascii="Arial" w:cs="Arial" w:eastAsia="Arial" w:hAnsi="Arial"/>
                <w:sz w:val="18"/>
                <w:szCs w:val="18"/>
                <w:b w:val="1"/>
                <w:bCs w:val="1"/>
                <w:color w:val="auto"/>
              </w:rPr>
              <w:t>Option</w:t>
            </w:r>
          </w:p>
        </w:tc>
        <w:tc>
          <w:tcPr>
            <w:tcW w:w="2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3400" w:type="dxa"/>
            <w:vAlign w:val="bottom"/>
            <w:gridSpan w:val="2"/>
          </w:tcPr>
          <w:p>
            <w:pPr>
              <w:spacing w:after="0"/>
              <w:rPr>
                <w:sz w:val="20"/>
                <w:szCs w:val="20"/>
                <w:color w:val="auto"/>
              </w:rPr>
            </w:pPr>
            <w:r>
              <w:rPr>
                <w:rFonts w:ascii="Arial" w:cs="Arial" w:eastAsia="Arial" w:hAnsi="Arial"/>
                <w:sz w:val="18"/>
                <w:szCs w:val="18"/>
                <w:b w:val="1"/>
                <w:bCs w:val="1"/>
                <w:color w:val="auto"/>
              </w:rPr>
              <w:t>Name and Principal Position</w:t>
            </w:r>
          </w:p>
        </w:tc>
        <w:tc>
          <w:tcPr>
            <w:tcW w:w="100" w:type="dxa"/>
            <w:vAlign w:val="bottom"/>
          </w:tcPr>
          <w:p>
            <w:pPr>
              <w:spacing w:after="0"/>
              <w:rPr>
                <w:sz w:val="20"/>
                <w:szCs w:val="20"/>
                <w:color w:val="auto"/>
              </w:rPr>
            </w:pPr>
          </w:p>
        </w:tc>
        <w:tc>
          <w:tcPr>
            <w:tcW w:w="960" w:type="dxa"/>
            <w:vAlign w:val="bottom"/>
          </w:tcPr>
          <w:p>
            <w:pPr>
              <w:ind w:left="300"/>
              <w:spacing w:after="0"/>
              <w:rPr>
                <w:sz w:val="20"/>
                <w:szCs w:val="20"/>
                <w:color w:val="auto"/>
              </w:rPr>
            </w:pPr>
            <w:r>
              <w:rPr>
                <w:rFonts w:ascii="Arial" w:cs="Arial" w:eastAsia="Arial" w:hAnsi="Arial"/>
                <w:sz w:val="18"/>
                <w:szCs w:val="18"/>
                <w:b w:val="1"/>
                <w:bCs w:val="1"/>
                <w:color w:val="auto"/>
              </w:rPr>
              <w:t>Year</w:t>
            </w: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940" w:type="dxa"/>
            <w:vAlign w:val="bottom"/>
          </w:tcPr>
          <w:p>
            <w:pPr>
              <w:jc w:val="right"/>
              <w:ind w:right="150"/>
              <w:spacing w:after="0"/>
              <w:rPr>
                <w:sz w:val="20"/>
                <w:szCs w:val="20"/>
                <w:color w:val="auto"/>
              </w:rPr>
            </w:pPr>
            <w:r>
              <w:rPr>
                <w:rFonts w:ascii="Arial" w:cs="Arial" w:eastAsia="Arial" w:hAnsi="Arial"/>
                <w:sz w:val="18"/>
                <w:szCs w:val="18"/>
                <w:b w:val="1"/>
                <w:bCs w:val="1"/>
                <w:color w:val="auto"/>
                <w:w w:val="98"/>
              </w:rPr>
              <w:t>Salary $</w:t>
            </w:r>
          </w:p>
        </w:tc>
        <w:tc>
          <w:tcPr>
            <w:tcW w:w="2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020" w:type="dxa"/>
            <w:vAlign w:val="bottom"/>
          </w:tcPr>
          <w:p>
            <w:pPr>
              <w:jc w:val="right"/>
              <w:ind w:right="230"/>
              <w:spacing w:after="0"/>
              <w:rPr>
                <w:sz w:val="20"/>
                <w:szCs w:val="20"/>
                <w:color w:val="auto"/>
              </w:rPr>
            </w:pPr>
            <w:r>
              <w:rPr>
                <w:rFonts w:ascii="Arial" w:cs="Arial" w:eastAsia="Arial" w:hAnsi="Arial"/>
                <w:sz w:val="18"/>
                <w:szCs w:val="18"/>
                <w:b w:val="1"/>
                <w:bCs w:val="1"/>
                <w:color w:val="auto"/>
                <w:w w:val="95"/>
              </w:rPr>
              <w:t>Bonus $</w:t>
            </w:r>
          </w:p>
        </w:tc>
        <w:tc>
          <w:tcPr>
            <w:tcW w:w="200" w:type="dxa"/>
            <w:vAlign w:val="bottom"/>
          </w:tcPr>
          <w:p>
            <w:pPr>
              <w:spacing w:after="0"/>
              <w:rPr>
                <w:sz w:val="20"/>
                <w:szCs w:val="20"/>
                <w:color w:val="auto"/>
              </w:rPr>
            </w:pPr>
          </w:p>
        </w:tc>
        <w:tc>
          <w:tcPr>
            <w:tcW w:w="960" w:type="dxa"/>
            <w:vAlign w:val="bottom"/>
          </w:tcPr>
          <w:p>
            <w:pPr>
              <w:jc w:val="right"/>
              <w:spacing w:after="0"/>
              <w:rPr>
                <w:sz w:val="20"/>
                <w:szCs w:val="20"/>
                <w:color w:val="auto"/>
              </w:rPr>
            </w:pPr>
            <w:r>
              <w:rPr>
                <w:rFonts w:ascii="Arial" w:cs="Arial" w:eastAsia="Arial" w:hAnsi="Arial"/>
                <w:sz w:val="18"/>
                <w:szCs w:val="18"/>
                <w:b w:val="1"/>
                <w:bCs w:val="1"/>
                <w:color w:val="auto"/>
              </w:rPr>
              <w:t>Awards $</w:t>
            </w:r>
          </w:p>
        </w:tc>
        <w:tc>
          <w:tcPr>
            <w:tcW w:w="2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060" w:type="dxa"/>
            <w:vAlign w:val="bottom"/>
          </w:tcPr>
          <w:p>
            <w:pPr>
              <w:jc w:val="right"/>
              <w:ind w:right="170"/>
              <w:spacing w:after="0"/>
              <w:rPr>
                <w:sz w:val="20"/>
                <w:szCs w:val="20"/>
                <w:color w:val="auto"/>
              </w:rPr>
            </w:pPr>
            <w:r>
              <w:rPr>
                <w:rFonts w:ascii="Arial" w:cs="Arial" w:eastAsia="Arial" w:hAnsi="Arial"/>
                <w:sz w:val="18"/>
                <w:szCs w:val="18"/>
                <w:b w:val="1"/>
                <w:bCs w:val="1"/>
                <w:color w:val="auto"/>
                <w:w w:val="97"/>
              </w:rPr>
              <w:t>Awards $</w:t>
            </w:r>
          </w:p>
        </w:tc>
        <w:tc>
          <w:tcPr>
            <w:tcW w:w="2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080" w:type="dxa"/>
            <w:vAlign w:val="bottom"/>
            <w:gridSpan w:val="2"/>
          </w:tcPr>
          <w:p>
            <w:pPr>
              <w:ind w:left="100"/>
              <w:spacing w:after="0"/>
              <w:rPr>
                <w:sz w:val="20"/>
                <w:szCs w:val="20"/>
                <w:color w:val="auto"/>
              </w:rPr>
            </w:pPr>
            <w:r>
              <w:rPr>
                <w:rFonts w:ascii="Arial" w:cs="Arial" w:eastAsia="Arial" w:hAnsi="Arial"/>
                <w:sz w:val="18"/>
                <w:szCs w:val="18"/>
                <w:b w:val="1"/>
                <w:bCs w:val="1"/>
                <w:color w:val="auto"/>
              </w:rPr>
              <w:t>Total $</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338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96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94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102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960" w:type="dxa"/>
            <w:vAlign w:val="bottom"/>
            <w:shd w:val="clear" w:color="auto" w:fill="000000"/>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106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96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3380" w:type="dxa"/>
            <w:vAlign w:val="bottom"/>
            <w:shd w:val="clear" w:color="auto" w:fill="EEEEEE"/>
          </w:tcPr>
          <w:p>
            <w:pPr>
              <w:spacing w:after="0"/>
              <w:rPr>
                <w:sz w:val="20"/>
                <w:szCs w:val="20"/>
                <w:color w:val="auto"/>
              </w:rPr>
            </w:pPr>
            <w:r>
              <w:rPr>
                <w:rFonts w:ascii="Arial" w:cs="Arial" w:eastAsia="Arial" w:hAnsi="Arial"/>
                <w:sz w:val="18"/>
                <w:szCs w:val="18"/>
                <w:color w:val="auto"/>
              </w:rPr>
              <w:t>David Harrell</w:t>
            </w:r>
          </w:p>
        </w:tc>
        <w:tc>
          <w:tcPr>
            <w:tcW w:w="100" w:type="dxa"/>
            <w:vAlign w:val="bottom"/>
            <w:shd w:val="clear" w:color="auto" w:fill="EEEEEE"/>
          </w:tcPr>
          <w:p>
            <w:pPr>
              <w:spacing w:after="0"/>
              <w:rPr>
                <w:sz w:val="18"/>
                <w:szCs w:val="18"/>
                <w:color w:val="auto"/>
              </w:rPr>
            </w:pPr>
          </w:p>
        </w:tc>
        <w:tc>
          <w:tcPr>
            <w:tcW w:w="960" w:type="dxa"/>
            <w:vAlign w:val="bottom"/>
            <w:shd w:val="clear" w:color="auto" w:fill="EEEEEE"/>
          </w:tcPr>
          <w:p>
            <w:pPr>
              <w:ind w:left="300"/>
              <w:spacing w:after="0"/>
              <w:rPr>
                <w:sz w:val="20"/>
                <w:szCs w:val="20"/>
                <w:color w:val="auto"/>
              </w:rPr>
            </w:pPr>
            <w:r>
              <w:rPr>
                <w:rFonts w:ascii="Arial" w:cs="Arial" w:eastAsia="Arial" w:hAnsi="Arial"/>
                <w:sz w:val="18"/>
                <w:szCs w:val="18"/>
                <w:color w:val="auto"/>
              </w:rPr>
              <w:t>2007</w:t>
            </w:r>
          </w:p>
        </w:tc>
        <w:tc>
          <w:tcPr>
            <w:tcW w:w="260" w:type="dxa"/>
            <w:vAlign w:val="bottom"/>
            <w:gridSpan w:val="2"/>
            <w:shd w:val="clear" w:color="auto" w:fill="EEEEEE"/>
          </w:tcPr>
          <w:p>
            <w:pPr>
              <w:jc w:val="right"/>
              <w:ind w:right="60"/>
              <w:spacing w:after="0"/>
              <w:rPr>
                <w:sz w:val="20"/>
                <w:szCs w:val="20"/>
                <w:color w:val="auto"/>
              </w:rPr>
            </w:pPr>
            <w:r>
              <w:rPr>
                <w:rFonts w:ascii="Arial" w:cs="Arial" w:eastAsia="Arial" w:hAnsi="Arial"/>
                <w:sz w:val="18"/>
                <w:szCs w:val="18"/>
                <w:color w:val="auto"/>
              </w:rPr>
              <w:t>$</w:t>
            </w:r>
          </w:p>
        </w:tc>
        <w:tc>
          <w:tcPr>
            <w:tcW w:w="940" w:type="dxa"/>
            <w:vAlign w:val="bottom"/>
            <w:shd w:val="clear" w:color="auto" w:fill="EEEEEE"/>
          </w:tcPr>
          <w:p>
            <w:pPr>
              <w:jc w:val="right"/>
              <w:spacing w:after="0"/>
              <w:rPr>
                <w:sz w:val="20"/>
                <w:szCs w:val="20"/>
                <w:color w:val="auto"/>
              </w:rPr>
            </w:pPr>
            <w:r>
              <w:rPr>
                <w:rFonts w:ascii="Arial" w:cs="Arial" w:eastAsia="Arial" w:hAnsi="Arial"/>
                <w:sz w:val="18"/>
                <w:szCs w:val="18"/>
                <w:color w:val="auto"/>
              </w:rPr>
              <w:t>144,000</w:t>
            </w:r>
          </w:p>
        </w:tc>
        <w:tc>
          <w:tcPr>
            <w:tcW w:w="400" w:type="dxa"/>
            <w:vAlign w:val="bottom"/>
            <w:gridSpan w:val="2"/>
            <w:shd w:val="clear" w:color="auto" w:fill="EEEEEE"/>
          </w:tcPr>
          <w:p>
            <w:pPr>
              <w:jc w:val="right"/>
              <w:ind w:right="80"/>
              <w:spacing w:after="0"/>
              <w:rPr>
                <w:sz w:val="20"/>
                <w:szCs w:val="20"/>
                <w:color w:val="auto"/>
              </w:rPr>
            </w:pPr>
            <w:r>
              <w:rPr>
                <w:rFonts w:ascii="Arial" w:cs="Arial" w:eastAsia="Arial" w:hAnsi="Arial"/>
                <w:sz w:val="18"/>
                <w:szCs w:val="18"/>
                <w:color w:val="auto"/>
              </w:rPr>
              <w:t>$</w:t>
            </w:r>
          </w:p>
        </w:tc>
        <w:tc>
          <w:tcPr>
            <w:tcW w:w="1020" w:type="dxa"/>
            <w:vAlign w:val="bottom"/>
            <w:shd w:val="clear" w:color="auto" w:fill="EEEEEE"/>
          </w:tcPr>
          <w:p>
            <w:pPr>
              <w:jc w:val="right"/>
              <w:spacing w:after="0"/>
              <w:rPr>
                <w:sz w:val="20"/>
                <w:szCs w:val="20"/>
                <w:color w:val="auto"/>
              </w:rPr>
            </w:pPr>
            <w:r>
              <w:rPr>
                <w:rFonts w:ascii="Arial" w:cs="Arial" w:eastAsia="Arial" w:hAnsi="Arial"/>
                <w:sz w:val="18"/>
                <w:szCs w:val="18"/>
                <w:color w:val="auto"/>
              </w:rPr>
              <w:t>-0-</w:t>
            </w:r>
          </w:p>
        </w:tc>
        <w:tc>
          <w:tcPr>
            <w:tcW w:w="1160" w:type="dxa"/>
            <w:vAlign w:val="bottom"/>
            <w:gridSpan w:val="2"/>
            <w:shd w:val="clear" w:color="auto" w:fill="EEEEEE"/>
          </w:tcPr>
          <w:p>
            <w:pPr>
              <w:jc w:val="right"/>
              <w:ind w:right="770"/>
              <w:spacing w:after="0"/>
              <w:rPr>
                <w:sz w:val="20"/>
                <w:szCs w:val="20"/>
                <w:color w:val="auto"/>
              </w:rPr>
            </w:pPr>
            <w:r>
              <w:rPr>
                <w:rFonts w:ascii="Arial" w:cs="Arial" w:eastAsia="Arial" w:hAnsi="Arial"/>
                <w:sz w:val="18"/>
                <w:szCs w:val="18"/>
                <w:color w:val="auto"/>
              </w:rPr>
              <w:t>$</w:t>
            </w:r>
          </w:p>
        </w:tc>
        <w:tc>
          <w:tcPr>
            <w:tcW w:w="240" w:type="dxa"/>
            <w:vAlign w:val="bottom"/>
            <w:shd w:val="clear" w:color="auto" w:fill="EEEEEE"/>
          </w:tcPr>
          <w:p>
            <w:pPr>
              <w:jc w:val="right"/>
              <w:spacing w:after="0"/>
              <w:rPr>
                <w:sz w:val="20"/>
                <w:szCs w:val="20"/>
                <w:color w:val="auto"/>
              </w:rPr>
            </w:pPr>
            <w:r>
              <w:rPr>
                <w:rFonts w:ascii="Arial" w:cs="Arial" w:eastAsia="Arial" w:hAnsi="Arial"/>
                <w:sz w:val="18"/>
                <w:szCs w:val="18"/>
                <w:color w:val="auto"/>
                <w:w w:val="99"/>
              </w:rPr>
              <w:t>-0-</w:t>
            </w:r>
          </w:p>
        </w:tc>
        <w:tc>
          <w:tcPr>
            <w:tcW w:w="380" w:type="dxa"/>
            <w:vAlign w:val="bottom"/>
            <w:gridSpan w:val="2"/>
            <w:shd w:val="clear" w:color="auto" w:fill="EEEEEE"/>
          </w:tcPr>
          <w:p>
            <w:pPr>
              <w:jc w:val="right"/>
              <w:ind w:right="60"/>
              <w:spacing w:after="0"/>
              <w:rPr>
                <w:sz w:val="20"/>
                <w:szCs w:val="20"/>
                <w:color w:val="auto"/>
              </w:rPr>
            </w:pPr>
            <w:r>
              <w:rPr>
                <w:rFonts w:ascii="Arial" w:cs="Arial" w:eastAsia="Arial" w:hAnsi="Arial"/>
                <w:sz w:val="18"/>
                <w:szCs w:val="18"/>
                <w:color w:val="auto"/>
              </w:rPr>
              <w:t>$</w:t>
            </w:r>
          </w:p>
        </w:tc>
        <w:tc>
          <w:tcPr>
            <w:tcW w:w="1060" w:type="dxa"/>
            <w:vAlign w:val="bottom"/>
            <w:shd w:val="clear" w:color="auto" w:fill="EEEEEE"/>
          </w:tcPr>
          <w:p>
            <w:pPr>
              <w:jc w:val="right"/>
              <w:spacing w:after="0"/>
              <w:rPr>
                <w:sz w:val="20"/>
                <w:szCs w:val="20"/>
                <w:color w:val="auto"/>
              </w:rPr>
            </w:pPr>
            <w:r>
              <w:rPr>
                <w:rFonts w:ascii="Arial" w:cs="Arial" w:eastAsia="Arial" w:hAnsi="Arial"/>
                <w:sz w:val="18"/>
                <w:szCs w:val="18"/>
                <w:color w:val="auto"/>
              </w:rPr>
              <w:t>-0-</w:t>
            </w:r>
          </w:p>
        </w:tc>
        <w:tc>
          <w:tcPr>
            <w:tcW w:w="420" w:type="dxa"/>
            <w:vAlign w:val="bottom"/>
            <w:gridSpan w:val="2"/>
            <w:shd w:val="clear" w:color="auto" w:fill="EEEEEE"/>
          </w:tcPr>
          <w:p>
            <w:pPr>
              <w:jc w:val="right"/>
              <w:ind w:right="120"/>
              <w:spacing w:after="0"/>
              <w:rPr>
                <w:sz w:val="20"/>
                <w:szCs w:val="20"/>
                <w:color w:val="auto"/>
              </w:rPr>
            </w:pPr>
            <w:r>
              <w:rPr>
                <w:rFonts w:ascii="Arial" w:cs="Arial" w:eastAsia="Arial" w:hAnsi="Arial"/>
                <w:sz w:val="18"/>
                <w:szCs w:val="18"/>
                <w:color w:val="auto"/>
              </w:rPr>
              <w:t>$</w:t>
            </w:r>
          </w:p>
        </w:tc>
        <w:tc>
          <w:tcPr>
            <w:tcW w:w="960" w:type="dxa"/>
            <w:vAlign w:val="bottom"/>
            <w:shd w:val="clear" w:color="auto" w:fill="EEEEEE"/>
          </w:tcPr>
          <w:p>
            <w:pPr>
              <w:jc w:val="right"/>
              <w:spacing w:after="0"/>
              <w:rPr>
                <w:sz w:val="20"/>
                <w:szCs w:val="20"/>
                <w:color w:val="auto"/>
              </w:rPr>
            </w:pPr>
            <w:r>
              <w:rPr>
                <w:rFonts w:ascii="Arial" w:cs="Arial" w:eastAsia="Arial" w:hAnsi="Arial"/>
                <w:sz w:val="18"/>
                <w:szCs w:val="18"/>
                <w:color w:val="auto"/>
              </w:rPr>
              <w:t>144,000</w:t>
            </w:r>
          </w:p>
        </w:tc>
        <w:tc>
          <w:tcPr>
            <w:tcW w:w="120" w:type="dxa"/>
            <w:vAlign w:val="bottom"/>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380" w:type="dxa"/>
            <w:vAlign w:val="bottom"/>
          </w:tcPr>
          <w:p>
            <w:pPr>
              <w:spacing w:after="0"/>
              <w:rPr>
                <w:sz w:val="20"/>
                <w:szCs w:val="20"/>
                <w:color w:val="auto"/>
              </w:rPr>
            </w:pPr>
            <w:r>
              <w:rPr>
                <w:rFonts w:ascii="Arial" w:cs="Arial" w:eastAsia="Arial" w:hAnsi="Arial"/>
                <w:sz w:val="18"/>
                <w:szCs w:val="18"/>
                <w:color w:val="auto"/>
              </w:rPr>
              <w:t>President &amp; Chief Executive Officer</w:t>
            </w:r>
          </w:p>
        </w:tc>
        <w:tc>
          <w:tcPr>
            <w:tcW w:w="1060" w:type="dxa"/>
            <w:vAlign w:val="bottom"/>
            <w:gridSpan w:val="2"/>
          </w:tcPr>
          <w:p>
            <w:pPr>
              <w:ind w:left="400"/>
              <w:spacing w:after="0"/>
              <w:rPr>
                <w:sz w:val="20"/>
                <w:szCs w:val="20"/>
                <w:color w:val="auto"/>
              </w:rPr>
            </w:pPr>
            <w:r>
              <w:rPr>
                <w:rFonts w:ascii="Arial" w:cs="Arial" w:eastAsia="Arial" w:hAnsi="Arial"/>
                <w:sz w:val="18"/>
                <w:szCs w:val="18"/>
                <w:color w:val="auto"/>
              </w:rPr>
              <w:t>2006</w:t>
            </w:r>
          </w:p>
        </w:tc>
        <w:tc>
          <w:tcPr>
            <w:tcW w:w="26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940" w:type="dxa"/>
            <w:vAlign w:val="bottom"/>
          </w:tcPr>
          <w:p>
            <w:pPr>
              <w:jc w:val="right"/>
              <w:spacing w:after="0"/>
              <w:rPr>
                <w:sz w:val="20"/>
                <w:szCs w:val="20"/>
                <w:color w:val="auto"/>
              </w:rPr>
            </w:pPr>
            <w:r>
              <w:rPr>
                <w:rFonts w:ascii="Arial" w:cs="Arial" w:eastAsia="Arial" w:hAnsi="Arial"/>
                <w:sz w:val="18"/>
                <w:szCs w:val="18"/>
                <w:color w:val="auto"/>
              </w:rPr>
              <w:t>111,000</w:t>
            </w:r>
          </w:p>
        </w:tc>
        <w:tc>
          <w:tcPr>
            <w:tcW w:w="400" w:type="dxa"/>
            <w:vAlign w:val="bottom"/>
            <w:gridSpan w:val="2"/>
          </w:tcPr>
          <w:p>
            <w:pPr>
              <w:jc w:val="right"/>
              <w:ind w:right="80"/>
              <w:spacing w:after="0"/>
              <w:rPr>
                <w:sz w:val="20"/>
                <w:szCs w:val="20"/>
                <w:color w:val="auto"/>
              </w:rPr>
            </w:pPr>
            <w:r>
              <w:rPr>
                <w:rFonts w:ascii="Arial" w:cs="Arial" w:eastAsia="Arial" w:hAnsi="Arial"/>
                <w:sz w:val="18"/>
                <w:szCs w:val="18"/>
                <w:color w:val="auto"/>
              </w:rPr>
              <w:t>$</w:t>
            </w:r>
          </w:p>
        </w:tc>
        <w:tc>
          <w:tcPr>
            <w:tcW w:w="1020" w:type="dxa"/>
            <w:vAlign w:val="bottom"/>
          </w:tcPr>
          <w:p>
            <w:pPr>
              <w:jc w:val="right"/>
              <w:spacing w:after="0"/>
              <w:rPr>
                <w:sz w:val="20"/>
                <w:szCs w:val="20"/>
                <w:color w:val="auto"/>
              </w:rPr>
            </w:pPr>
            <w:r>
              <w:rPr>
                <w:rFonts w:ascii="Arial" w:cs="Arial" w:eastAsia="Arial" w:hAnsi="Arial"/>
                <w:sz w:val="18"/>
                <w:szCs w:val="18"/>
                <w:color w:val="auto"/>
              </w:rPr>
              <w:t>-0-</w:t>
            </w:r>
          </w:p>
        </w:tc>
        <w:tc>
          <w:tcPr>
            <w:tcW w:w="1160" w:type="dxa"/>
            <w:vAlign w:val="bottom"/>
            <w:gridSpan w:val="2"/>
          </w:tcPr>
          <w:p>
            <w:pPr>
              <w:jc w:val="right"/>
              <w:ind w:right="770"/>
              <w:spacing w:after="0"/>
              <w:rPr>
                <w:sz w:val="20"/>
                <w:szCs w:val="20"/>
                <w:color w:val="auto"/>
              </w:rPr>
            </w:pPr>
            <w:r>
              <w:rPr>
                <w:rFonts w:ascii="Arial" w:cs="Arial" w:eastAsia="Arial" w:hAnsi="Arial"/>
                <w:sz w:val="18"/>
                <w:szCs w:val="18"/>
                <w:color w:val="auto"/>
              </w:rPr>
              <w:t>$</w:t>
            </w:r>
          </w:p>
        </w:tc>
        <w:tc>
          <w:tcPr>
            <w:tcW w:w="240" w:type="dxa"/>
            <w:vAlign w:val="bottom"/>
          </w:tcPr>
          <w:p>
            <w:pPr>
              <w:jc w:val="right"/>
              <w:spacing w:after="0"/>
              <w:rPr>
                <w:sz w:val="20"/>
                <w:szCs w:val="20"/>
                <w:color w:val="auto"/>
              </w:rPr>
            </w:pPr>
            <w:r>
              <w:rPr>
                <w:rFonts w:ascii="Arial" w:cs="Arial" w:eastAsia="Arial" w:hAnsi="Arial"/>
                <w:sz w:val="18"/>
                <w:szCs w:val="18"/>
                <w:color w:val="auto"/>
                <w:w w:val="99"/>
              </w:rPr>
              <w:t>-0-</w:t>
            </w:r>
          </w:p>
        </w:tc>
        <w:tc>
          <w:tcPr>
            <w:tcW w:w="38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1060" w:type="dxa"/>
            <w:vAlign w:val="bottom"/>
          </w:tcPr>
          <w:p>
            <w:pPr>
              <w:jc w:val="right"/>
              <w:spacing w:after="0"/>
              <w:rPr>
                <w:sz w:val="20"/>
                <w:szCs w:val="20"/>
                <w:color w:val="auto"/>
              </w:rPr>
            </w:pPr>
            <w:r>
              <w:rPr>
                <w:rFonts w:ascii="Arial" w:cs="Arial" w:eastAsia="Arial" w:hAnsi="Arial"/>
                <w:sz w:val="18"/>
                <w:szCs w:val="18"/>
                <w:color w:val="auto"/>
              </w:rPr>
              <w:t>-0-</w:t>
            </w:r>
          </w:p>
        </w:tc>
        <w:tc>
          <w:tcPr>
            <w:tcW w:w="42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960" w:type="dxa"/>
            <w:vAlign w:val="bottom"/>
          </w:tcPr>
          <w:p>
            <w:pPr>
              <w:jc w:val="right"/>
              <w:spacing w:after="0"/>
              <w:rPr>
                <w:sz w:val="20"/>
                <w:szCs w:val="20"/>
                <w:color w:val="auto"/>
              </w:rPr>
            </w:pPr>
            <w:r>
              <w:rPr>
                <w:rFonts w:ascii="Arial" w:cs="Arial" w:eastAsia="Arial" w:hAnsi="Arial"/>
                <w:sz w:val="18"/>
                <w:szCs w:val="18"/>
                <w:color w:val="auto"/>
              </w:rPr>
              <w:t>111,000</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380" w:type="dxa"/>
            <w:vAlign w:val="bottom"/>
            <w:shd w:val="clear" w:color="auto" w:fill="EEEEEE"/>
          </w:tcPr>
          <w:p>
            <w:pPr>
              <w:spacing w:after="0"/>
              <w:rPr>
                <w:sz w:val="18"/>
                <w:szCs w:val="18"/>
                <w:color w:val="auto"/>
              </w:rPr>
            </w:pPr>
          </w:p>
        </w:tc>
        <w:tc>
          <w:tcPr>
            <w:tcW w:w="1060" w:type="dxa"/>
            <w:vAlign w:val="bottom"/>
            <w:gridSpan w:val="2"/>
            <w:shd w:val="clear" w:color="auto" w:fill="EEEEEE"/>
          </w:tcPr>
          <w:p>
            <w:pPr>
              <w:ind w:left="400"/>
              <w:spacing w:after="0"/>
              <w:rPr>
                <w:sz w:val="20"/>
                <w:szCs w:val="20"/>
                <w:color w:val="auto"/>
              </w:rPr>
            </w:pPr>
            <w:r>
              <w:rPr>
                <w:rFonts w:ascii="Arial" w:cs="Arial" w:eastAsia="Arial" w:hAnsi="Arial"/>
                <w:sz w:val="18"/>
                <w:szCs w:val="18"/>
                <w:color w:val="auto"/>
              </w:rPr>
              <w:t>2008</w:t>
            </w:r>
          </w:p>
        </w:tc>
        <w:tc>
          <w:tcPr>
            <w:tcW w:w="260" w:type="dxa"/>
            <w:vAlign w:val="bottom"/>
            <w:gridSpan w:val="2"/>
            <w:shd w:val="clear" w:color="auto" w:fill="EEEEEE"/>
          </w:tcPr>
          <w:p>
            <w:pPr>
              <w:jc w:val="right"/>
              <w:ind w:right="60"/>
              <w:spacing w:after="0"/>
              <w:rPr>
                <w:sz w:val="20"/>
                <w:szCs w:val="20"/>
                <w:color w:val="auto"/>
              </w:rPr>
            </w:pPr>
            <w:r>
              <w:rPr>
                <w:rFonts w:ascii="Arial" w:cs="Arial" w:eastAsia="Arial" w:hAnsi="Arial"/>
                <w:sz w:val="18"/>
                <w:szCs w:val="18"/>
                <w:color w:val="auto"/>
              </w:rPr>
              <w:t>$</w:t>
            </w:r>
          </w:p>
        </w:tc>
        <w:tc>
          <w:tcPr>
            <w:tcW w:w="940" w:type="dxa"/>
            <w:vAlign w:val="bottom"/>
            <w:shd w:val="clear" w:color="auto" w:fill="EEEEEE"/>
          </w:tcPr>
          <w:p>
            <w:pPr>
              <w:jc w:val="right"/>
              <w:spacing w:after="0"/>
              <w:rPr>
                <w:sz w:val="20"/>
                <w:szCs w:val="20"/>
                <w:color w:val="auto"/>
              </w:rPr>
            </w:pPr>
            <w:r>
              <w:rPr>
                <w:rFonts w:ascii="Arial" w:cs="Arial" w:eastAsia="Arial" w:hAnsi="Arial"/>
                <w:sz w:val="18"/>
                <w:szCs w:val="18"/>
                <w:color w:val="auto"/>
              </w:rPr>
              <w:t>144,000</w:t>
            </w:r>
          </w:p>
        </w:tc>
        <w:tc>
          <w:tcPr>
            <w:tcW w:w="400" w:type="dxa"/>
            <w:vAlign w:val="bottom"/>
            <w:gridSpan w:val="2"/>
            <w:shd w:val="clear" w:color="auto" w:fill="EEEEEE"/>
          </w:tcPr>
          <w:p>
            <w:pPr>
              <w:jc w:val="right"/>
              <w:ind w:right="80"/>
              <w:spacing w:after="0"/>
              <w:rPr>
                <w:sz w:val="20"/>
                <w:szCs w:val="20"/>
                <w:color w:val="auto"/>
              </w:rPr>
            </w:pPr>
            <w:r>
              <w:rPr>
                <w:rFonts w:ascii="Arial" w:cs="Arial" w:eastAsia="Arial" w:hAnsi="Arial"/>
                <w:sz w:val="18"/>
                <w:szCs w:val="18"/>
                <w:color w:val="auto"/>
              </w:rPr>
              <w:t>$</w:t>
            </w:r>
          </w:p>
        </w:tc>
        <w:tc>
          <w:tcPr>
            <w:tcW w:w="1020" w:type="dxa"/>
            <w:vAlign w:val="bottom"/>
            <w:shd w:val="clear" w:color="auto" w:fill="EEEEEE"/>
          </w:tcPr>
          <w:p>
            <w:pPr>
              <w:jc w:val="right"/>
              <w:spacing w:after="0"/>
              <w:rPr>
                <w:sz w:val="20"/>
                <w:szCs w:val="20"/>
                <w:color w:val="auto"/>
              </w:rPr>
            </w:pPr>
            <w:r>
              <w:rPr>
                <w:rFonts w:ascii="Arial" w:cs="Arial" w:eastAsia="Arial" w:hAnsi="Arial"/>
                <w:sz w:val="18"/>
                <w:szCs w:val="18"/>
                <w:color w:val="auto"/>
              </w:rPr>
              <w:t>-0-</w:t>
            </w:r>
          </w:p>
        </w:tc>
        <w:tc>
          <w:tcPr>
            <w:tcW w:w="1160" w:type="dxa"/>
            <w:vAlign w:val="bottom"/>
            <w:gridSpan w:val="2"/>
            <w:shd w:val="clear" w:color="auto" w:fill="EEEEEE"/>
          </w:tcPr>
          <w:p>
            <w:pPr>
              <w:jc w:val="right"/>
              <w:ind w:right="770"/>
              <w:spacing w:after="0"/>
              <w:rPr>
                <w:sz w:val="20"/>
                <w:szCs w:val="20"/>
                <w:color w:val="auto"/>
              </w:rPr>
            </w:pPr>
            <w:r>
              <w:rPr>
                <w:rFonts w:ascii="Arial" w:cs="Arial" w:eastAsia="Arial" w:hAnsi="Arial"/>
                <w:sz w:val="18"/>
                <w:szCs w:val="18"/>
                <w:color w:val="auto"/>
              </w:rPr>
              <w:t>$</w:t>
            </w:r>
          </w:p>
        </w:tc>
        <w:tc>
          <w:tcPr>
            <w:tcW w:w="240" w:type="dxa"/>
            <w:vAlign w:val="bottom"/>
            <w:shd w:val="clear" w:color="auto" w:fill="EEEEEE"/>
          </w:tcPr>
          <w:p>
            <w:pPr>
              <w:jc w:val="right"/>
              <w:spacing w:after="0"/>
              <w:rPr>
                <w:sz w:val="20"/>
                <w:szCs w:val="20"/>
                <w:color w:val="auto"/>
              </w:rPr>
            </w:pPr>
            <w:r>
              <w:rPr>
                <w:rFonts w:ascii="Arial" w:cs="Arial" w:eastAsia="Arial" w:hAnsi="Arial"/>
                <w:sz w:val="18"/>
                <w:szCs w:val="18"/>
                <w:color w:val="auto"/>
                <w:w w:val="99"/>
              </w:rPr>
              <w:t>-0-</w:t>
            </w:r>
          </w:p>
        </w:tc>
        <w:tc>
          <w:tcPr>
            <w:tcW w:w="380" w:type="dxa"/>
            <w:vAlign w:val="bottom"/>
            <w:gridSpan w:val="2"/>
            <w:shd w:val="clear" w:color="auto" w:fill="EEEEEE"/>
          </w:tcPr>
          <w:p>
            <w:pPr>
              <w:jc w:val="right"/>
              <w:ind w:right="60"/>
              <w:spacing w:after="0"/>
              <w:rPr>
                <w:sz w:val="20"/>
                <w:szCs w:val="20"/>
                <w:color w:val="auto"/>
              </w:rPr>
            </w:pPr>
            <w:r>
              <w:rPr>
                <w:rFonts w:ascii="Arial" w:cs="Arial" w:eastAsia="Arial" w:hAnsi="Arial"/>
                <w:sz w:val="18"/>
                <w:szCs w:val="18"/>
                <w:color w:val="auto"/>
              </w:rPr>
              <w:t>$</w:t>
            </w:r>
          </w:p>
        </w:tc>
        <w:tc>
          <w:tcPr>
            <w:tcW w:w="1060" w:type="dxa"/>
            <w:vAlign w:val="bottom"/>
            <w:shd w:val="clear" w:color="auto" w:fill="EEEEEE"/>
          </w:tcPr>
          <w:p>
            <w:pPr>
              <w:jc w:val="right"/>
              <w:spacing w:after="0"/>
              <w:rPr>
                <w:sz w:val="20"/>
                <w:szCs w:val="20"/>
                <w:color w:val="auto"/>
              </w:rPr>
            </w:pPr>
            <w:r>
              <w:rPr>
                <w:rFonts w:ascii="Arial" w:cs="Arial" w:eastAsia="Arial" w:hAnsi="Arial"/>
                <w:sz w:val="18"/>
                <w:szCs w:val="18"/>
                <w:color w:val="auto"/>
              </w:rPr>
              <w:t>91,000</w:t>
            </w:r>
          </w:p>
        </w:tc>
        <w:tc>
          <w:tcPr>
            <w:tcW w:w="420" w:type="dxa"/>
            <w:vAlign w:val="bottom"/>
            <w:gridSpan w:val="2"/>
            <w:shd w:val="clear" w:color="auto" w:fill="EEEEEE"/>
          </w:tcPr>
          <w:p>
            <w:pPr>
              <w:jc w:val="right"/>
              <w:ind w:right="120"/>
              <w:spacing w:after="0"/>
              <w:rPr>
                <w:sz w:val="20"/>
                <w:szCs w:val="20"/>
                <w:color w:val="auto"/>
              </w:rPr>
            </w:pPr>
            <w:r>
              <w:rPr>
                <w:rFonts w:ascii="Arial" w:cs="Arial" w:eastAsia="Arial" w:hAnsi="Arial"/>
                <w:sz w:val="18"/>
                <w:szCs w:val="18"/>
                <w:color w:val="auto"/>
              </w:rPr>
              <w:t>$</w:t>
            </w:r>
          </w:p>
        </w:tc>
        <w:tc>
          <w:tcPr>
            <w:tcW w:w="960" w:type="dxa"/>
            <w:vAlign w:val="bottom"/>
            <w:shd w:val="clear" w:color="auto" w:fill="EEEEEE"/>
          </w:tcPr>
          <w:p>
            <w:pPr>
              <w:jc w:val="right"/>
              <w:spacing w:after="0"/>
              <w:rPr>
                <w:sz w:val="20"/>
                <w:szCs w:val="20"/>
                <w:color w:val="auto"/>
              </w:rPr>
            </w:pPr>
            <w:r>
              <w:rPr>
                <w:rFonts w:ascii="Arial" w:cs="Arial" w:eastAsia="Arial" w:hAnsi="Arial"/>
                <w:sz w:val="18"/>
                <w:szCs w:val="18"/>
                <w:color w:val="auto"/>
              </w:rPr>
              <w:t>235,000</w:t>
            </w:r>
          </w:p>
        </w:tc>
        <w:tc>
          <w:tcPr>
            <w:tcW w:w="120" w:type="dxa"/>
            <w:vAlign w:val="bottom"/>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380" w:type="dxa"/>
            <w:vAlign w:val="bottom"/>
          </w:tcPr>
          <w:p>
            <w:pPr>
              <w:spacing w:after="0"/>
              <w:rPr>
                <w:sz w:val="20"/>
                <w:szCs w:val="20"/>
                <w:color w:val="auto"/>
              </w:rPr>
            </w:pPr>
            <w:r>
              <w:rPr>
                <w:rFonts w:ascii="Arial" w:cs="Arial" w:eastAsia="Arial" w:hAnsi="Arial"/>
                <w:sz w:val="18"/>
                <w:szCs w:val="18"/>
                <w:color w:val="auto"/>
              </w:rPr>
              <w:t>James Vandeberg</w:t>
            </w:r>
          </w:p>
        </w:tc>
        <w:tc>
          <w:tcPr>
            <w:tcW w:w="1060" w:type="dxa"/>
            <w:vAlign w:val="bottom"/>
            <w:gridSpan w:val="2"/>
          </w:tcPr>
          <w:p>
            <w:pPr>
              <w:ind w:left="400"/>
              <w:spacing w:after="0"/>
              <w:rPr>
                <w:sz w:val="20"/>
                <w:szCs w:val="20"/>
                <w:color w:val="auto"/>
              </w:rPr>
            </w:pPr>
            <w:r>
              <w:rPr>
                <w:rFonts w:ascii="Arial" w:cs="Arial" w:eastAsia="Arial" w:hAnsi="Arial"/>
                <w:sz w:val="18"/>
                <w:szCs w:val="18"/>
                <w:color w:val="auto"/>
              </w:rPr>
              <w:t>2007</w:t>
            </w:r>
          </w:p>
        </w:tc>
        <w:tc>
          <w:tcPr>
            <w:tcW w:w="26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940" w:type="dxa"/>
            <w:vAlign w:val="bottom"/>
          </w:tcPr>
          <w:p>
            <w:pPr>
              <w:jc w:val="right"/>
              <w:spacing w:after="0"/>
              <w:rPr>
                <w:sz w:val="20"/>
                <w:szCs w:val="20"/>
                <w:color w:val="auto"/>
              </w:rPr>
            </w:pPr>
            <w:r>
              <w:rPr>
                <w:rFonts w:ascii="Arial" w:cs="Arial" w:eastAsia="Arial" w:hAnsi="Arial"/>
                <w:sz w:val="18"/>
                <w:szCs w:val="18"/>
                <w:color w:val="auto"/>
              </w:rPr>
              <w:t>-0-</w:t>
            </w:r>
          </w:p>
        </w:tc>
        <w:tc>
          <w:tcPr>
            <w:tcW w:w="400" w:type="dxa"/>
            <w:vAlign w:val="bottom"/>
            <w:gridSpan w:val="2"/>
          </w:tcPr>
          <w:p>
            <w:pPr>
              <w:jc w:val="right"/>
              <w:ind w:right="80"/>
              <w:spacing w:after="0"/>
              <w:rPr>
                <w:sz w:val="20"/>
                <w:szCs w:val="20"/>
                <w:color w:val="auto"/>
              </w:rPr>
            </w:pPr>
            <w:r>
              <w:rPr>
                <w:rFonts w:ascii="Arial" w:cs="Arial" w:eastAsia="Arial" w:hAnsi="Arial"/>
                <w:sz w:val="18"/>
                <w:szCs w:val="18"/>
                <w:color w:val="auto"/>
              </w:rPr>
              <w:t>$</w:t>
            </w:r>
          </w:p>
        </w:tc>
        <w:tc>
          <w:tcPr>
            <w:tcW w:w="1020" w:type="dxa"/>
            <w:vAlign w:val="bottom"/>
          </w:tcPr>
          <w:p>
            <w:pPr>
              <w:jc w:val="right"/>
              <w:spacing w:after="0"/>
              <w:rPr>
                <w:sz w:val="20"/>
                <w:szCs w:val="20"/>
                <w:color w:val="auto"/>
              </w:rPr>
            </w:pPr>
            <w:r>
              <w:rPr>
                <w:rFonts w:ascii="Arial" w:cs="Arial" w:eastAsia="Arial" w:hAnsi="Arial"/>
                <w:sz w:val="18"/>
                <w:szCs w:val="18"/>
                <w:color w:val="auto"/>
              </w:rPr>
              <w:t>-0-</w:t>
            </w:r>
          </w:p>
        </w:tc>
        <w:tc>
          <w:tcPr>
            <w:tcW w:w="1160" w:type="dxa"/>
            <w:vAlign w:val="bottom"/>
            <w:gridSpan w:val="2"/>
          </w:tcPr>
          <w:p>
            <w:pPr>
              <w:jc w:val="right"/>
              <w:ind w:right="770"/>
              <w:spacing w:after="0"/>
              <w:rPr>
                <w:sz w:val="20"/>
                <w:szCs w:val="20"/>
                <w:color w:val="auto"/>
              </w:rPr>
            </w:pPr>
            <w:r>
              <w:rPr>
                <w:rFonts w:ascii="Arial" w:cs="Arial" w:eastAsia="Arial" w:hAnsi="Arial"/>
                <w:sz w:val="18"/>
                <w:szCs w:val="18"/>
                <w:color w:val="auto"/>
              </w:rPr>
              <w:t>$</w:t>
            </w:r>
          </w:p>
        </w:tc>
        <w:tc>
          <w:tcPr>
            <w:tcW w:w="240" w:type="dxa"/>
            <w:vAlign w:val="bottom"/>
          </w:tcPr>
          <w:p>
            <w:pPr>
              <w:jc w:val="right"/>
              <w:spacing w:after="0"/>
              <w:rPr>
                <w:sz w:val="20"/>
                <w:szCs w:val="20"/>
                <w:color w:val="auto"/>
              </w:rPr>
            </w:pPr>
            <w:r>
              <w:rPr>
                <w:rFonts w:ascii="Arial" w:cs="Arial" w:eastAsia="Arial" w:hAnsi="Arial"/>
                <w:sz w:val="18"/>
                <w:szCs w:val="18"/>
                <w:color w:val="auto"/>
                <w:w w:val="99"/>
              </w:rPr>
              <w:t>-0-</w:t>
            </w:r>
          </w:p>
        </w:tc>
        <w:tc>
          <w:tcPr>
            <w:tcW w:w="38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1060" w:type="dxa"/>
            <w:vAlign w:val="bottom"/>
          </w:tcPr>
          <w:p>
            <w:pPr>
              <w:jc w:val="right"/>
              <w:spacing w:after="0"/>
              <w:rPr>
                <w:sz w:val="20"/>
                <w:szCs w:val="20"/>
                <w:color w:val="auto"/>
              </w:rPr>
            </w:pPr>
            <w:r>
              <w:rPr>
                <w:rFonts w:ascii="Arial" w:cs="Arial" w:eastAsia="Arial" w:hAnsi="Arial"/>
                <w:sz w:val="18"/>
                <w:szCs w:val="18"/>
                <w:color w:val="auto"/>
              </w:rPr>
              <w:t>-0-</w:t>
            </w:r>
          </w:p>
        </w:tc>
        <w:tc>
          <w:tcPr>
            <w:tcW w:w="42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960" w:type="dxa"/>
            <w:vAlign w:val="bottom"/>
          </w:tcPr>
          <w:p>
            <w:pPr>
              <w:jc w:val="right"/>
              <w:spacing w:after="0"/>
              <w:rPr>
                <w:sz w:val="20"/>
                <w:szCs w:val="20"/>
                <w:color w:val="auto"/>
              </w:rPr>
            </w:pPr>
            <w:r>
              <w:rPr>
                <w:rFonts w:ascii="Arial" w:cs="Arial" w:eastAsia="Arial" w:hAnsi="Arial"/>
                <w:sz w:val="18"/>
                <w:szCs w:val="18"/>
                <w:color w:val="auto"/>
              </w:rPr>
              <w:t>-0-</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380" w:type="dxa"/>
            <w:vAlign w:val="bottom"/>
            <w:shd w:val="clear" w:color="auto" w:fill="EEEEEE"/>
          </w:tcPr>
          <w:p>
            <w:pPr>
              <w:spacing w:after="0"/>
              <w:rPr>
                <w:sz w:val="20"/>
                <w:szCs w:val="20"/>
                <w:color w:val="auto"/>
              </w:rPr>
            </w:pPr>
            <w:r>
              <w:rPr>
                <w:rFonts w:ascii="Arial" w:cs="Arial" w:eastAsia="Arial" w:hAnsi="Arial"/>
                <w:sz w:val="18"/>
                <w:szCs w:val="18"/>
                <w:color w:val="auto"/>
                <w:w w:val="96"/>
              </w:rPr>
              <w:t>Former Chief Executive Officer of RFID Ltd.</w:t>
            </w:r>
          </w:p>
        </w:tc>
        <w:tc>
          <w:tcPr>
            <w:tcW w:w="1060" w:type="dxa"/>
            <w:vAlign w:val="bottom"/>
            <w:gridSpan w:val="2"/>
            <w:shd w:val="clear" w:color="auto" w:fill="EEEEEE"/>
          </w:tcPr>
          <w:p>
            <w:pPr>
              <w:ind w:left="400"/>
              <w:spacing w:after="0"/>
              <w:rPr>
                <w:sz w:val="20"/>
                <w:szCs w:val="20"/>
                <w:color w:val="auto"/>
              </w:rPr>
            </w:pPr>
            <w:r>
              <w:rPr>
                <w:rFonts w:ascii="Arial" w:cs="Arial" w:eastAsia="Arial" w:hAnsi="Arial"/>
                <w:sz w:val="18"/>
                <w:szCs w:val="18"/>
                <w:color w:val="auto"/>
              </w:rPr>
              <w:t>2006</w:t>
            </w:r>
          </w:p>
        </w:tc>
        <w:tc>
          <w:tcPr>
            <w:tcW w:w="260" w:type="dxa"/>
            <w:vAlign w:val="bottom"/>
            <w:gridSpan w:val="2"/>
            <w:shd w:val="clear" w:color="auto" w:fill="EEEEEE"/>
          </w:tcPr>
          <w:p>
            <w:pPr>
              <w:jc w:val="right"/>
              <w:ind w:right="60"/>
              <w:spacing w:after="0"/>
              <w:rPr>
                <w:sz w:val="20"/>
                <w:szCs w:val="20"/>
                <w:color w:val="auto"/>
              </w:rPr>
            </w:pPr>
            <w:r>
              <w:rPr>
                <w:rFonts w:ascii="Arial" w:cs="Arial" w:eastAsia="Arial" w:hAnsi="Arial"/>
                <w:sz w:val="18"/>
                <w:szCs w:val="18"/>
                <w:color w:val="auto"/>
              </w:rPr>
              <w:t>$</w:t>
            </w:r>
          </w:p>
        </w:tc>
        <w:tc>
          <w:tcPr>
            <w:tcW w:w="940" w:type="dxa"/>
            <w:vAlign w:val="bottom"/>
            <w:shd w:val="clear" w:color="auto" w:fill="EEEEEE"/>
          </w:tcPr>
          <w:p>
            <w:pPr>
              <w:jc w:val="right"/>
              <w:spacing w:after="0"/>
              <w:rPr>
                <w:sz w:val="20"/>
                <w:szCs w:val="20"/>
                <w:color w:val="auto"/>
              </w:rPr>
            </w:pPr>
            <w:r>
              <w:rPr>
                <w:rFonts w:ascii="Arial" w:cs="Arial" w:eastAsia="Arial" w:hAnsi="Arial"/>
                <w:sz w:val="18"/>
                <w:szCs w:val="18"/>
                <w:color w:val="auto"/>
              </w:rPr>
              <w:t>-0-</w:t>
            </w:r>
          </w:p>
        </w:tc>
        <w:tc>
          <w:tcPr>
            <w:tcW w:w="400" w:type="dxa"/>
            <w:vAlign w:val="bottom"/>
            <w:gridSpan w:val="2"/>
            <w:shd w:val="clear" w:color="auto" w:fill="EEEEEE"/>
          </w:tcPr>
          <w:p>
            <w:pPr>
              <w:jc w:val="right"/>
              <w:ind w:right="80"/>
              <w:spacing w:after="0"/>
              <w:rPr>
                <w:sz w:val="20"/>
                <w:szCs w:val="20"/>
                <w:color w:val="auto"/>
              </w:rPr>
            </w:pPr>
            <w:r>
              <w:rPr>
                <w:rFonts w:ascii="Arial" w:cs="Arial" w:eastAsia="Arial" w:hAnsi="Arial"/>
                <w:sz w:val="18"/>
                <w:szCs w:val="18"/>
                <w:color w:val="auto"/>
              </w:rPr>
              <w:t>$</w:t>
            </w:r>
          </w:p>
        </w:tc>
        <w:tc>
          <w:tcPr>
            <w:tcW w:w="1020" w:type="dxa"/>
            <w:vAlign w:val="bottom"/>
            <w:shd w:val="clear" w:color="auto" w:fill="EEEEEE"/>
          </w:tcPr>
          <w:p>
            <w:pPr>
              <w:jc w:val="right"/>
              <w:spacing w:after="0"/>
              <w:rPr>
                <w:sz w:val="20"/>
                <w:szCs w:val="20"/>
                <w:color w:val="auto"/>
              </w:rPr>
            </w:pPr>
            <w:r>
              <w:rPr>
                <w:rFonts w:ascii="Arial" w:cs="Arial" w:eastAsia="Arial" w:hAnsi="Arial"/>
                <w:sz w:val="18"/>
                <w:szCs w:val="18"/>
                <w:color w:val="auto"/>
              </w:rPr>
              <w:t>-0-</w:t>
            </w:r>
          </w:p>
        </w:tc>
        <w:tc>
          <w:tcPr>
            <w:tcW w:w="1160" w:type="dxa"/>
            <w:vAlign w:val="bottom"/>
            <w:gridSpan w:val="2"/>
            <w:shd w:val="clear" w:color="auto" w:fill="EEEEEE"/>
          </w:tcPr>
          <w:p>
            <w:pPr>
              <w:jc w:val="right"/>
              <w:ind w:right="770"/>
              <w:spacing w:after="0"/>
              <w:rPr>
                <w:sz w:val="20"/>
                <w:szCs w:val="20"/>
                <w:color w:val="auto"/>
              </w:rPr>
            </w:pPr>
            <w:r>
              <w:rPr>
                <w:rFonts w:ascii="Arial" w:cs="Arial" w:eastAsia="Arial" w:hAnsi="Arial"/>
                <w:sz w:val="18"/>
                <w:szCs w:val="18"/>
                <w:color w:val="auto"/>
              </w:rPr>
              <w:t>$</w:t>
            </w:r>
          </w:p>
        </w:tc>
        <w:tc>
          <w:tcPr>
            <w:tcW w:w="240" w:type="dxa"/>
            <w:vAlign w:val="bottom"/>
            <w:shd w:val="clear" w:color="auto" w:fill="EEEEEE"/>
          </w:tcPr>
          <w:p>
            <w:pPr>
              <w:jc w:val="right"/>
              <w:spacing w:after="0"/>
              <w:rPr>
                <w:sz w:val="20"/>
                <w:szCs w:val="20"/>
                <w:color w:val="auto"/>
              </w:rPr>
            </w:pPr>
            <w:r>
              <w:rPr>
                <w:rFonts w:ascii="Arial" w:cs="Arial" w:eastAsia="Arial" w:hAnsi="Arial"/>
                <w:sz w:val="18"/>
                <w:szCs w:val="18"/>
                <w:color w:val="auto"/>
                <w:w w:val="99"/>
              </w:rPr>
              <w:t>-0-</w:t>
            </w:r>
          </w:p>
        </w:tc>
        <w:tc>
          <w:tcPr>
            <w:tcW w:w="380" w:type="dxa"/>
            <w:vAlign w:val="bottom"/>
            <w:gridSpan w:val="2"/>
            <w:shd w:val="clear" w:color="auto" w:fill="EEEEEE"/>
          </w:tcPr>
          <w:p>
            <w:pPr>
              <w:jc w:val="right"/>
              <w:ind w:right="60"/>
              <w:spacing w:after="0"/>
              <w:rPr>
                <w:sz w:val="20"/>
                <w:szCs w:val="20"/>
                <w:color w:val="auto"/>
              </w:rPr>
            </w:pPr>
            <w:r>
              <w:rPr>
                <w:rFonts w:ascii="Arial" w:cs="Arial" w:eastAsia="Arial" w:hAnsi="Arial"/>
                <w:sz w:val="18"/>
                <w:szCs w:val="18"/>
                <w:color w:val="auto"/>
              </w:rPr>
              <w:t>$</w:t>
            </w:r>
          </w:p>
        </w:tc>
        <w:tc>
          <w:tcPr>
            <w:tcW w:w="1060" w:type="dxa"/>
            <w:vAlign w:val="bottom"/>
            <w:shd w:val="clear" w:color="auto" w:fill="EEEEEE"/>
          </w:tcPr>
          <w:p>
            <w:pPr>
              <w:jc w:val="right"/>
              <w:spacing w:after="0"/>
              <w:rPr>
                <w:sz w:val="20"/>
                <w:szCs w:val="20"/>
                <w:color w:val="auto"/>
              </w:rPr>
            </w:pPr>
            <w:r>
              <w:rPr>
                <w:rFonts w:ascii="Arial" w:cs="Arial" w:eastAsia="Arial" w:hAnsi="Arial"/>
                <w:sz w:val="18"/>
                <w:szCs w:val="18"/>
                <w:color w:val="auto"/>
              </w:rPr>
              <w:t>-0-</w:t>
            </w:r>
          </w:p>
        </w:tc>
        <w:tc>
          <w:tcPr>
            <w:tcW w:w="420" w:type="dxa"/>
            <w:vAlign w:val="bottom"/>
            <w:gridSpan w:val="2"/>
            <w:shd w:val="clear" w:color="auto" w:fill="EEEEEE"/>
          </w:tcPr>
          <w:p>
            <w:pPr>
              <w:jc w:val="right"/>
              <w:ind w:right="120"/>
              <w:spacing w:after="0"/>
              <w:rPr>
                <w:sz w:val="20"/>
                <w:szCs w:val="20"/>
                <w:color w:val="auto"/>
              </w:rPr>
            </w:pPr>
            <w:r>
              <w:rPr>
                <w:rFonts w:ascii="Arial" w:cs="Arial" w:eastAsia="Arial" w:hAnsi="Arial"/>
                <w:sz w:val="18"/>
                <w:szCs w:val="18"/>
                <w:color w:val="auto"/>
              </w:rPr>
              <w:t>$</w:t>
            </w:r>
          </w:p>
        </w:tc>
        <w:tc>
          <w:tcPr>
            <w:tcW w:w="960" w:type="dxa"/>
            <w:vAlign w:val="bottom"/>
            <w:shd w:val="clear" w:color="auto" w:fill="EEEEEE"/>
          </w:tcPr>
          <w:p>
            <w:pPr>
              <w:jc w:val="right"/>
              <w:spacing w:after="0"/>
              <w:rPr>
                <w:sz w:val="20"/>
                <w:szCs w:val="20"/>
                <w:color w:val="auto"/>
              </w:rPr>
            </w:pPr>
            <w:r>
              <w:rPr>
                <w:rFonts w:ascii="Arial" w:cs="Arial" w:eastAsia="Arial" w:hAnsi="Arial"/>
                <w:sz w:val="18"/>
                <w:szCs w:val="18"/>
                <w:color w:val="auto"/>
              </w:rPr>
              <w:t>-0-</w:t>
            </w:r>
          </w:p>
        </w:tc>
        <w:tc>
          <w:tcPr>
            <w:tcW w:w="120" w:type="dxa"/>
            <w:vAlign w:val="bottom"/>
            <w:shd w:val="clear" w:color="auto" w:fill="EEEEEE"/>
          </w:tcPr>
          <w:p>
            <w:pPr>
              <w:spacing w:after="0"/>
              <w:rPr>
                <w:sz w:val="18"/>
                <w:szCs w:val="18"/>
                <w:color w:val="auto"/>
              </w:rPr>
            </w:pPr>
          </w:p>
        </w:tc>
        <w:tc>
          <w:tcPr>
            <w:tcW w:w="0" w:type="dxa"/>
            <w:vAlign w:val="bottom"/>
          </w:tcPr>
          <w:p>
            <w:pPr>
              <w:spacing w:after="0"/>
              <w:rPr>
                <w:sz w:val="1"/>
                <w:szCs w:val="1"/>
                <w:color w:val="auto"/>
              </w:rPr>
            </w:pPr>
          </w:p>
        </w:tc>
      </w:tr>
    </w:tbl>
    <w:p>
      <w:pPr>
        <w:spacing w:after="0" w:line="256" w:lineRule="exact"/>
        <w:rPr>
          <w:sz w:val="20"/>
          <w:szCs w:val="20"/>
          <w:color w:val="auto"/>
        </w:rPr>
      </w:pPr>
    </w:p>
    <w:p>
      <w:pPr>
        <w:ind w:left="720" w:right="20" w:hanging="473"/>
        <w:spacing w:after="0" w:line="277" w:lineRule="auto"/>
        <w:tabs>
          <w:tab w:leader="none" w:pos="720" w:val="left"/>
        </w:tabs>
        <w:numPr>
          <w:ilvl w:val="0"/>
          <w:numId w:val="29"/>
        </w:numPr>
        <w:rPr>
          <w:rFonts w:ascii="Arial" w:cs="Arial" w:eastAsia="Arial" w:hAnsi="Arial"/>
          <w:sz w:val="18"/>
          <w:szCs w:val="18"/>
          <w:color w:val="auto"/>
        </w:rPr>
      </w:pPr>
      <w:r>
        <w:rPr>
          <w:rFonts w:ascii="Arial" w:cs="Arial" w:eastAsia="Arial" w:hAnsi="Arial"/>
          <w:sz w:val="18"/>
          <w:szCs w:val="18"/>
          <w:color w:val="auto"/>
        </w:rPr>
        <w:t>Options to purchase 100,000 shares of Common Stock valued at $0.91 per share with an exercise price of $1.00 per share. Please see our Management’s Discussion and Analysis for a discussion on the valuation of our options .</w:t>
      </w:r>
    </w:p>
    <w:p>
      <w:pPr>
        <w:spacing w:after="0" w:line="220"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2520" w:type="dxa"/>
            <w:vAlign w:val="bottom"/>
            <w:gridSpan w:val="2"/>
          </w:tcPr>
          <w:p>
            <w:pPr>
              <w:spacing w:after="0"/>
              <w:rPr>
                <w:sz w:val="20"/>
                <w:szCs w:val="20"/>
                <w:color w:val="auto"/>
              </w:rPr>
            </w:pPr>
            <w:r>
              <w:rPr>
                <w:rFonts w:ascii="Arial" w:cs="Arial" w:eastAsia="Arial" w:hAnsi="Arial"/>
                <w:sz w:val="18"/>
                <w:szCs w:val="18"/>
                <w:b w:val="1"/>
                <w:bCs w:val="1"/>
                <w:color w:val="auto"/>
              </w:rPr>
              <w:t>Director Compensation</w:t>
            </w:r>
          </w:p>
        </w:tc>
        <w:tc>
          <w:tcPr>
            <w:tcW w:w="10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1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1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16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72"/>
        </w:trPr>
        <w:tc>
          <w:tcPr>
            <w:tcW w:w="20" w:type="dxa"/>
            <w:vAlign w:val="bottom"/>
          </w:tcPr>
          <w:p>
            <w:pPr>
              <w:spacing w:after="0"/>
              <w:rPr>
                <w:sz w:val="24"/>
                <w:szCs w:val="24"/>
                <w:color w:val="auto"/>
              </w:rPr>
            </w:pPr>
          </w:p>
        </w:tc>
        <w:tc>
          <w:tcPr>
            <w:tcW w:w="25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160" w:type="dxa"/>
            <w:vAlign w:val="bottom"/>
          </w:tcPr>
          <w:p>
            <w:pPr>
              <w:jc w:val="center"/>
              <w:spacing w:after="0"/>
              <w:rPr>
                <w:sz w:val="20"/>
                <w:szCs w:val="20"/>
                <w:color w:val="auto"/>
              </w:rPr>
            </w:pPr>
            <w:r>
              <w:rPr>
                <w:rFonts w:ascii="Arial" w:cs="Arial" w:eastAsia="Arial" w:hAnsi="Arial"/>
                <w:sz w:val="18"/>
                <w:szCs w:val="18"/>
                <w:color w:val="auto"/>
                <w:w w:val="87"/>
              </w:rPr>
              <w:t>Changes in</w:t>
            </w:r>
          </w:p>
        </w:tc>
        <w:tc>
          <w:tcPr>
            <w:tcW w:w="12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5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60" w:type="dxa"/>
            <w:vAlign w:val="bottom"/>
          </w:tcPr>
          <w:p>
            <w:pPr>
              <w:jc w:val="center"/>
              <w:spacing w:after="0"/>
              <w:rPr>
                <w:sz w:val="20"/>
                <w:szCs w:val="20"/>
                <w:color w:val="auto"/>
              </w:rPr>
            </w:pPr>
            <w:r>
              <w:rPr>
                <w:rFonts w:ascii="Arial" w:cs="Arial" w:eastAsia="Arial" w:hAnsi="Arial"/>
                <w:sz w:val="18"/>
                <w:szCs w:val="18"/>
                <w:color w:val="auto"/>
                <w:w w:val="87"/>
              </w:rPr>
              <w:t>Pension Value</w:t>
            </w:r>
          </w:p>
        </w:tc>
        <w:tc>
          <w:tcPr>
            <w:tcW w:w="12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5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60" w:type="dxa"/>
            <w:vAlign w:val="bottom"/>
          </w:tcPr>
          <w:p>
            <w:pPr>
              <w:jc w:val="center"/>
              <w:spacing w:after="0"/>
              <w:rPr>
                <w:sz w:val="20"/>
                <w:szCs w:val="20"/>
                <w:color w:val="auto"/>
              </w:rPr>
            </w:pPr>
            <w:r>
              <w:rPr>
                <w:rFonts w:ascii="Arial" w:cs="Arial" w:eastAsia="Arial" w:hAnsi="Arial"/>
                <w:sz w:val="18"/>
                <w:szCs w:val="18"/>
                <w:color w:val="auto"/>
                <w:w w:val="86"/>
              </w:rPr>
              <w:t>and</w:t>
            </w:r>
          </w:p>
        </w:tc>
        <w:tc>
          <w:tcPr>
            <w:tcW w:w="12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5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160" w:type="dxa"/>
            <w:vAlign w:val="bottom"/>
          </w:tcPr>
          <w:p>
            <w:pPr>
              <w:jc w:val="center"/>
              <w:spacing w:after="0"/>
              <w:rPr>
                <w:sz w:val="20"/>
                <w:szCs w:val="20"/>
                <w:color w:val="auto"/>
              </w:rPr>
            </w:pPr>
            <w:r>
              <w:rPr>
                <w:rFonts w:ascii="Arial" w:cs="Arial" w:eastAsia="Arial" w:hAnsi="Arial"/>
                <w:sz w:val="18"/>
                <w:szCs w:val="18"/>
                <w:color w:val="auto"/>
                <w:w w:val="94"/>
              </w:rPr>
              <w:t>Non-Equity</w:t>
            </w:r>
          </w:p>
        </w:tc>
        <w:tc>
          <w:tcPr>
            <w:tcW w:w="120" w:type="dxa"/>
            <w:vAlign w:val="bottom"/>
          </w:tcPr>
          <w:p>
            <w:pPr>
              <w:spacing w:after="0"/>
              <w:rPr>
                <w:sz w:val="18"/>
                <w:szCs w:val="18"/>
                <w:color w:val="auto"/>
              </w:rPr>
            </w:pPr>
          </w:p>
        </w:tc>
        <w:tc>
          <w:tcPr>
            <w:tcW w:w="1160" w:type="dxa"/>
            <w:vAlign w:val="bottom"/>
          </w:tcPr>
          <w:p>
            <w:pPr>
              <w:jc w:val="center"/>
              <w:spacing w:after="0"/>
              <w:rPr>
                <w:sz w:val="20"/>
                <w:szCs w:val="20"/>
                <w:color w:val="auto"/>
              </w:rPr>
            </w:pPr>
            <w:r>
              <w:rPr>
                <w:rFonts w:ascii="Arial" w:cs="Arial" w:eastAsia="Arial" w:hAnsi="Arial"/>
                <w:sz w:val="18"/>
                <w:szCs w:val="18"/>
                <w:color w:val="auto"/>
                <w:w w:val="95"/>
              </w:rPr>
              <w:t>Nonqualified</w:t>
            </w:r>
          </w:p>
        </w:tc>
        <w:tc>
          <w:tcPr>
            <w:tcW w:w="12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5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0" w:type="dxa"/>
            <w:vAlign w:val="bottom"/>
          </w:tcPr>
          <w:p>
            <w:pPr>
              <w:jc w:val="center"/>
              <w:spacing w:after="0"/>
              <w:rPr>
                <w:sz w:val="20"/>
                <w:szCs w:val="20"/>
                <w:color w:val="auto"/>
              </w:rPr>
            </w:pPr>
            <w:r>
              <w:rPr>
                <w:rFonts w:ascii="Arial" w:cs="Arial" w:eastAsia="Arial" w:hAnsi="Arial"/>
                <w:sz w:val="18"/>
                <w:szCs w:val="18"/>
                <w:color w:val="auto"/>
                <w:w w:val="87"/>
              </w:rPr>
              <w:t>Fees Earned</w:t>
            </w:r>
          </w:p>
        </w:tc>
        <w:tc>
          <w:tcPr>
            <w:tcW w:w="1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160" w:type="dxa"/>
            <w:vAlign w:val="bottom"/>
          </w:tcPr>
          <w:p>
            <w:pPr>
              <w:jc w:val="center"/>
              <w:spacing w:after="0"/>
              <w:rPr>
                <w:sz w:val="20"/>
                <w:szCs w:val="20"/>
                <w:color w:val="auto"/>
              </w:rPr>
            </w:pPr>
            <w:r>
              <w:rPr>
                <w:rFonts w:ascii="Arial" w:cs="Arial" w:eastAsia="Arial" w:hAnsi="Arial"/>
                <w:sz w:val="18"/>
                <w:szCs w:val="18"/>
                <w:color w:val="auto"/>
                <w:w w:val="91"/>
              </w:rPr>
              <w:t>Incentive Plan</w:t>
            </w:r>
          </w:p>
        </w:tc>
        <w:tc>
          <w:tcPr>
            <w:tcW w:w="120" w:type="dxa"/>
            <w:vAlign w:val="bottom"/>
          </w:tcPr>
          <w:p>
            <w:pPr>
              <w:spacing w:after="0"/>
              <w:rPr>
                <w:sz w:val="18"/>
                <w:szCs w:val="18"/>
                <w:color w:val="auto"/>
              </w:rPr>
            </w:pPr>
          </w:p>
        </w:tc>
        <w:tc>
          <w:tcPr>
            <w:tcW w:w="1160" w:type="dxa"/>
            <w:vAlign w:val="bottom"/>
          </w:tcPr>
          <w:p>
            <w:pPr>
              <w:jc w:val="center"/>
              <w:spacing w:after="0"/>
              <w:rPr>
                <w:sz w:val="20"/>
                <w:szCs w:val="20"/>
                <w:color w:val="auto"/>
              </w:rPr>
            </w:pPr>
            <w:r>
              <w:rPr>
                <w:rFonts w:ascii="Arial" w:cs="Arial" w:eastAsia="Arial" w:hAnsi="Arial"/>
                <w:sz w:val="18"/>
                <w:szCs w:val="18"/>
                <w:color w:val="auto"/>
                <w:w w:val="91"/>
              </w:rPr>
              <w:t>Deferred</w:t>
            </w:r>
          </w:p>
        </w:tc>
        <w:tc>
          <w:tcPr>
            <w:tcW w:w="120" w:type="dxa"/>
            <w:vAlign w:val="bottom"/>
          </w:tcPr>
          <w:p>
            <w:pPr>
              <w:spacing w:after="0"/>
              <w:rPr>
                <w:sz w:val="18"/>
                <w:szCs w:val="18"/>
                <w:color w:val="auto"/>
              </w:rPr>
            </w:pPr>
          </w:p>
        </w:tc>
        <w:tc>
          <w:tcPr>
            <w:tcW w:w="1160" w:type="dxa"/>
            <w:vAlign w:val="bottom"/>
          </w:tcPr>
          <w:p>
            <w:pPr>
              <w:jc w:val="center"/>
              <w:spacing w:after="0"/>
              <w:rPr>
                <w:sz w:val="20"/>
                <w:szCs w:val="20"/>
                <w:color w:val="auto"/>
              </w:rPr>
            </w:pPr>
            <w:r>
              <w:rPr>
                <w:rFonts w:ascii="Arial" w:cs="Arial" w:eastAsia="Arial" w:hAnsi="Arial"/>
                <w:sz w:val="18"/>
                <w:szCs w:val="18"/>
                <w:color w:val="auto"/>
                <w:w w:val="97"/>
              </w:rPr>
              <w:t>All Other</w:t>
            </w:r>
          </w:p>
        </w:tc>
        <w:tc>
          <w:tcPr>
            <w:tcW w:w="24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5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0" w:type="dxa"/>
            <w:vAlign w:val="bottom"/>
          </w:tcPr>
          <w:p>
            <w:pPr>
              <w:jc w:val="center"/>
              <w:spacing w:after="0"/>
              <w:rPr>
                <w:sz w:val="20"/>
                <w:szCs w:val="20"/>
                <w:color w:val="auto"/>
              </w:rPr>
            </w:pPr>
            <w:r>
              <w:rPr>
                <w:rFonts w:ascii="Arial" w:cs="Arial" w:eastAsia="Arial" w:hAnsi="Arial"/>
                <w:sz w:val="18"/>
                <w:szCs w:val="18"/>
                <w:color w:val="auto"/>
                <w:w w:val="90"/>
              </w:rPr>
              <w:t>or Pain In</w:t>
            </w:r>
          </w:p>
        </w:tc>
        <w:tc>
          <w:tcPr>
            <w:tcW w:w="120" w:type="dxa"/>
            <w:vAlign w:val="bottom"/>
          </w:tcPr>
          <w:p>
            <w:pPr>
              <w:spacing w:after="0"/>
              <w:rPr>
                <w:sz w:val="18"/>
                <w:szCs w:val="18"/>
                <w:color w:val="auto"/>
              </w:rPr>
            </w:pPr>
          </w:p>
        </w:tc>
        <w:tc>
          <w:tcPr>
            <w:tcW w:w="1000" w:type="dxa"/>
            <w:vAlign w:val="bottom"/>
          </w:tcPr>
          <w:p>
            <w:pPr>
              <w:jc w:val="right"/>
              <w:ind w:right="210"/>
              <w:spacing w:after="0"/>
              <w:rPr>
                <w:sz w:val="20"/>
                <w:szCs w:val="20"/>
                <w:color w:val="auto"/>
              </w:rPr>
            </w:pPr>
            <w:r>
              <w:rPr>
                <w:rFonts w:ascii="Arial" w:cs="Arial" w:eastAsia="Arial" w:hAnsi="Arial"/>
                <w:sz w:val="18"/>
                <w:szCs w:val="18"/>
                <w:color w:val="auto"/>
              </w:rPr>
              <w:t>Stock</w:t>
            </w:r>
          </w:p>
        </w:tc>
        <w:tc>
          <w:tcPr>
            <w:tcW w:w="100" w:type="dxa"/>
            <w:vAlign w:val="bottom"/>
          </w:tcPr>
          <w:p>
            <w:pPr>
              <w:spacing w:after="0"/>
              <w:rPr>
                <w:sz w:val="18"/>
                <w:szCs w:val="18"/>
                <w:color w:val="auto"/>
              </w:rPr>
            </w:pPr>
          </w:p>
        </w:tc>
        <w:tc>
          <w:tcPr>
            <w:tcW w:w="1360" w:type="dxa"/>
            <w:vAlign w:val="bottom"/>
            <w:gridSpan w:val="2"/>
          </w:tcPr>
          <w:p>
            <w:pPr>
              <w:jc w:val="right"/>
              <w:ind w:right="600"/>
              <w:spacing w:after="0"/>
              <w:rPr>
                <w:sz w:val="20"/>
                <w:szCs w:val="20"/>
                <w:color w:val="auto"/>
              </w:rPr>
            </w:pPr>
            <w:r>
              <w:rPr>
                <w:rFonts w:ascii="Arial" w:cs="Arial" w:eastAsia="Arial" w:hAnsi="Arial"/>
                <w:sz w:val="18"/>
                <w:szCs w:val="18"/>
                <w:color w:val="auto"/>
              </w:rPr>
              <w:t>Option</w:t>
            </w:r>
          </w:p>
        </w:tc>
        <w:tc>
          <w:tcPr>
            <w:tcW w:w="1160" w:type="dxa"/>
            <w:vAlign w:val="bottom"/>
          </w:tcPr>
          <w:p>
            <w:pPr>
              <w:jc w:val="center"/>
              <w:spacing w:after="0"/>
              <w:rPr>
                <w:sz w:val="20"/>
                <w:szCs w:val="20"/>
                <w:color w:val="auto"/>
              </w:rPr>
            </w:pPr>
            <w:r>
              <w:rPr>
                <w:rFonts w:ascii="Arial" w:cs="Arial" w:eastAsia="Arial" w:hAnsi="Arial"/>
                <w:sz w:val="18"/>
                <w:szCs w:val="18"/>
                <w:color w:val="auto"/>
                <w:w w:val="89"/>
              </w:rPr>
              <w:t>Compensation</w:t>
            </w:r>
          </w:p>
        </w:tc>
        <w:tc>
          <w:tcPr>
            <w:tcW w:w="120" w:type="dxa"/>
            <w:vAlign w:val="bottom"/>
          </w:tcPr>
          <w:p>
            <w:pPr>
              <w:spacing w:after="0"/>
              <w:rPr>
                <w:sz w:val="18"/>
                <w:szCs w:val="18"/>
                <w:color w:val="auto"/>
              </w:rPr>
            </w:pPr>
          </w:p>
        </w:tc>
        <w:tc>
          <w:tcPr>
            <w:tcW w:w="1160" w:type="dxa"/>
            <w:vAlign w:val="bottom"/>
          </w:tcPr>
          <w:p>
            <w:pPr>
              <w:jc w:val="center"/>
              <w:spacing w:after="0"/>
              <w:rPr>
                <w:sz w:val="20"/>
                <w:szCs w:val="20"/>
                <w:color w:val="auto"/>
              </w:rPr>
            </w:pPr>
            <w:r>
              <w:rPr>
                <w:rFonts w:ascii="Arial" w:cs="Arial" w:eastAsia="Arial" w:hAnsi="Arial"/>
                <w:sz w:val="18"/>
                <w:szCs w:val="18"/>
                <w:color w:val="auto"/>
                <w:w w:val="89"/>
              </w:rPr>
              <w:t>Compensation</w:t>
            </w:r>
          </w:p>
        </w:tc>
        <w:tc>
          <w:tcPr>
            <w:tcW w:w="120" w:type="dxa"/>
            <w:vAlign w:val="bottom"/>
          </w:tcPr>
          <w:p>
            <w:pPr>
              <w:spacing w:after="0"/>
              <w:rPr>
                <w:sz w:val="18"/>
                <w:szCs w:val="18"/>
                <w:color w:val="auto"/>
              </w:rPr>
            </w:pPr>
          </w:p>
        </w:tc>
        <w:tc>
          <w:tcPr>
            <w:tcW w:w="1160" w:type="dxa"/>
            <w:vAlign w:val="bottom"/>
          </w:tcPr>
          <w:p>
            <w:pPr>
              <w:jc w:val="center"/>
              <w:spacing w:after="0"/>
              <w:rPr>
                <w:sz w:val="20"/>
                <w:szCs w:val="20"/>
                <w:color w:val="auto"/>
              </w:rPr>
            </w:pPr>
            <w:r>
              <w:rPr>
                <w:rFonts w:ascii="Arial" w:cs="Arial" w:eastAsia="Arial" w:hAnsi="Arial"/>
                <w:sz w:val="18"/>
                <w:szCs w:val="18"/>
                <w:color w:val="auto"/>
                <w:w w:val="89"/>
              </w:rPr>
              <w:t>Compensation</w:t>
            </w:r>
          </w:p>
        </w:tc>
        <w:tc>
          <w:tcPr>
            <w:tcW w:w="24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520" w:type="dxa"/>
            <w:vAlign w:val="bottom"/>
            <w:gridSpan w:val="2"/>
          </w:tcPr>
          <w:p>
            <w:pPr>
              <w:spacing w:after="0"/>
              <w:rPr>
                <w:sz w:val="20"/>
                <w:szCs w:val="20"/>
                <w:color w:val="auto"/>
              </w:rPr>
            </w:pPr>
            <w:r>
              <w:rPr>
                <w:rFonts w:ascii="Arial" w:cs="Arial" w:eastAsia="Arial" w:hAnsi="Arial"/>
                <w:sz w:val="18"/>
                <w:szCs w:val="18"/>
                <w:color w:val="auto"/>
              </w:rPr>
              <w:t>Name</w:t>
            </w:r>
          </w:p>
        </w:tc>
        <w:tc>
          <w:tcPr>
            <w:tcW w:w="100" w:type="dxa"/>
            <w:vAlign w:val="bottom"/>
          </w:tcPr>
          <w:p>
            <w:pPr>
              <w:spacing w:after="0"/>
              <w:rPr>
                <w:sz w:val="20"/>
                <w:szCs w:val="20"/>
                <w:color w:val="auto"/>
              </w:rPr>
            </w:pPr>
          </w:p>
        </w:tc>
        <w:tc>
          <w:tcPr>
            <w:tcW w:w="1000" w:type="dxa"/>
            <w:vAlign w:val="bottom"/>
          </w:tcPr>
          <w:p>
            <w:pPr>
              <w:jc w:val="center"/>
              <w:spacing w:after="0"/>
              <w:rPr>
                <w:sz w:val="20"/>
                <w:szCs w:val="20"/>
                <w:color w:val="auto"/>
              </w:rPr>
            </w:pPr>
            <w:r>
              <w:rPr>
                <w:rFonts w:ascii="Arial" w:cs="Arial" w:eastAsia="Arial" w:hAnsi="Arial"/>
                <w:sz w:val="18"/>
                <w:szCs w:val="18"/>
                <w:color w:val="auto"/>
                <w:w w:val="85"/>
              </w:rPr>
              <w:t>Cash</w:t>
            </w:r>
          </w:p>
        </w:tc>
        <w:tc>
          <w:tcPr>
            <w:tcW w:w="120" w:type="dxa"/>
            <w:vAlign w:val="bottom"/>
          </w:tcPr>
          <w:p>
            <w:pPr>
              <w:spacing w:after="0"/>
              <w:rPr>
                <w:sz w:val="20"/>
                <w:szCs w:val="20"/>
                <w:color w:val="auto"/>
              </w:rPr>
            </w:pPr>
          </w:p>
        </w:tc>
        <w:tc>
          <w:tcPr>
            <w:tcW w:w="1000" w:type="dxa"/>
            <w:vAlign w:val="bottom"/>
          </w:tcPr>
          <w:p>
            <w:pPr>
              <w:jc w:val="right"/>
              <w:ind w:right="10"/>
              <w:spacing w:after="0"/>
              <w:rPr>
                <w:sz w:val="20"/>
                <w:szCs w:val="20"/>
                <w:color w:val="auto"/>
              </w:rPr>
            </w:pPr>
            <w:r>
              <w:rPr>
                <w:rFonts w:ascii="Arial" w:cs="Arial" w:eastAsia="Arial" w:hAnsi="Arial"/>
                <w:sz w:val="18"/>
                <w:szCs w:val="18"/>
                <w:color w:val="auto"/>
              </w:rPr>
              <w:t>Awards ($)</w:t>
            </w:r>
          </w:p>
        </w:tc>
        <w:tc>
          <w:tcPr>
            <w:tcW w:w="100" w:type="dxa"/>
            <w:vAlign w:val="bottom"/>
          </w:tcPr>
          <w:p>
            <w:pPr>
              <w:spacing w:after="0"/>
              <w:rPr>
                <w:sz w:val="20"/>
                <w:szCs w:val="20"/>
                <w:color w:val="auto"/>
              </w:rPr>
            </w:pPr>
          </w:p>
        </w:tc>
        <w:tc>
          <w:tcPr>
            <w:tcW w:w="1360" w:type="dxa"/>
            <w:vAlign w:val="bottom"/>
            <w:gridSpan w:val="2"/>
          </w:tcPr>
          <w:p>
            <w:pPr>
              <w:jc w:val="right"/>
              <w:ind w:right="460"/>
              <w:spacing w:after="0"/>
              <w:rPr>
                <w:sz w:val="20"/>
                <w:szCs w:val="20"/>
                <w:color w:val="auto"/>
              </w:rPr>
            </w:pPr>
            <w:r>
              <w:rPr>
                <w:rFonts w:ascii="Arial" w:cs="Arial" w:eastAsia="Arial" w:hAnsi="Arial"/>
                <w:sz w:val="18"/>
                <w:szCs w:val="18"/>
                <w:color w:val="auto"/>
              </w:rPr>
              <w:t>Awards ($)</w:t>
            </w:r>
          </w:p>
        </w:tc>
        <w:tc>
          <w:tcPr>
            <w:tcW w:w="1160" w:type="dxa"/>
            <w:vAlign w:val="bottom"/>
          </w:tcPr>
          <w:p>
            <w:pPr>
              <w:jc w:val="center"/>
              <w:spacing w:after="0"/>
              <w:rPr>
                <w:sz w:val="20"/>
                <w:szCs w:val="20"/>
                <w:color w:val="auto"/>
              </w:rPr>
            </w:pPr>
            <w:r>
              <w:rPr>
                <w:rFonts w:ascii="Arial" w:cs="Arial" w:eastAsia="Arial" w:hAnsi="Arial"/>
                <w:sz w:val="18"/>
                <w:szCs w:val="18"/>
                <w:color w:val="auto"/>
                <w:w w:val="90"/>
              </w:rPr>
              <w:t>($)</w:t>
            </w:r>
          </w:p>
        </w:tc>
        <w:tc>
          <w:tcPr>
            <w:tcW w:w="120" w:type="dxa"/>
            <w:vAlign w:val="bottom"/>
          </w:tcPr>
          <w:p>
            <w:pPr>
              <w:spacing w:after="0"/>
              <w:rPr>
                <w:sz w:val="20"/>
                <w:szCs w:val="20"/>
                <w:color w:val="auto"/>
              </w:rPr>
            </w:pPr>
          </w:p>
        </w:tc>
        <w:tc>
          <w:tcPr>
            <w:tcW w:w="1160" w:type="dxa"/>
            <w:vAlign w:val="bottom"/>
          </w:tcPr>
          <w:p>
            <w:pPr>
              <w:jc w:val="center"/>
              <w:spacing w:after="0"/>
              <w:rPr>
                <w:sz w:val="20"/>
                <w:szCs w:val="20"/>
                <w:color w:val="auto"/>
              </w:rPr>
            </w:pPr>
            <w:r>
              <w:rPr>
                <w:rFonts w:ascii="Arial" w:cs="Arial" w:eastAsia="Arial" w:hAnsi="Arial"/>
                <w:sz w:val="18"/>
                <w:szCs w:val="18"/>
                <w:color w:val="auto"/>
                <w:w w:val="91"/>
              </w:rPr>
              <w:t>Earnings ($)</w:t>
            </w:r>
          </w:p>
        </w:tc>
        <w:tc>
          <w:tcPr>
            <w:tcW w:w="1280" w:type="dxa"/>
            <w:vAlign w:val="bottom"/>
            <w:gridSpan w:val="2"/>
          </w:tcPr>
          <w:p>
            <w:pPr>
              <w:jc w:val="center"/>
              <w:ind w:left="30"/>
              <w:spacing w:after="0"/>
              <w:rPr>
                <w:sz w:val="20"/>
                <w:szCs w:val="20"/>
                <w:color w:val="auto"/>
              </w:rPr>
            </w:pPr>
            <w:r>
              <w:rPr>
                <w:rFonts w:ascii="Arial" w:cs="Arial" w:eastAsia="Arial" w:hAnsi="Arial"/>
                <w:sz w:val="18"/>
                <w:szCs w:val="18"/>
                <w:color w:val="auto"/>
                <w:w w:val="90"/>
              </w:rPr>
              <w:t>($)</w:t>
            </w:r>
          </w:p>
        </w:tc>
        <w:tc>
          <w:tcPr>
            <w:tcW w:w="240" w:type="dxa"/>
            <w:vAlign w:val="bottom"/>
          </w:tcPr>
          <w:p>
            <w:pPr>
              <w:spacing w:after="0"/>
              <w:rPr>
                <w:sz w:val="20"/>
                <w:szCs w:val="20"/>
                <w:color w:val="auto"/>
              </w:rPr>
            </w:pPr>
          </w:p>
        </w:tc>
        <w:tc>
          <w:tcPr>
            <w:tcW w:w="1260" w:type="dxa"/>
            <w:vAlign w:val="bottom"/>
            <w:gridSpan w:val="2"/>
          </w:tcPr>
          <w:p>
            <w:pPr>
              <w:ind w:left="260"/>
              <w:spacing w:after="0"/>
              <w:rPr>
                <w:sz w:val="20"/>
                <w:szCs w:val="20"/>
                <w:color w:val="auto"/>
              </w:rPr>
            </w:pPr>
            <w:r>
              <w:rPr>
                <w:rFonts w:ascii="Arial" w:cs="Arial" w:eastAsia="Arial" w:hAnsi="Arial"/>
                <w:sz w:val="18"/>
                <w:szCs w:val="18"/>
                <w:color w:val="auto"/>
              </w:rPr>
              <w:t>Total ($)</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250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100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100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1000" w:type="dxa"/>
            <w:vAlign w:val="bottom"/>
            <w:shd w:val="clear" w:color="auto" w:fill="000000"/>
          </w:tcPr>
          <w:p>
            <w:pPr>
              <w:spacing w:after="0"/>
              <w:rPr>
                <w:sz w:val="2"/>
                <w:szCs w:val="2"/>
                <w:color w:val="auto"/>
              </w:rPr>
            </w:pPr>
          </w:p>
        </w:tc>
        <w:tc>
          <w:tcPr>
            <w:tcW w:w="360" w:type="dxa"/>
            <w:vAlign w:val="bottom"/>
          </w:tcPr>
          <w:p>
            <w:pPr>
              <w:spacing w:after="0"/>
              <w:rPr>
                <w:sz w:val="2"/>
                <w:szCs w:val="2"/>
                <w:color w:val="auto"/>
              </w:rPr>
            </w:pPr>
          </w:p>
        </w:tc>
        <w:tc>
          <w:tcPr>
            <w:tcW w:w="116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116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1160" w:type="dxa"/>
            <w:vAlign w:val="bottom"/>
            <w:shd w:val="clear" w:color="auto" w:fill="000000"/>
          </w:tcPr>
          <w:p>
            <w:pPr>
              <w:spacing w:after="0"/>
              <w:rPr>
                <w:sz w:val="2"/>
                <w:szCs w:val="2"/>
                <w:color w:val="auto"/>
              </w:rPr>
            </w:pPr>
          </w:p>
        </w:tc>
        <w:tc>
          <w:tcPr>
            <w:tcW w:w="240" w:type="dxa"/>
            <w:vAlign w:val="bottom"/>
          </w:tcPr>
          <w:p>
            <w:pPr>
              <w:spacing w:after="0"/>
              <w:rPr>
                <w:sz w:val="2"/>
                <w:szCs w:val="2"/>
                <w:color w:val="auto"/>
              </w:rPr>
            </w:pPr>
          </w:p>
        </w:tc>
        <w:tc>
          <w:tcPr>
            <w:tcW w:w="114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2500" w:type="dxa"/>
            <w:vAlign w:val="bottom"/>
            <w:shd w:val="clear" w:color="auto" w:fill="EEEEEE"/>
          </w:tcPr>
          <w:p>
            <w:pPr>
              <w:spacing w:after="0"/>
              <w:rPr>
                <w:sz w:val="20"/>
                <w:szCs w:val="20"/>
                <w:color w:val="auto"/>
              </w:rPr>
            </w:pPr>
            <w:r>
              <w:rPr>
                <w:rFonts w:ascii="Arial" w:cs="Arial" w:eastAsia="Arial" w:hAnsi="Arial"/>
                <w:sz w:val="18"/>
                <w:szCs w:val="18"/>
                <w:color w:val="auto"/>
              </w:rPr>
              <w:t>Terry Hamilton</w:t>
            </w:r>
          </w:p>
        </w:tc>
        <w:tc>
          <w:tcPr>
            <w:tcW w:w="100" w:type="dxa"/>
            <w:vAlign w:val="bottom"/>
            <w:shd w:val="clear" w:color="auto" w:fill="EEEEEE"/>
          </w:tcPr>
          <w:p>
            <w:pPr>
              <w:spacing w:after="0"/>
              <w:rPr>
                <w:sz w:val="18"/>
                <w:szCs w:val="18"/>
                <w:color w:val="auto"/>
              </w:rPr>
            </w:pPr>
          </w:p>
        </w:tc>
        <w:tc>
          <w:tcPr>
            <w:tcW w:w="1000" w:type="dxa"/>
            <w:vAlign w:val="bottom"/>
            <w:shd w:val="clear" w:color="auto" w:fill="EEEEEE"/>
          </w:tcPr>
          <w:p>
            <w:pPr>
              <w:jc w:val="right"/>
              <w:spacing w:after="0"/>
              <w:rPr>
                <w:sz w:val="20"/>
                <w:szCs w:val="20"/>
                <w:color w:val="auto"/>
              </w:rPr>
            </w:pPr>
            <w:r>
              <w:rPr>
                <w:rFonts w:ascii="Arial" w:cs="Arial" w:eastAsia="Arial" w:hAnsi="Arial"/>
                <w:sz w:val="18"/>
                <w:szCs w:val="18"/>
                <w:color w:val="auto"/>
              </w:rPr>
              <w:t>0</w:t>
            </w:r>
          </w:p>
        </w:tc>
        <w:tc>
          <w:tcPr>
            <w:tcW w:w="120" w:type="dxa"/>
            <w:vAlign w:val="bottom"/>
            <w:shd w:val="clear" w:color="auto" w:fill="EEEEEE"/>
          </w:tcPr>
          <w:p>
            <w:pPr>
              <w:spacing w:after="0"/>
              <w:rPr>
                <w:sz w:val="18"/>
                <w:szCs w:val="18"/>
                <w:color w:val="auto"/>
              </w:rPr>
            </w:pPr>
          </w:p>
        </w:tc>
        <w:tc>
          <w:tcPr>
            <w:tcW w:w="1000" w:type="dxa"/>
            <w:vAlign w:val="bottom"/>
            <w:shd w:val="clear" w:color="auto" w:fill="EEEEEE"/>
          </w:tcPr>
          <w:p>
            <w:pPr>
              <w:jc w:val="right"/>
              <w:spacing w:after="0"/>
              <w:rPr>
                <w:sz w:val="20"/>
                <w:szCs w:val="20"/>
                <w:color w:val="auto"/>
              </w:rPr>
            </w:pPr>
            <w:r>
              <w:rPr>
                <w:rFonts w:ascii="Arial" w:cs="Arial" w:eastAsia="Arial" w:hAnsi="Arial"/>
                <w:sz w:val="18"/>
                <w:szCs w:val="18"/>
                <w:color w:val="auto"/>
              </w:rPr>
              <w:t>0</w:t>
            </w:r>
          </w:p>
        </w:tc>
        <w:tc>
          <w:tcPr>
            <w:tcW w:w="100" w:type="dxa"/>
            <w:vAlign w:val="bottom"/>
            <w:shd w:val="clear" w:color="auto" w:fill="EEEEEE"/>
          </w:tcPr>
          <w:p>
            <w:pPr>
              <w:spacing w:after="0"/>
              <w:rPr>
                <w:sz w:val="18"/>
                <w:szCs w:val="18"/>
                <w:color w:val="auto"/>
              </w:rPr>
            </w:pPr>
          </w:p>
        </w:tc>
        <w:tc>
          <w:tcPr>
            <w:tcW w:w="1360" w:type="dxa"/>
            <w:vAlign w:val="bottom"/>
            <w:gridSpan w:val="2"/>
            <w:shd w:val="clear" w:color="auto" w:fill="EEEEEE"/>
          </w:tcPr>
          <w:p>
            <w:pPr>
              <w:jc w:val="right"/>
              <w:ind w:right="140"/>
              <w:spacing w:after="0"/>
              <w:rPr>
                <w:sz w:val="20"/>
                <w:szCs w:val="20"/>
                <w:color w:val="auto"/>
              </w:rPr>
            </w:pPr>
            <w:r>
              <w:rPr>
                <w:rFonts w:ascii="Arial" w:cs="Arial" w:eastAsia="Arial" w:hAnsi="Arial"/>
                <w:sz w:val="18"/>
                <w:szCs w:val="18"/>
                <w:color w:val="auto"/>
              </w:rPr>
              <w:t>136,500(1)</w:t>
            </w:r>
          </w:p>
        </w:tc>
        <w:tc>
          <w:tcPr>
            <w:tcW w:w="1160" w:type="dxa"/>
            <w:vAlign w:val="bottom"/>
            <w:shd w:val="clear" w:color="auto" w:fill="EEEEEE"/>
          </w:tcPr>
          <w:p>
            <w:pPr>
              <w:jc w:val="right"/>
              <w:spacing w:after="0"/>
              <w:rPr>
                <w:sz w:val="20"/>
                <w:szCs w:val="20"/>
                <w:color w:val="auto"/>
              </w:rPr>
            </w:pPr>
            <w:r>
              <w:rPr>
                <w:rFonts w:ascii="Arial" w:cs="Arial" w:eastAsia="Arial" w:hAnsi="Arial"/>
                <w:sz w:val="18"/>
                <w:szCs w:val="18"/>
                <w:color w:val="auto"/>
              </w:rPr>
              <w:t>0</w:t>
            </w:r>
          </w:p>
        </w:tc>
        <w:tc>
          <w:tcPr>
            <w:tcW w:w="1280" w:type="dxa"/>
            <w:vAlign w:val="bottom"/>
            <w:gridSpan w:val="2"/>
            <w:shd w:val="clear" w:color="auto" w:fill="EEEEEE"/>
          </w:tcPr>
          <w:p>
            <w:pPr>
              <w:jc w:val="right"/>
              <w:spacing w:after="0"/>
              <w:rPr>
                <w:sz w:val="20"/>
                <w:szCs w:val="20"/>
                <w:color w:val="auto"/>
              </w:rPr>
            </w:pPr>
            <w:r>
              <w:rPr>
                <w:rFonts w:ascii="Arial" w:cs="Arial" w:eastAsia="Arial" w:hAnsi="Arial"/>
                <w:sz w:val="18"/>
                <w:szCs w:val="18"/>
                <w:color w:val="auto"/>
              </w:rPr>
              <w:t>0</w:t>
            </w:r>
          </w:p>
        </w:tc>
        <w:tc>
          <w:tcPr>
            <w:tcW w:w="1280" w:type="dxa"/>
            <w:vAlign w:val="bottom"/>
            <w:gridSpan w:val="2"/>
            <w:shd w:val="clear" w:color="auto" w:fill="EEEEEE"/>
          </w:tcPr>
          <w:p>
            <w:pPr>
              <w:jc w:val="right"/>
              <w:spacing w:after="0"/>
              <w:rPr>
                <w:sz w:val="20"/>
                <w:szCs w:val="20"/>
                <w:color w:val="auto"/>
              </w:rPr>
            </w:pPr>
            <w:r>
              <w:rPr>
                <w:rFonts w:ascii="Arial" w:cs="Arial" w:eastAsia="Arial" w:hAnsi="Arial"/>
                <w:sz w:val="18"/>
                <w:szCs w:val="18"/>
                <w:color w:val="auto"/>
              </w:rPr>
              <w:t>0</w:t>
            </w:r>
          </w:p>
        </w:tc>
        <w:tc>
          <w:tcPr>
            <w:tcW w:w="1380" w:type="dxa"/>
            <w:vAlign w:val="bottom"/>
            <w:gridSpan w:val="2"/>
            <w:shd w:val="clear" w:color="auto" w:fill="EEEEEE"/>
          </w:tcPr>
          <w:p>
            <w:pPr>
              <w:jc w:val="right"/>
              <w:spacing w:after="0"/>
              <w:rPr>
                <w:sz w:val="20"/>
                <w:szCs w:val="20"/>
                <w:color w:val="auto"/>
              </w:rPr>
            </w:pPr>
            <w:r>
              <w:rPr>
                <w:rFonts w:ascii="Arial" w:cs="Arial" w:eastAsia="Arial" w:hAnsi="Arial"/>
                <w:sz w:val="18"/>
                <w:szCs w:val="18"/>
                <w:color w:val="auto"/>
              </w:rPr>
              <w:t>136,500</w:t>
            </w:r>
          </w:p>
        </w:tc>
        <w:tc>
          <w:tcPr>
            <w:tcW w:w="120" w:type="dxa"/>
            <w:vAlign w:val="bottom"/>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2500" w:type="dxa"/>
            <w:vAlign w:val="bottom"/>
          </w:tcPr>
          <w:p>
            <w:pPr>
              <w:spacing w:after="0"/>
              <w:rPr>
                <w:sz w:val="20"/>
                <w:szCs w:val="20"/>
                <w:color w:val="auto"/>
              </w:rPr>
            </w:pPr>
            <w:r>
              <w:rPr>
                <w:rFonts w:ascii="Arial" w:cs="Arial" w:eastAsia="Arial" w:hAnsi="Arial"/>
                <w:sz w:val="18"/>
                <w:szCs w:val="18"/>
                <w:color w:val="auto"/>
              </w:rPr>
              <w:t>Thomas Majerowicz</w:t>
            </w:r>
          </w:p>
        </w:tc>
        <w:tc>
          <w:tcPr>
            <w:tcW w:w="1100" w:type="dxa"/>
            <w:vAlign w:val="bottom"/>
            <w:gridSpan w:val="2"/>
          </w:tcPr>
          <w:p>
            <w:pPr>
              <w:jc w:val="right"/>
              <w:spacing w:after="0"/>
              <w:rPr>
                <w:sz w:val="20"/>
                <w:szCs w:val="20"/>
                <w:color w:val="auto"/>
              </w:rPr>
            </w:pPr>
            <w:r>
              <w:rPr>
                <w:rFonts w:ascii="Arial" w:cs="Arial" w:eastAsia="Arial" w:hAnsi="Arial"/>
                <w:sz w:val="18"/>
                <w:szCs w:val="18"/>
                <w:color w:val="auto"/>
              </w:rPr>
              <w:t>0</w:t>
            </w:r>
          </w:p>
        </w:tc>
        <w:tc>
          <w:tcPr>
            <w:tcW w:w="1120" w:type="dxa"/>
            <w:vAlign w:val="bottom"/>
            <w:gridSpan w:val="2"/>
          </w:tcPr>
          <w:p>
            <w:pPr>
              <w:jc w:val="right"/>
              <w:spacing w:after="0"/>
              <w:rPr>
                <w:sz w:val="20"/>
                <w:szCs w:val="20"/>
                <w:color w:val="auto"/>
              </w:rPr>
            </w:pPr>
            <w:r>
              <w:rPr>
                <w:rFonts w:ascii="Arial" w:cs="Arial" w:eastAsia="Arial" w:hAnsi="Arial"/>
                <w:sz w:val="18"/>
                <w:szCs w:val="18"/>
                <w:color w:val="auto"/>
              </w:rPr>
              <w:t>0</w:t>
            </w:r>
          </w:p>
        </w:tc>
        <w:tc>
          <w:tcPr>
            <w:tcW w:w="1460" w:type="dxa"/>
            <w:vAlign w:val="bottom"/>
            <w:gridSpan w:val="3"/>
          </w:tcPr>
          <w:p>
            <w:pPr>
              <w:jc w:val="right"/>
              <w:ind w:right="140"/>
              <w:spacing w:after="0"/>
              <w:rPr>
                <w:sz w:val="20"/>
                <w:szCs w:val="20"/>
                <w:color w:val="auto"/>
              </w:rPr>
            </w:pPr>
            <w:r>
              <w:rPr>
                <w:rFonts w:ascii="Arial" w:cs="Arial" w:eastAsia="Arial" w:hAnsi="Arial"/>
                <w:sz w:val="18"/>
                <w:szCs w:val="18"/>
                <w:color w:val="auto"/>
              </w:rPr>
              <w:t>18,200(2)</w:t>
            </w:r>
          </w:p>
        </w:tc>
        <w:tc>
          <w:tcPr>
            <w:tcW w:w="1160" w:type="dxa"/>
            <w:vAlign w:val="bottom"/>
          </w:tcPr>
          <w:p>
            <w:pPr>
              <w:jc w:val="right"/>
              <w:spacing w:after="0"/>
              <w:rPr>
                <w:sz w:val="20"/>
                <w:szCs w:val="20"/>
                <w:color w:val="auto"/>
              </w:rPr>
            </w:pPr>
            <w:r>
              <w:rPr>
                <w:rFonts w:ascii="Arial" w:cs="Arial" w:eastAsia="Arial" w:hAnsi="Arial"/>
                <w:sz w:val="18"/>
                <w:szCs w:val="18"/>
                <w:color w:val="auto"/>
              </w:rPr>
              <w:t>0</w:t>
            </w:r>
          </w:p>
        </w:tc>
        <w:tc>
          <w:tcPr>
            <w:tcW w:w="1280" w:type="dxa"/>
            <w:vAlign w:val="bottom"/>
            <w:gridSpan w:val="2"/>
          </w:tcPr>
          <w:p>
            <w:pPr>
              <w:jc w:val="right"/>
              <w:spacing w:after="0"/>
              <w:rPr>
                <w:sz w:val="20"/>
                <w:szCs w:val="20"/>
                <w:color w:val="auto"/>
              </w:rPr>
            </w:pPr>
            <w:r>
              <w:rPr>
                <w:rFonts w:ascii="Arial" w:cs="Arial" w:eastAsia="Arial" w:hAnsi="Arial"/>
                <w:sz w:val="18"/>
                <w:szCs w:val="18"/>
                <w:color w:val="auto"/>
              </w:rPr>
              <w:t>0</w:t>
            </w:r>
          </w:p>
        </w:tc>
        <w:tc>
          <w:tcPr>
            <w:tcW w:w="1280" w:type="dxa"/>
            <w:vAlign w:val="bottom"/>
            <w:gridSpan w:val="2"/>
          </w:tcPr>
          <w:p>
            <w:pPr>
              <w:jc w:val="right"/>
              <w:spacing w:after="0"/>
              <w:rPr>
                <w:sz w:val="20"/>
                <w:szCs w:val="20"/>
                <w:color w:val="auto"/>
              </w:rPr>
            </w:pPr>
            <w:r>
              <w:rPr>
                <w:rFonts w:ascii="Arial" w:cs="Arial" w:eastAsia="Arial" w:hAnsi="Arial"/>
                <w:sz w:val="18"/>
                <w:szCs w:val="18"/>
                <w:color w:val="auto"/>
              </w:rPr>
              <w:t>0</w:t>
            </w:r>
          </w:p>
        </w:tc>
        <w:tc>
          <w:tcPr>
            <w:tcW w:w="1380" w:type="dxa"/>
            <w:vAlign w:val="bottom"/>
            <w:gridSpan w:val="2"/>
          </w:tcPr>
          <w:p>
            <w:pPr>
              <w:jc w:val="right"/>
              <w:spacing w:after="0"/>
              <w:rPr>
                <w:sz w:val="20"/>
                <w:szCs w:val="20"/>
                <w:color w:val="auto"/>
              </w:rPr>
            </w:pPr>
            <w:r>
              <w:rPr>
                <w:rFonts w:ascii="Arial" w:cs="Arial" w:eastAsia="Arial" w:hAnsi="Arial"/>
                <w:sz w:val="18"/>
                <w:szCs w:val="18"/>
                <w:color w:val="auto"/>
              </w:rPr>
              <w:t>18,200</w:t>
            </w:r>
          </w:p>
        </w:tc>
        <w:tc>
          <w:tcPr>
            <w:tcW w:w="120" w:type="dxa"/>
            <w:vAlign w:val="bottom"/>
          </w:tcPr>
          <w:p>
            <w:pPr>
              <w:spacing w:after="0"/>
              <w:rPr>
                <w:sz w:val="20"/>
                <w:szCs w:val="20"/>
                <w:color w:val="auto"/>
              </w:rPr>
            </w:pPr>
          </w:p>
        </w:tc>
        <w:tc>
          <w:tcPr>
            <w:tcW w:w="0" w:type="dxa"/>
            <w:vAlign w:val="bottom"/>
          </w:tcPr>
          <w:p>
            <w:pPr>
              <w:spacing w:after="0"/>
              <w:rPr>
                <w:sz w:val="1"/>
                <w:szCs w:val="1"/>
                <w:color w:val="auto"/>
              </w:rPr>
            </w:pPr>
          </w:p>
        </w:tc>
      </w:tr>
    </w:tbl>
    <w:p>
      <w:pPr>
        <w:spacing w:after="0" w:line="241" w:lineRule="exact"/>
        <w:rPr>
          <w:sz w:val="20"/>
          <w:szCs w:val="20"/>
          <w:color w:val="auto"/>
        </w:rPr>
      </w:pPr>
    </w:p>
    <w:p>
      <w:pPr>
        <w:jc w:val="both"/>
        <w:ind w:left="720" w:right="20" w:hanging="473"/>
        <w:spacing w:after="0" w:line="256" w:lineRule="auto"/>
        <w:tabs>
          <w:tab w:leader="none" w:pos="720" w:val="left"/>
        </w:tabs>
        <w:numPr>
          <w:ilvl w:val="0"/>
          <w:numId w:val="30"/>
        </w:numPr>
        <w:rPr>
          <w:rFonts w:ascii="Arial" w:cs="Arial" w:eastAsia="Arial" w:hAnsi="Arial"/>
          <w:sz w:val="18"/>
          <w:szCs w:val="18"/>
          <w:color w:val="auto"/>
        </w:rPr>
      </w:pPr>
      <w:r>
        <w:rPr>
          <w:rFonts w:ascii="Arial" w:cs="Arial" w:eastAsia="Arial" w:hAnsi="Arial"/>
          <w:sz w:val="18"/>
          <w:szCs w:val="18"/>
          <w:color w:val="auto"/>
        </w:rPr>
        <w:t>Represents 150,000 options to purchase common stock valued at $0.91 per share with an exercise price of $1.00 per share. 150,000 options were outstanding at the end of our fiscal 2008 year. Please see our Management’s Discussion and Analysis for a discussion on the valuation of our common stock.</w:t>
      </w:r>
    </w:p>
    <w:p>
      <w:pPr>
        <w:jc w:val="both"/>
        <w:ind w:left="720" w:right="20" w:hanging="473"/>
        <w:spacing w:after="0" w:line="255" w:lineRule="auto"/>
        <w:tabs>
          <w:tab w:leader="none" w:pos="720" w:val="left"/>
        </w:tabs>
        <w:numPr>
          <w:ilvl w:val="0"/>
          <w:numId w:val="30"/>
        </w:numPr>
        <w:rPr>
          <w:rFonts w:ascii="Arial" w:cs="Arial" w:eastAsia="Arial" w:hAnsi="Arial"/>
          <w:sz w:val="18"/>
          <w:szCs w:val="18"/>
          <w:color w:val="auto"/>
        </w:rPr>
      </w:pPr>
      <w:r>
        <w:rPr>
          <w:rFonts w:ascii="Arial" w:cs="Arial" w:eastAsia="Arial" w:hAnsi="Arial"/>
          <w:sz w:val="18"/>
          <w:szCs w:val="18"/>
          <w:color w:val="auto"/>
        </w:rPr>
        <w:t>Represents 20,000 options to purchase common stock valued at $0.91 per share with an exercise price of $1.00 per share. 20,000 options were outstanding at the end of our fiscal 2008 year. Please see our Management’s Discussion and Analysis for a discussion on the valuation of our common stock.</w:t>
      </w:r>
    </w:p>
    <w:p>
      <w:pPr>
        <w:spacing w:after="0" w:line="24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Employment Agreements</w:t>
      </w:r>
    </w:p>
    <w:p>
      <w:pPr>
        <w:spacing w:after="0" w:line="283" w:lineRule="exact"/>
        <w:rPr>
          <w:sz w:val="20"/>
          <w:szCs w:val="20"/>
          <w:color w:val="auto"/>
        </w:rPr>
      </w:pPr>
    </w:p>
    <w:p>
      <w:pPr>
        <w:spacing w:after="0"/>
        <w:rPr>
          <w:sz w:val="20"/>
          <w:szCs w:val="20"/>
          <w:color w:val="auto"/>
        </w:rPr>
      </w:pPr>
      <w:r>
        <w:rPr>
          <w:rFonts w:ascii="Arial" w:cs="Arial" w:eastAsia="Arial" w:hAnsi="Arial"/>
          <w:sz w:val="18"/>
          <w:szCs w:val="18"/>
          <w:color w:val="auto"/>
        </w:rPr>
        <w:t>The Company currently has no employment agreements with its executive officers.</w:t>
      </w:r>
    </w:p>
    <w:p>
      <w:pPr>
        <w:spacing w:after="0" w:line="200" w:lineRule="exact"/>
        <w:rPr>
          <w:sz w:val="20"/>
          <w:szCs w:val="20"/>
          <w:color w:val="auto"/>
        </w:rPr>
      </w:pPr>
    </w:p>
    <w:p>
      <w:pPr>
        <w:spacing w:after="0" w:line="32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246620" cy="889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607" w:right="239" w:bottom="1440" w:gutter="0" w:footer="0" w:header="0"/>
        </w:sectPr>
      </w:pPr>
    </w:p>
    <w:bookmarkStart w:id="35" w:name="page36"/>
    <w:bookmarkEnd w:id="35"/>
    <w:tbl>
      <w:tblPr>
        <w:tblLayout w:type="fixed"/>
        <w:tblInd w:w="0" w:type="dxa"/>
        <w:tblCellMar>
          <w:top w:w="0" w:type="dxa"/>
          <w:left w:w="0" w:type="dxa"/>
          <w:bottom w:w="0" w:type="dxa"/>
          <w:right w:w="0" w:type="dxa"/>
        </w:tblCellMar>
      </w:tblPr>
      <w:tr>
        <w:trPr>
          <w:trHeight w:val="234"/>
        </w:trPr>
        <w:tc>
          <w:tcPr>
            <w:tcW w:w="20" w:type="dxa"/>
            <w:vAlign w:val="bottom"/>
          </w:tcPr>
          <w:p>
            <w:pPr>
              <w:spacing w:after="0"/>
              <w:rPr>
                <w:sz w:val="20"/>
                <w:szCs w:val="20"/>
                <w:color w:val="auto"/>
              </w:rPr>
            </w:pPr>
          </w:p>
        </w:tc>
        <w:tc>
          <w:tcPr>
            <w:tcW w:w="19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5280" w:type="dxa"/>
            <w:vAlign w:val="bottom"/>
            <w:gridSpan w:val="9"/>
          </w:tcPr>
          <w:p>
            <w:pPr>
              <w:ind w:left="160"/>
              <w:spacing w:after="0"/>
              <w:rPr>
                <w:sz w:val="20"/>
                <w:szCs w:val="20"/>
                <w:color w:val="auto"/>
              </w:rPr>
            </w:pPr>
            <w:r>
              <w:rPr>
                <w:rFonts w:ascii="Arial" w:cs="Arial" w:eastAsia="Arial" w:hAnsi="Arial"/>
                <w:sz w:val="18"/>
                <w:szCs w:val="18"/>
                <w:b w:val="1"/>
                <w:bCs w:val="1"/>
                <w:color w:val="auto"/>
              </w:rPr>
              <w:t>OUTSTANDING EQUITY AWARDS AT FISCAL YEAR-END</w:t>
            </w:r>
          </w:p>
        </w:tc>
        <w:tc>
          <w:tcPr>
            <w:tcW w:w="12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86"/>
        </w:trPr>
        <w:tc>
          <w:tcPr>
            <w:tcW w:w="20" w:type="dxa"/>
            <w:vAlign w:val="bottom"/>
          </w:tcPr>
          <w:p>
            <w:pPr>
              <w:spacing w:after="0"/>
              <w:rPr>
                <w:sz w:val="24"/>
                <w:szCs w:val="24"/>
                <w:color w:val="auto"/>
              </w:rPr>
            </w:pPr>
          </w:p>
        </w:tc>
        <w:tc>
          <w:tcPr>
            <w:tcW w:w="19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20" w:type="dxa"/>
            <w:vAlign w:val="bottom"/>
            <w:gridSpan w:val="2"/>
          </w:tcPr>
          <w:p>
            <w:pPr>
              <w:ind w:left="40"/>
              <w:spacing w:after="0"/>
              <w:rPr>
                <w:sz w:val="20"/>
                <w:szCs w:val="20"/>
                <w:color w:val="auto"/>
              </w:rPr>
            </w:pPr>
            <w:r>
              <w:rPr>
                <w:rFonts w:ascii="Arial" w:cs="Arial" w:eastAsia="Arial" w:hAnsi="Arial"/>
                <w:sz w:val="18"/>
                <w:szCs w:val="18"/>
                <w:color w:val="auto"/>
                <w:w w:val="98"/>
              </w:rPr>
              <w:t>Option Awards</w:t>
            </w:r>
          </w:p>
        </w:tc>
        <w:tc>
          <w:tcPr>
            <w:tcW w:w="9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800" w:type="dxa"/>
            <w:vAlign w:val="bottom"/>
            <w:gridSpan w:val="3"/>
          </w:tcPr>
          <w:p>
            <w:pPr>
              <w:ind w:left="480"/>
              <w:spacing w:after="0"/>
              <w:rPr>
                <w:sz w:val="20"/>
                <w:szCs w:val="20"/>
                <w:color w:val="auto"/>
              </w:rPr>
            </w:pPr>
            <w:r>
              <w:rPr>
                <w:rFonts w:ascii="Arial" w:cs="Arial" w:eastAsia="Arial" w:hAnsi="Arial"/>
                <w:sz w:val="18"/>
                <w:szCs w:val="18"/>
                <w:color w:val="auto"/>
              </w:rPr>
              <w:t>Stock Awards</w:t>
            </w:r>
          </w:p>
        </w:tc>
        <w:tc>
          <w:tcPr>
            <w:tcW w:w="100" w:type="dxa"/>
            <w:vAlign w:val="bottom"/>
          </w:tcPr>
          <w:p>
            <w:pPr>
              <w:spacing w:after="0"/>
              <w:rPr>
                <w:sz w:val="24"/>
                <w:szCs w:val="24"/>
                <w:color w:val="auto"/>
              </w:rPr>
            </w:pPr>
          </w:p>
        </w:tc>
        <w:tc>
          <w:tcPr>
            <w:tcW w:w="1000" w:type="dxa"/>
            <w:vAlign w:val="bottom"/>
            <w:vMerge w:val="restart"/>
          </w:tcPr>
          <w:p>
            <w:pPr>
              <w:jc w:val="center"/>
              <w:spacing w:after="0"/>
              <w:rPr>
                <w:sz w:val="20"/>
                <w:szCs w:val="20"/>
                <w:color w:val="auto"/>
              </w:rPr>
            </w:pPr>
            <w:r>
              <w:rPr>
                <w:rFonts w:ascii="Arial" w:cs="Arial" w:eastAsia="Arial" w:hAnsi="Arial"/>
                <w:sz w:val="18"/>
                <w:szCs w:val="18"/>
                <w:color w:val="auto"/>
                <w:w w:val="95"/>
              </w:rPr>
              <w:t>Equity</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19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9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80" w:type="dxa"/>
            <w:vAlign w:val="bottom"/>
          </w:tcPr>
          <w:p>
            <w:pPr>
              <w:jc w:val="center"/>
              <w:spacing w:after="0"/>
              <w:rPr>
                <w:sz w:val="20"/>
                <w:szCs w:val="20"/>
                <w:color w:val="auto"/>
              </w:rPr>
            </w:pPr>
            <w:r>
              <w:rPr>
                <w:rFonts w:ascii="Arial" w:cs="Arial" w:eastAsia="Arial" w:hAnsi="Arial"/>
                <w:sz w:val="18"/>
                <w:szCs w:val="18"/>
                <w:color w:val="auto"/>
                <w:w w:val="95"/>
              </w:rPr>
              <w:t>Equity</w:t>
            </w:r>
          </w:p>
        </w:tc>
        <w:tc>
          <w:tcPr>
            <w:tcW w:w="100" w:type="dxa"/>
            <w:vAlign w:val="bottom"/>
          </w:tcPr>
          <w:p>
            <w:pPr>
              <w:spacing w:after="0"/>
              <w:rPr>
                <w:sz w:val="18"/>
                <w:szCs w:val="18"/>
                <w:color w:val="auto"/>
              </w:rPr>
            </w:pPr>
          </w:p>
        </w:tc>
        <w:tc>
          <w:tcPr>
            <w:tcW w:w="1000" w:type="dxa"/>
            <w:vAlign w:val="bottom"/>
          </w:tcPr>
          <w:p>
            <w:pPr>
              <w:jc w:val="center"/>
              <w:spacing w:after="0"/>
              <w:rPr>
                <w:sz w:val="20"/>
                <w:szCs w:val="20"/>
                <w:color w:val="auto"/>
              </w:rPr>
            </w:pPr>
            <w:r>
              <w:rPr>
                <w:rFonts w:ascii="Arial" w:cs="Arial" w:eastAsia="Arial" w:hAnsi="Arial"/>
                <w:sz w:val="18"/>
                <w:szCs w:val="18"/>
                <w:color w:val="auto"/>
                <w:w w:val="91"/>
              </w:rPr>
              <w:t>Incentive</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9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80" w:type="dxa"/>
            <w:vAlign w:val="bottom"/>
          </w:tcPr>
          <w:p>
            <w:pPr>
              <w:jc w:val="center"/>
              <w:spacing w:after="0"/>
              <w:rPr>
                <w:sz w:val="20"/>
                <w:szCs w:val="20"/>
                <w:color w:val="auto"/>
              </w:rPr>
            </w:pPr>
            <w:r>
              <w:rPr>
                <w:rFonts w:ascii="Arial" w:cs="Arial" w:eastAsia="Arial" w:hAnsi="Arial"/>
                <w:sz w:val="18"/>
                <w:szCs w:val="18"/>
                <w:color w:val="auto"/>
                <w:w w:val="95"/>
              </w:rPr>
              <w:t>Equity</w:t>
            </w:r>
          </w:p>
        </w:tc>
        <w:tc>
          <w:tcPr>
            <w:tcW w:w="10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80" w:type="dxa"/>
            <w:vAlign w:val="bottom"/>
          </w:tcPr>
          <w:p>
            <w:pPr>
              <w:jc w:val="center"/>
              <w:spacing w:after="0"/>
              <w:rPr>
                <w:sz w:val="20"/>
                <w:szCs w:val="20"/>
                <w:color w:val="auto"/>
              </w:rPr>
            </w:pPr>
            <w:r>
              <w:rPr>
                <w:rFonts w:ascii="Arial" w:cs="Arial" w:eastAsia="Arial" w:hAnsi="Arial"/>
                <w:sz w:val="18"/>
                <w:szCs w:val="18"/>
                <w:color w:val="auto"/>
                <w:w w:val="94"/>
              </w:rPr>
              <w:t>Incentive</w:t>
            </w:r>
          </w:p>
        </w:tc>
        <w:tc>
          <w:tcPr>
            <w:tcW w:w="100" w:type="dxa"/>
            <w:vAlign w:val="bottom"/>
          </w:tcPr>
          <w:p>
            <w:pPr>
              <w:spacing w:after="0"/>
              <w:rPr>
                <w:sz w:val="18"/>
                <w:szCs w:val="18"/>
                <w:color w:val="auto"/>
              </w:rPr>
            </w:pPr>
          </w:p>
        </w:tc>
        <w:tc>
          <w:tcPr>
            <w:tcW w:w="1000" w:type="dxa"/>
            <w:vAlign w:val="bottom"/>
          </w:tcPr>
          <w:p>
            <w:pPr>
              <w:jc w:val="center"/>
              <w:spacing w:after="0"/>
              <w:rPr>
                <w:sz w:val="20"/>
                <w:szCs w:val="20"/>
                <w:color w:val="auto"/>
              </w:rPr>
            </w:pPr>
            <w:r>
              <w:rPr>
                <w:rFonts w:ascii="Arial" w:cs="Arial" w:eastAsia="Arial" w:hAnsi="Arial"/>
                <w:sz w:val="18"/>
                <w:szCs w:val="18"/>
                <w:color w:val="auto"/>
                <w:w w:val="90"/>
              </w:rPr>
              <w:t>Plan Awards:</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9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80" w:type="dxa"/>
            <w:vAlign w:val="bottom"/>
          </w:tcPr>
          <w:p>
            <w:pPr>
              <w:jc w:val="center"/>
              <w:spacing w:after="0"/>
              <w:rPr>
                <w:sz w:val="20"/>
                <w:szCs w:val="20"/>
                <w:color w:val="auto"/>
              </w:rPr>
            </w:pPr>
            <w:r>
              <w:rPr>
                <w:rFonts w:ascii="Arial" w:cs="Arial" w:eastAsia="Arial" w:hAnsi="Arial"/>
                <w:sz w:val="18"/>
                <w:szCs w:val="18"/>
                <w:color w:val="auto"/>
                <w:w w:val="94"/>
              </w:rPr>
              <w:t>Incentive</w:t>
            </w:r>
          </w:p>
        </w:tc>
        <w:tc>
          <w:tcPr>
            <w:tcW w:w="10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80" w:type="dxa"/>
            <w:vAlign w:val="bottom"/>
          </w:tcPr>
          <w:p>
            <w:pPr>
              <w:jc w:val="center"/>
              <w:spacing w:after="0"/>
              <w:rPr>
                <w:sz w:val="20"/>
                <w:szCs w:val="20"/>
                <w:color w:val="auto"/>
              </w:rPr>
            </w:pPr>
            <w:r>
              <w:rPr>
                <w:rFonts w:ascii="Arial" w:cs="Arial" w:eastAsia="Arial" w:hAnsi="Arial"/>
                <w:sz w:val="18"/>
                <w:szCs w:val="18"/>
                <w:color w:val="auto"/>
                <w:w w:val="88"/>
              </w:rPr>
              <w:t>Plan</w:t>
            </w:r>
          </w:p>
        </w:tc>
        <w:tc>
          <w:tcPr>
            <w:tcW w:w="100" w:type="dxa"/>
            <w:vAlign w:val="bottom"/>
          </w:tcPr>
          <w:p>
            <w:pPr>
              <w:spacing w:after="0"/>
              <w:rPr>
                <w:sz w:val="18"/>
                <w:szCs w:val="18"/>
                <w:color w:val="auto"/>
              </w:rPr>
            </w:pPr>
          </w:p>
        </w:tc>
        <w:tc>
          <w:tcPr>
            <w:tcW w:w="1000" w:type="dxa"/>
            <w:vAlign w:val="bottom"/>
          </w:tcPr>
          <w:p>
            <w:pPr>
              <w:jc w:val="center"/>
              <w:spacing w:after="0"/>
              <w:rPr>
                <w:sz w:val="20"/>
                <w:szCs w:val="20"/>
                <w:color w:val="auto"/>
              </w:rPr>
            </w:pPr>
            <w:r>
              <w:rPr>
                <w:rFonts w:ascii="Arial" w:cs="Arial" w:eastAsia="Arial" w:hAnsi="Arial"/>
                <w:sz w:val="18"/>
                <w:szCs w:val="18"/>
                <w:color w:val="auto"/>
                <w:w w:val="94"/>
              </w:rPr>
              <w:t>Market or</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9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80" w:type="dxa"/>
            <w:vAlign w:val="bottom"/>
          </w:tcPr>
          <w:p>
            <w:pPr>
              <w:jc w:val="center"/>
              <w:spacing w:after="0"/>
              <w:rPr>
                <w:sz w:val="20"/>
                <w:szCs w:val="20"/>
                <w:color w:val="auto"/>
              </w:rPr>
            </w:pPr>
            <w:r>
              <w:rPr>
                <w:rFonts w:ascii="Arial" w:cs="Arial" w:eastAsia="Arial" w:hAnsi="Arial"/>
                <w:sz w:val="18"/>
                <w:szCs w:val="18"/>
                <w:color w:val="auto"/>
                <w:w w:val="88"/>
              </w:rPr>
              <w:t>Plan</w:t>
            </w:r>
          </w:p>
        </w:tc>
        <w:tc>
          <w:tcPr>
            <w:tcW w:w="10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80" w:type="dxa"/>
            <w:vAlign w:val="bottom"/>
          </w:tcPr>
          <w:p>
            <w:pPr>
              <w:jc w:val="center"/>
              <w:spacing w:after="0"/>
              <w:rPr>
                <w:sz w:val="20"/>
                <w:szCs w:val="20"/>
                <w:color w:val="auto"/>
              </w:rPr>
            </w:pPr>
            <w:r>
              <w:rPr>
                <w:rFonts w:ascii="Arial" w:cs="Arial" w:eastAsia="Arial" w:hAnsi="Arial"/>
                <w:sz w:val="18"/>
                <w:szCs w:val="18"/>
                <w:color w:val="auto"/>
                <w:w w:val="92"/>
              </w:rPr>
              <w:t>Awards:</w:t>
            </w:r>
          </w:p>
        </w:tc>
        <w:tc>
          <w:tcPr>
            <w:tcW w:w="100" w:type="dxa"/>
            <w:vAlign w:val="bottom"/>
          </w:tcPr>
          <w:p>
            <w:pPr>
              <w:spacing w:after="0"/>
              <w:rPr>
                <w:sz w:val="18"/>
                <w:szCs w:val="18"/>
                <w:color w:val="auto"/>
              </w:rPr>
            </w:pPr>
          </w:p>
        </w:tc>
        <w:tc>
          <w:tcPr>
            <w:tcW w:w="1000" w:type="dxa"/>
            <w:vAlign w:val="bottom"/>
          </w:tcPr>
          <w:p>
            <w:pPr>
              <w:jc w:val="center"/>
              <w:spacing w:after="0"/>
              <w:rPr>
                <w:sz w:val="20"/>
                <w:szCs w:val="20"/>
                <w:color w:val="auto"/>
              </w:rPr>
            </w:pPr>
            <w:r>
              <w:rPr>
                <w:rFonts w:ascii="Arial" w:cs="Arial" w:eastAsia="Arial" w:hAnsi="Arial"/>
                <w:sz w:val="18"/>
                <w:szCs w:val="18"/>
                <w:color w:val="auto"/>
                <w:w w:val="89"/>
              </w:rPr>
              <w:t>Payout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9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80" w:type="dxa"/>
            <w:vAlign w:val="bottom"/>
          </w:tcPr>
          <w:p>
            <w:pPr>
              <w:jc w:val="center"/>
              <w:spacing w:after="0"/>
              <w:rPr>
                <w:sz w:val="20"/>
                <w:szCs w:val="20"/>
                <w:color w:val="auto"/>
              </w:rPr>
            </w:pPr>
            <w:r>
              <w:rPr>
                <w:rFonts w:ascii="Arial" w:cs="Arial" w:eastAsia="Arial" w:hAnsi="Arial"/>
                <w:sz w:val="18"/>
                <w:szCs w:val="18"/>
                <w:color w:val="auto"/>
                <w:w w:val="92"/>
              </w:rPr>
              <w:t>Awards:</w:t>
            </w:r>
          </w:p>
        </w:tc>
        <w:tc>
          <w:tcPr>
            <w:tcW w:w="10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20" w:type="dxa"/>
            <w:vAlign w:val="bottom"/>
          </w:tcPr>
          <w:p>
            <w:pPr>
              <w:jc w:val="center"/>
              <w:spacing w:after="0"/>
              <w:rPr>
                <w:sz w:val="20"/>
                <w:szCs w:val="20"/>
                <w:color w:val="auto"/>
              </w:rPr>
            </w:pPr>
            <w:r>
              <w:rPr>
                <w:rFonts w:ascii="Arial" w:cs="Arial" w:eastAsia="Arial" w:hAnsi="Arial"/>
                <w:sz w:val="18"/>
                <w:szCs w:val="18"/>
                <w:color w:val="auto"/>
                <w:w w:val="94"/>
              </w:rPr>
              <w:t>Market</w:t>
            </w:r>
          </w:p>
        </w:tc>
        <w:tc>
          <w:tcPr>
            <w:tcW w:w="100" w:type="dxa"/>
            <w:vAlign w:val="bottom"/>
          </w:tcPr>
          <w:p>
            <w:pPr>
              <w:spacing w:after="0"/>
              <w:rPr>
                <w:sz w:val="18"/>
                <w:szCs w:val="18"/>
                <w:color w:val="auto"/>
              </w:rPr>
            </w:pPr>
          </w:p>
        </w:tc>
        <w:tc>
          <w:tcPr>
            <w:tcW w:w="980" w:type="dxa"/>
            <w:vAlign w:val="bottom"/>
          </w:tcPr>
          <w:p>
            <w:pPr>
              <w:jc w:val="center"/>
              <w:spacing w:after="0"/>
              <w:rPr>
                <w:sz w:val="20"/>
                <w:szCs w:val="20"/>
                <w:color w:val="auto"/>
              </w:rPr>
            </w:pPr>
            <w:r>
              <w:rPr>
                <w:rFonts w:ascii="Arial" w:cs="Arial" w:eastAsia="Arial" w:hAnsi="Arial"/>
                <w:sz w:val="18"/>
                <w:szCs w:val="18"/>
                <w:color w:val="auto"/>
                <w:w w:val="95"/>
              </w:rPr>
              <w:t>Number of</w:t>
            </w:r>
          </w:p>
        </w:tc>
        <w:tc>
          <w:tcPr>
            <w:tcW w:w="100" w:type="dxa"/>
            <w:vAlign w:val="bottom"/>
          </w:tcPr>
          <w:p>
            <w:pPr>
              <w:spacing w:after="0"/>
              <w:rPr>
                <w:sz w:val="18"/>
                <w:szCs w:val="18"/>
                <w:color w:val="auto"/>
              </w:rPr>
            </w:pPr>
          </w:p>
        </w:tc>
        <w:tc>
          <w:tcPr>
            <w:tcW w:w="1000" w:type="dxa"/>
            <w:vAlign w:val="bottom"/>
          </w:tcPr>
          <w:p>
            <w:pPr>
              <w:jc w:val="center"/>
              <w:spacing w:after="0"/>
              <w:rPr>
                <w:sz w:val="20"/>
                <w:szCs w:val="20"/>
                <w:color w:val="auto"/>
              </w:rPr>
            </w:pPr>
            <w:r>
              <w:rPr>
                <w:rFonts w:ascii="Arial" w:cs="Arial" w:eastAsia="Arial" w:hAnsi="Arial"/>
                <w:sz w:val="18"/>
                <w:szCs w:val="18"/>
                <w:color w:val="auto"/>
                <w:w w:val="90"/>
              </w:rPr>
              <w:t>Value of</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9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20" w:type="dxa"/>
            <w:vAlign w:val="bottom"/>
            <w:gridSpan w:val="2"/>
          </w:tcPr>
          <w:p>
            <w:pPr>
              <w:jc w:val="center"/>
              <w:ind w:right="120"/>
              <w:spacing w:after="0"/>
              <w:rPr>
                <w:sz w:val="20"/>
                <w:szCs w:val="20"/>
                <w:color w:val="auto"/>
              </w:rPr>
            </w:pPr>
            <w:r>
              <w:rPr>
                <w:rFonts w:ascii="Arial" w:cs="Arial" w:eastAsia="Arial" w:hAnsi="Arial"/>
                <w:sz w:val="18"/>
                <w:szCs w:val="18"/>
                <w:color w:val="auto"/>
                <w:w w:val="90"/>
              </w:rPr>
              <w:t>Number</w:t>
            </w:r>
          </w:p>
        </w:tc>
        <w:tc>
          <w:tcPr>
            <w:tcW w:w="980" w:type="dxa"/>
            <w:vAlign w:val="bottom"/>
          </w:tcPr>
          <w:p>
            <w:pPr>
              <w:jc w:val="center"/>
              <w:spacing w:after="0"/>
              <w:rPr>
                <w:sz w:val="20"/>
                <w:szCs w:val="20"/>
                <w:color w:val="auto"/>
              </w:rPr>
            </w:pPr>
            <w:r>
              <w:rPr>
                <w:rFonts w:ascii="Arial" w:cs="Arial" w:eastAsia="Arial" w:hAnsi="Arial"/>
                <w:sz w:val="18"/>
                <w:szCs w:val="18"/>
                <w:color w:val="auto"/>
                <w:w w:val="92"/>
              </w:rPr>
              <w:t>Number of</w:t>
            </w:r>
          </w:p>
        </w:tc>
        <w:tc>
          <w:tcPr>
            <w:tcW w:w="10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00" w:type="dxa"/>
            <w:vAlign w:val="bottom"/>
          </w:tcPr>
          <w:p>
            <w:pPr>
              <w:jc w:val="center"/>
              <w:spacing w:after="0"/>
              <w:rPr>
                <w:sz w:val="20"/>
                <w:szCs w:val="20"/>
                <w:color w:val="auto"/>
              </w:rPr>
            </w:pPr>
            <w:r>
              <w:rPr>
                <w:rFonts w:ascii="Arial" w:cs="Arial" w:eastAsia="Arial" w:hAnsi="Arial"/>
                <w:sz w:val="18"/>
                <w:szCs w:val="18"/>
                <w:color w:val="auto"/>
                <w:w w:val="93"/>
              </w:rPr>
              <w:t>Number</w:t>
            </w:r>
          </w:p>
        </w:tc>
        <w:tc>
          <w:tcPr>
            <w:tcW w:w="120" w:type="dxa"/>
            <w:vAlign w:val="bottom"/>
          </w:tcPr>
          <w:p>
            <w:pPr>
              <w:spacing w:after="0"/>
              <w:rPr>
                <w:sz w:val="18"/>
                <w:szCs w:val="18"/>
                <w:color w:val="auto"/>
              </w:rPr>
            </w:pPr>
          </w:p>
        </w:tc>
        <w:tc>
          <w:tcPr>
            <w:tcW w:w="720" w:type="dxa"/>
            <w:vAlign w:val="bottom"/>
          </w:tcPr>
          <w:p>
            <w:pPr>
              <w:jc w:val="center"/>
              <w:spacing w:after="0"/>
              <w:rPr>
                <w:sz w:val="20"/>
                <w:szCs w:val="20"/>
                <w:color w:val="auto"/>
              </w:rPr>
            </w:pPr>
            <w:r>
              <w:rPr>
                <w:rFonts w:ascii="Arial" w:cs="Arial" w:eastAsia="Arial" w:hAnsi="Arial"/>
                <w:sz w:val="18"/>
                <w:szCs w:val="18"/>
                <w:color w:val="auto"/>
                <w:w w:val="90"/>
              </w:rPr>
              <w:t>Value of</w:t>
            </w:r>
          </w:p>
        </w:tc>
        <w:tc>
          <w:tcPr>
            <w:tcW w:w="100" w:type="dxa"/>
            <w:vAlign w:val="bottom"/>
          </w:tcPr>
          <w:p>
            <w:pPr>
              <w:spacing w:after="0"/>
              <w:rPr>
                <w:sz w:val="18"/>
                <w:szCs w:val="18"/>
                <w:color w:val="auto"/>
              </w:rPr>
            </w:pPr>
          </w:p>
        </w:tc>
        <w:tc>
          <w:tcPr>
            <w:tcW w:w="980" w:type="dxa"/>
            <w:vAlign w:val="bottom"/>
          </w:tcPr>
          <w:p>
            <w:pPr>
              <w:jc w:val="center"/>
              <w:spacing w:after="0"/>
              <w:rPr>
                <w:sz w:val="20"/>
                <w:szCs w:val="20"/>
                <w:color w:val="auto"/>
              </w:rPr>
            </w:pPr>
            <w:r>
              <w:rPr>
                <w:rFonts w:ascii="Arial" w:cs="Arial" w:eastAsia="Arial" w:hAnsi="Arial"/>
                <w:sz w:val="18"/>
                <w:szCs w:val="18"/>
                <w:color w:val="auto"/>
                <w:w w:val="88"/>
              </w:rPr>
              <w:t>Unearned</w:t>
            </w:r>
          </w:p>
        </w:tc>
        <w:tc>
          <w:tcPr>
            <w:tcW w:w="100" w:type="dxa"/>
            <w:vAlign w:val="bottom"/>
          </w:tcPr>
          <w:p>
            <w:pPr>
              <w:spacing w:after="0"/>
              <w:rPr>
                <w:sz w:val="18"/>
                <w:szCs w:val="18"/>
                <w:color w:val="auto"/>
              </w:rPr>
            </w:pPr>
          </w:p>
        </w:tc>
        <w:tc>
          <w:tcPr>
            <w:tcW w:w="1000" w:type="dxa"/>
            <w:vAlign w:val="bottom"/>
          </w:tcPr>
          <w:p>
            <w:pPr>
              <w:jc w:val="center"/>
              <w:spacing w:after="0"/>
              <w:rPr>
                <w:sz w:val="20"/>
                <w:szCs w:val="20"/>
                <w:color w:val="auto"/>
              </w:rPr>
            </w:pPr>
            <w:r>
              <w:rPr>
                <w:rFonts w:ascii="Arial" w:cs="Arial" w:eastAsia="Arial" w:hAnsi="Arial"/>
                <w:sz w:val="18"/>
                <w:szCs w:val="18"/>
                <w:color w:val="auto"/>
                <w:w w:val="88"/>
              </w:rPr>
              <w:t>Unearned</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9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80" w:type="dxa"/>
            <w:vAlign w:val="bottom"/>
          </w:tcPr>
          <w:p>
            <w:pPr>
              <w:jc w:val="center"/>
              <w:spacing w:after="0"/>
              <w:rPr>
                <w:sz w:val="20"/>
                <w:szCs w:val="20"/>
                <w:color w:val="auto"/>
              </w:rPr>
            </w:pPr>
            <w:r>
              <w:rPr>
                <w:rFonts w:ascii="Arial" w:cs="Arial" w:eastAsia="Arial" w:hAnsi="Arial"/>
                <w:sz w:val="18"/>
                <w:szCs w:val="18"/>
                <w:color w:val="auto"/>
                <w:w w:val="92"/>
              </w:rPr>
              <w:t>Number of</w:t>
            </w:r>
          </w:p>
        </w:tc>
        <w:tc>
          <w:tcPr>
            <w:tcW w:w="100" w:type="dxa"/>
            <w:vAlign w:val="bottom"/>
          </w:tcPr>
          <w:p>
            <w:pPr>
              <w:spacing w:after="0"/>
              <w:rPr>
                <w:sz w:val="18"/>
                <w:szCs w:val="18"/>
                <w:color w:val="auto"/>
              </w:rPr>
            </w:pPr>
          </w:p>
        </w:tc>
        <w:tc>
          <w:tcPr>
            <w:tcW w:w="1220" w:type="dxa"/>
            <w:vAlign w:val="bottom"/>
            <w:gridSpan w:val="2"/>
          </w:tcPr>
          <w:p>
            <w:pPr>
              <w:jc w:val="center"/>
              <w:ind w:right="120"/>
              <w:spacing w:after="0"/>
              <w:rPr>
                <w:sz w:val="20"/>
                <w:szCs w:val="20"/>
                <w:color w:val="auto"/>
              </w:rPr>
            </w:pPr>
            <w:r>
              <w:rPr>
                <w:rFonts w:ascii="Arial" w:cs="Arial" w:eastAsia="Arial" w:hAnsi="Arial"/>
                <w:sz w:val="18"/>
                <w:szCs w:val="18"/>
                <w:color w:val="auto"/>
                <w:w w:val="92"/>
              </w:rPr>
              <w:t>of</w:t>
            </w:r>
          </w:p>
        </w:tc>
        <w:tc>
          <w:tcPr>
            <w:tcW w:w="980" w:type="dxa"/>
            <w:vAlign w:val="bottom"/>
          </w:tcPr>
          <w:p>
            <w:pPr>
              <w:jc w:val="center"/>
              <w:spacing w:after="0"/>
              <w:rPr>
                <w:sz w:val="20"/>
                <w:szCs w:val="20"/>
                <w:color w:val="auto"/>
              </w:rPr>
            </w:pPr>
            <w:r>
              <w:rPr>
                <w:rFonts w:ascii="Arial" w:cs="Arial" w:eastAsia="Arial" w:hAnsi="Arial"/>
                <w:sz w:val="18"/>
                <w:szCs w:val="18"/>
                <w:color w:val="auto"/>
                <w:w w:val="91"/>
              </w:rPr>
              <w:t>Securities</w:t>
            </w:r>
          </w:p>
        </w:tc>
        <w:tc>
          <w:tcPr>
            <w:tcW w:w="10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00" w:type="dxa"/>
            <w:vAlign w:val="bottom"/>
          </w:tcPr>
          <w:p>
            <w:pPr>
              <w:jc w:val="center"/>
              <w:spacing w:after="0"/>
              <w:rPr>
                <w:sz w:val="20"/>
                <w:szCs w:val="20"/>
                <w:color w:val="auto"/>
              </w:rPr>
            </w:pPr>
            <w:r>
              <w:rPr>
                <w:rFonts w:ascii="Arial" w:cs="Arial" w:eastAsia="Arial" w:hAnsi="Arial"/>
                <w:sz w:val="18"/>
                <w:szCs w:val="18"/>
                <w:color w:val="auto"/>
                <w:w w:val="88"/>
              </w:rPr>
              <w:t>of Shares</w:t>
            </w:r>
          </w:p>
        </w:tc>
        <w:tc>
          <w:tcPr>
            <w:tcW w:w="120" w:type="dxa"/>
            <w:vAlign w:val="bottom"/>
          </w:tcPr>
          <w:p>
            <w:pPr>
              <w:spacing w:after="0"/>
              <w:rPr>
                <w:sz w:val="18"/>
                <w:szCs w:val="18"/>
                <w:color w:val="auto"/>
              </w:rPr>
            </w:pPr>
          </w:p>
        </w:tc>
        <w:tc>
          <w:tcPr>
            <w:tcW w:w="720" w:type="dxa"/>
            <w:vAlign w:val="bottom"/>
          </w:tcPr>
          <w:p>
            <w:pPr>
              <w:jc w:val="center"/>
              <w:spacing w:after="0"/>
              <w:rPr>
                <w:sz w:val="20"/>
                <w:szCs w:val="20"/>
                <w:color w:val="auto"/>
              </w:rPr>
            </w:pPr>
            <w:r>
              <w:rPr>
                <w:rFonts w:ascii="Arial" w:cs="Arial" w:eastAsia="Arial" w:hAnsi="Arial"/>
                <w:sz w:val="18"/>
                <w:szCs w:val="18"/>
                <w:color w:val="auto"/>
                <w:w w:val="87"/>
              </w:rPr>
              <w:t>Shares or</w:t>
            </w:r>
          </w:p>
        </w:tc>
        <w:tc>
          <w:tcPr>
            <w:tcW w:w="100" w:type="dxa"/>
            <w:vAlign w:val="bottom"/>
          </w:tcPr>
          <w:p>
            <w:pPr>
              <w:spacing w:after="0"/>
              <w:rPr>
                <w:sz w:val="18"/>
                <w:szCs w:val="18"/>
                <w:color w:val="auto"/>
              </w:rPr>
            </w:pPr>
          </w:p>
        </w:tc>
        <w:tc>
          <w:tcPr>
            <w:tcW w:w="980" w:type="dxa"/>
            <w:vAlign w:val="bottom"/>
          </w:tcPr>
          <w:p>
            <w:pPr>
              <w:jc w:val="center"/>
              <w:spacing w:after="0"/>
              <w:rPr>
                <w:sz w:val="20"/>
                <w:szCs w:val="20"/>
                <w:color w:val="auto"/>
              </w:rPr>
            </w:pPr>
            <w:r>
              <w:rPr>
                <w:rFonts w:ascii="Arial" w:cs="Arial" w:eastAsia="Arial" w:hAnsi="Arial"/>
                <w:sz w:val="18"/>
                <w:szCs w:val="18"/>
                <w:color w:val="auto"/>
                <w:w w:val="83"/>
              </w:rPr>
              <w:t>Shares,</w:t>
            </w:r>
          </w:p>
        </w:tc>
        <w:tc>
          <w:tcPr>
            <w:tcW w:w="100" w:type="dxa"/>
            <w:vAlign w:val="bottom"/>
          </w:tcPr>
          <w:p>
            <w:pPr>
              <w:spacing w:after="0"/>
              <w:rPr>
                <w:sz w:val="18"/>
                <w:szCs w:val="18"/>
                <w:color w:val="auto"/>
              </w:rPr>
            </w:pPr>
          </w:p>
        </w:tc>
        <w:tc>
          <w:tcPr>
            <w:tcW w:w="1000" w:type="dxa"/>
            <w:vAlign w:val="bottom"/>
          </w:tcPr>
          <w:p>
            <w:pPr>
              <w:jc w:val="center"/>
              <w:spacing w:after="0"/>
              <w:rPr>
                <w:sz w:val="20"/>
                <w:szCs w:val="20"/>
                <w:color w:val="auto"/>
              </w:rPr>
            </w:pPr>
            <w:r>
              <w:rPr>
                <w:rFonts w:ascii="Arial" w:cs="Arial" w:eastAsia="Arial" w:hAnsi="Arial"/>
                <w:sz w:val="18"/>
                <w:szCs w:val="18"/>
                <w:color w:val="auto"/>
                <w:w w:val="83"/>
              </w:rPr>
              <w:t>Shares,</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9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80" w:type="dxa"/>
            <w:vAlign w:val="bottom"/>
          </w:tcPr>
          <w:p>
            <w:pPr>
              <w:jc w:val="center"/>
              <w:spacing w:after="0"/>
              <w:rPr>
                <w:sz w:val="20"/>
                <w:szCs w:val="20"/>
                <w:color w:val="auto"/>
              </w:rPr>
            </w:pPr>
            <w:r>
              <w:rPr>
                <w:rFonts w:ascii="Arial" w:cs="Arial" w:eastAsia="Arial" w:hAnsi="Arial"/>
                <w:sz w:val="18"/>
                <w:szCs w:val="18"/>
                <w:color w:val="auto"/>
                <w:w w:val="88"/>
              </w:rPr>
              <w:t>Securities</w:t>
            </w:r>
          </w:p>
        </w:tc>
        <w:tc>
          <w:tcPr>
            <w:tcW w:w="100" w:type="dxa"/>
            <w:vAlign w:val="bottom"/>
          </w:tcPr>
          <w:p>
            <w:pPr>
              <w:spacing w:after="0"/>
              <w:rPr>
                <w:sz w:val="18"/>
                <w:szCs w:val="18"/>
                <w:color w:val="auto"/>
              </w:rPr>
            </w:pPr>
          </w:p>
        </w:tc>
        <w:tc>
          <w:tcPr>
            <w:tcW w:w="1220" w:type="dxa"/>
            <w:vAlign w:val="bottom"/>
            <w:gridSpan w:val="2"/>
          </w:tcPr>
          <w:p>
            <w:pPr>
              <w:jc w:val="center"/>
              <w:ind w:right="120"/>
              <w:spacing w:after="0"/>
              <w:rPr>
                <w:sz w:val="20"/>
                <w:szCs w:val="20"/>
                <w:color w:val="auto"/>
              </w:rPr>
            </w:pPr>
            <w:r>
              <w:rPr>
                <w:rFonts w:ascii="Arial" w:cs="Arial" w:eastAsia="Arial" w:hAnsi="Arial"/>
                <w:sz w:val="18"/>
                <w:szCs w:val="18"/>
                <w:color w:val="auto"/>
                <w:w w:val="88"/>
              </w:rPr>
              <w:t>Securities</w:t>
            </w:r>
          </w:p>
        </w:tc>
        <w:tc>
          <w:tcPr>
            <w:tcW w:w="980" w:type="dxa"/>
            <w:vAlign w:val="bottom"/>
          </w:tcPr>
          <w:p>
            <w:pPr>
              <w:jc w:val="center"/>
              <w:spacing w:after="0"/>
              <w:rPr>
                <w:sz w:val="20"/>
                <w:szCs w:val="20"/>
                <w:color w:val="auto"/>
              </w:rPr>
            </w:pPr>
            <w:r>
              <w:rPr>
                <w:rFonts w:ascii="Arial" w:cs="Arial" w:eastAsia="Arial" w:hAnsi="Arial"/>
                <w:sz w:val="18"/>
                <w:szCs w:val="18"/>
                <w:color w:val="auto"/>
                <w:w w:val="95"/>
              </w:rPr>
              <w:t>Underlying</w:t>
            </w:r>
          </w:p>
        </w:tc>
        <w:tc>
          <w:tcPr>
            <w:tcW w:w="10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00" w:type="dxa"/>
            <w:vAlign w:val="bottom"/>
          </w:tcPr>
          <w:p>
            <w:pPr>
              <w:jc w:val="center"/>
              <w:spacing w:after="0"/>
              <w:rPr>
                <w:sz w:val="20"/>
                <w:szCs w:val="20"/>
                <w:color w:val="auto"/>
              </w:rPr>
            </w:pPr>
            <w:r>
              <w:rPr>
                <w:rFonts w:ascii="Arial" w:cs="Arial" w:eastAsia="Arial" w:hAnsi="Arial"/>
                <w:sz w:val="18"/>
                <w:szCs w:val="18"/>
                <w:color w:val="auto"/>
                <w:w w:val="93"/>
              </w:rPr>
              <w:t>or Units</w:t>
            </w:r>
          </w:p>
        </w:tc>
        <w:tc>
          <w:tcPr>
            <w:tcW w:w="120" w:type="dxa"/>
            <w:vAlign w:val="bottom"/>
          </w:tcPr>
          <w:p>
            <w:pPr>
              <w:spacing w:after="0"/>
              <w:rPr>
                <w:sz w:val="18"/>
                <w:szCs w:val="18"/>
                <w:color w:val="auto"/>
              </w:rPr>
            </w:pPr>
          </w:p>
        </w:tc>
        <w:tc>
          <w:tcPr>
            <w:tcW w:w="720" w:type="dxa"/>
            <w:vAlign w:val="bottom"/>
          </w:tcPr>
          <w:p>
            <w:pPr>
              <w:jc w:val="center"/>
              <w:spacing w:after="0"/>
              <w:rPr>
                <w:sz w:val="20"/>
                <w:szCs w:val="20"/>
                <w:color w:val="auto"/>
              </w:rPr>
            </w:pPr>
            <w:r>
              <w:rPr>
                <w:rFonts w:ascii="Arial" w:cs="Arial" w:eastAsia="Arial" w:hAnsi="Arial"/>
                <w:sz w:val="18"/>
                <w:szCs w:val="18"/>
                <w:color w:val="auto"/>
                <w:w w:val="94"/>
              </w:rPr>
              <w:t>Units of</w:t>
            </w:r>
          </w:p>
        </w:tc>
        <w:tc>
          <w:tcPr>
            <w:tcW w:w="100" w:type="dxa"/>
            <w:vAlign w:val="bottom"/>
          </w:tcPr>
          <w:p>
            <w:pPr>
              <w:spacing w:after="0"/>
              <w:rPr>
                <w:sz w:val="18"/>
                <w:szCs w:val="18"/>
                <w:color w:val="auto"/>
              </w:rPr>
            </w:pPr>
          </w:p>
        </w:tc>
        <w:tc>
          <w:tcPr>
            <w:tcW w:w="980" w:type="dxa"/>
            <w:vAlign w:val="bottom"/>
          </w:tcPr>
          <w:p>
            <w:pPr>
              <w:jc w:val="center"/>
              <w:spacing w:after="0"/>
              <w:rPr>
                <w:sz w:val="20"/>
                <w:szCs w:val="20"/>
                <w:color w:val="auto"/>
              </w:rPr>
            </w:pPr>
            <w:r>
              <w:rPr>
                <w:rFonts w:ascii="Arial" w:cs="Arial" w:eastAsia="Arial" w:hAnsi="Arial"/>
                <w:sz w:val="18"/>
                <w:szCs w:val="18"/>
                <w:color w:val="auto"/>
                <w:w w:val="96"/>
              </w:rPr>
              <w:t>Units or</w:t>
            </w:r>
          </w:p>
        </w:tc>
        <w:tc>
          <w:tcPr>
            <w:tcW w:w="100" w:type="dxa"/>
            <w:vAlign w:val="bottom"/>
          </w:tcPr>
          <w:p>
            <w:pPr>
              <w:spacing w:after="0"/>
              <w:rPr>
                <w:sz w:val="18"/>
                <w:szCs w:val="18"/>
                <w:color w:val="auto"/>
              </w:rPr>
            </w:pPr>
          </w:p>
        </w:tc>
        <w:tc>
          <w:tcPr>
            <w:tcW w:w="1000" w:type="dxa"/>
            <w:vAlign w:val="bottom"/>
          </w:tcPr>
          <w:p>
            <w:pPr>
              <w:jc w:val="center"/>
              <w:spacing w:after="0"/>
              <w:rPr>
                <w:sz w:val="20"/>
                <w:szCs w:val="20"/>
                <w:color w:val="auto"/>
              </w:rPr>
            </w:pPr>
            <w:r>
              <w:rPr>
                <w:rFonts w:ascii="Arial" w:cs="Arial" w:eastAsia="Arial" w:hAnsi="Arial"/>
                <w:sz w:val="18"/>
                <w:szCs w:val="18"/>
                <w:color w:val="auto"/>
                <w:w w:val="93"/>
              </w:rPr>
              <w:t>Units or</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9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80" w:type="dxa"/>
            <w:vAlign w:val="bottom"/>
          </w:tcPr>
          <w:p>
            <w:pPr>
              <w:jc w:val="center"/>
              <w:spacing w:after="0"/>
              <w:rPr>
                <w:sz w:val="20"/>
                <w:szCs w:val="20"/>
                <w:color w:val="auto"/>
              </w:rPr>
            </w:pPr>
            <w:r>
              <w:rPr>
                <w:rFonts w:ascii="Arial" w:cs="Arial" w:eastAsia="Arial" w:hAnsi="Arial"/>
                <w:sz w:val="18"/>
                <w:szCs w:val="18"/>
                <w:color w:val="auto"/>
                <w:w w:val="95"/>
              </w:rPr>
              <w:t>Underlying</w:t>
            </w:r>
          </w:p>
        </w:tc>
        <w:tc>
          <w:tcPr>
            <w:tcW w:w="100" w:type="dxa"/>
            <w:vAlign w:val="bottom"/>
          </w:tcPr>
          <w:p>
            <w:pPr>
              <w:spacing w:after="0"/>
              <w:rPr>
                <w:sz w:val="18"/>
                <w:szCs w:val="18"/>
                <w:color w:val="auto"/>
              </w:rPr>
            </w:pPr>
          </w:p>
        </w:tc>
        <w:tc>
          <w:tcPr>
            <w:tcW w:w="1220" w:type="dxa"/>
            <w:vAlign w:val="bottom"/>
            <w:gridSpan w:val="2"/>
          </w:tcPr>
          <w:p>
            <w:pPr>
              <w:jc w:val="center"/>
              <w:ind w:right="120"/>
              <w:spacing w:after="0"/>
              <w:rPr>
                <w:sz w:val="20"/>
                <w:szCs w:val="20"/>
                <w:color w:val="auto"/>
              </w:rPr>
            </w:pPr>
            <w:r>
              <w:rPr>
                <w:rFonts w:ascii="Arial" w:cs="Arial" w:eastAsia="Arial" w:hAnsi="Arial"/>
                <w:sz w:val="18"/>
                <w:szCs w:val="18"/>
                <w:color w:val="auto"/>
                <w:w w:val="95"/>
              </w:rPr>
              <w:t>Underlying</w:t>
            </w:r>
          </w:p>
        </w:tc>
        <w:tc>
          <w:tcPr>
            <w:tcW w:w="980" w:type="dxa"/>
            <w:vAlign w:val="bottom"/>
          </w:tcPr>
          <w:p>
            <w:pPr>
              <w:jc w:val="center"/>
              <w:spacing w:after="0"/>
              <w:rPr>
                <w:sz w:val="20"/>
                <w:szCs w:val="20"/>
                <w:color w:val="auto"/>
              </w:rPr>
            </w:pPr>
            <w:r>
              <w:rPr>
                <w:rFonts w:ascii="Arial" w:cs="Arial" w:eastAsia="Arial" w:hAnsi="Arial"/>
                <w:sz w:val="18"/>
                <w:szCs w:val="18"/>
                <w:color w:val="auto"/>
              </w:rPr>
              <w:t>of</w:t>
            </w:r>
          </w:p>
        </w:tc>
        <w:tc>
          <w:tcPr>
            <w:tcW w:w="10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00" w:type="dxa"/>
            <w:vAlign w:val="bottom"/>
          </w:tcPr>
          <w:p>
            <w:pPr>
              <w:jc w:val="center"/>
              <w:spacing w:after="0"/>
              <w:rPr>
                <w:sz w:val="20"/>
                <w:szCs w:val="20"/>
                <w:color w:val="auto"/>
              </w:rPr>
            </w:pPr>
            <w:r>
              <w:rPr>
                <w:rFonts w:ascii="Arial" w:cs="Arial" w:eastAsia="Arial" w:hAnsi="Arial"/>
                <w:sz w:val="18"/>
                <w:szCs w:val="18"/>
                <w:color w:val="auto"/>
                <w:w w:val="92"/>
              </w:rPr>
              <w:t>of Stock</w:t>
            </w:r>
          </w:p>
        </w:tc>
        <w:tc>
          <w:tcPr>
            <w:tcW w:w="120" w:type="dxa"/>
            <w:vAlign w:val="bottom"/>
          </w:tcPr>
          <w:p>
            <w:pPr>
              <w:spacing w:after="0"/>
              <w:rPr>
                <w:sz w:val="18"/>
                <w:szCs w:val="18"/>
                <w:color w:val="auto"/>
              </w:rPr>
            </w:pPr>
          </w:p>
        </w:tc>
        <w:tc>
          <w:tcPr>
            <w:tcW w:w="720" w:type="dxa"/>
            <w:vAlign w:val="bottom"/>
          </w:tcPr>
          <w:p>
            <w:pPr>
              <w:jc w:val="center"/>
              <w:spacing w:after="0"/>
              <w:rPr>
                <w:sz w:val="20"/>
                <w:szCs w:val="20"/>
                <w:color w:val="auto"/>
              </w:rPr>
            </w:pPr>
            <w:r>
              <w:rPr>
                <w:rFonts w:ascii="Arial" w:cs="Arial" w:eastAsia="Arial" w:hAnsi="Arial"/>
                <w:sz w:val="18"/>
                <w:szCs w:val="18"/>
                <w:color w:val="auto"/>
                <w:w w:val="93"/>
              </w:rPr>
              <w:t>Stock</w:t>
            </w:r>
          </w:p>
        </w:tc>
        <w:tc>
          <w:tcPr>
            <w:tcW w:w="100" w:type="dxa"/>
            <w:vAlign w:val="bottom"/>
          </w:tcPr>
          <w:p>
            <w:pPr>
              <w:spacing w:after="0"/>
              <w:rPr>
                <w:sz w:val="18"/>
                <w:szCs w:val="18"/>
                <w:color w:val="auto"/>
              </w:rPr>
            </w:pPr>
          </w:p>
        </w:tc>
        <w:tc>
          <w:tcPr>
            <w:tcW w:w="980" w:type="dxa"/>
            <w:vAlign w:val="bottom"/>
          </w:tcPr>
          <w:p>
            <w:pPr>
              <w:jc w:val="center"/>
              <w:spacing w:after="0"/>
              <w:rPr>
                <w:sz w:val="20"/>
                <w:szCs w:val="20"/>
                <w:color w:val="auto"/>
              </w:rPr>
            </w:pPr>
            <w:r>
              <w:rPr>
                <w:rFonts w:ascii="Arial" w:cs="Arial" w:eastAsia="Arial" w:hAnsi="Arial"/>
                <w:sz w:val="18"/>
                <w:szCs w:val="18"/>
                <w:color w:val="auto"/>
                <w:w w:val="88"/>
              </w:rPr>
              <w:t>Other</w:t>
            </w:r>
          </w:p>
        </w:tc>
        <w:tc>
          <w:tcPr>
            <w:tcW w:w="100" w:type="dxa"/>
            <w:vAlign w:val="bottom"/>
          </w:tcPr>
          <w:p>
            <w:pPr>
              <w:spacing w:after="0"/>
              <w:rPr>
                <w:sz w:val="18"/>
                <w:szCs w:val="18"/>
                <w:color w:val="auto"/>
              </w:rPr>
            </w:pPr>
          </w:p>
        </w:tc>
        <w:tc>
          <w:tcPr>
            <w:tcW w:w="1000" w:type="dxa"/>
            <w:vAlign w:val="bottom"/>
          </w:tcPr>
          <w:p>
            <w:pPr>
              <w:jc w:val="center"/>
              <w:spacing w:after="0"/>
              <w:rPr>
                <w:sz w:val="20"/>
                <w:szCs w:val="20"/>
                <w:color w:val="auto"/>
              </w:rPr>
            </w:pPr>
            <w:r>
              <w:rPr>
                <w:rFonts w:ascii="Arial" w:cs="Arial" w:eastAsia="Arial" w:hAnsi="Arial"/>
                <w:sz w:val="18"/>
                <w:szCs w:val="18"/>
                <w:color w:val="auto"/>
                <w:w w:val="93"/>
              </w:rPr>
              <w:t>Other</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9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80" w:type="dxa"/>
            <w:vAlign w:val="bottom"/>
          </w:tcPr>
          <w:p>
            <w:pPr>
              <w:jc w:val="center"/>
              <w:spacing w:after="0"/>
              <w:rPr>
                <w:sz w:val="20"/>
                <w:szCs w:val="20"/>
                <w:color w:val="auto"/>
              </w:rPr>
            </w:pPr>
            <w:r>
              <w:rPr>
                <w:rFonts w:ascii="Arial" w:cs="Arial" w:eastAsia="Arial" w:hAnsi="Arial"/>
                <w:sz w:val="18"/>
                <w:szCs w:val="18"/>
                <w:color w:val="auto"/>
                <w:w w:val="89"/>
              </w:rPr>
              <w:t>Unexercised</w:t>
            </w:r>
          </w:p>
        </w:tc>
        <w:tc>
          <w:tcPr>
            <w:tcW w:w="100" w:type="dxa"/>
            <w:vAlign w:val="bottom"/>
          </w:tcPr>
          <w:p>
            <w:pPr>
              <w:spacing w:after="0"/>
              <w:rPr>
                <w:sz w:val="18"/>
                <w:szCs w:val="18"/>
                <w:color w:val="auto"/>
              </w:rPr>
            </w:pPr>
          </w:p>
        </w:tc>
        <w:tc>
          <w:tcPr>
            <w:tcW w:w="1220" w:type="dxa"/>
            <w:vAlign w:val="bottom"/>
            <w:gridSpan w:val="2"/>
          </w:tcPr>
          <w:p>
            <w:pPr>
              <w:jc w:val="center"/>
              <w:ind w:right="120"/>
              <w:spacing w:after="0"/>
              <w:rPr>
                <w:sz w:val="20"/>
                <w:szCs w:val="20"/>
                <w:color w:val="auto"/>
              </w:rPr>
            </w:pPr>
            <w:r>
              <w:rPr>
                <w:rFonts w:ascii="Arial" w:cs="Arial" w:eastAsia="Arial" w:hAnsi="Arial"/>
                <w:sz w:val="18"/>
                <w:szCs w:val="18"/>
                <w:color w:val="auto"/>
                <w:w w:val="89"/>
              </w:rPr>
              <w:t>Unexercised</w:t>
            </w:r>
          </w:p>
        </w:tc>
        <w:tc>
          <w:tcPr>
            <w:tcW w:w="980" w:type="dxa"/>
            <w:vAlign w:val="bottom"/>
          </w:tcPr>
          <w:p>
            <w:pPr>
              <w:jc w:val="center"/>
              <w:spacing w:after="0"/>
              <w:rPr>
                <w:sz w:val="20"/>
                <w:szCs w:val="20"/>
                <w:color w:val="auto"/>
              </w:rPr>
            </w:pPr>
            <w:r>
              <w:rPr>
                <w:rFonts w:ascii="Arial" w:cs="Arial" w:eastAsia="Arial" w:hAnsi="Arial"/>
                <w:sz w:val="18"/>
                <w:szCs w:val="18"/>
                <w:color w:val="auto"/>
                <w:w w:val="89"/>
              </w:rPr>
              <w:t>Unexercised</w:t>
            </w:r>
          </w:p>
        </w:tc>
        <w:tc>
          <w:tcPr>
            <w:tcW w:w="100" w:type="dxa"/>
            <w:vAlign w:val="bottom"/>
          </w:tcPr>
          <w:p>
            <w:pPr>
              <w:spacing w:after="0"/>
              <w:rPr>
                <w:sz w:val="18"/>
                <w:szCs w:val="18"/>
                <w:color w:val="auto"/>
              </w:rPr>
            </w:pPr>
          </w:p>
        </w:tc>
        <w:tc>
          <w:tcPr>
            <w:tcW w:w="960" w:type="dxa"/>
            <w:vAlign w:val="bottom"/>
          </w:tcPr>
          <w:p>
            <w:pPr>
              <w:jc w:val="center"/>
              <w:spacing w:after="0"/>
              <w:rPr>
                <w:sz w:val="20"/>
                <w:szCs w:val="20"/>
                <w:color w:val="auto"/>
              </w:rPr>
            </w:pPr>
            <w:r>
              <w:rPr>
                <w:rFonts w:ascii="Arial" w:cs="Arial" w:eastAsia="Arial" w:hAnsi="Arial"/>
                <w:sz w:val="18"/>
                <w:szCs w:val="18"/>
                <w:color w:val="auto"/>
                <w:w w:val="94"/>
              </w:rPr>
              <w:t>Option</w:t>
            </w:r>
          </w:p>
        </w:tc>
        <w:tc>
          <w:tcPr>
            <w:tcW w:w="12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00" w:type="dxa"/>
            <w:vAlign w:val="bottom"/>
          </w:tcPr>
          <w:p>
            <w:pPr>
              <w:jc w:val="center"/>
              <w:spacing w:after="0"/>
              <w:rPr>
                <w:sz w:val="20"/>
                <w:szCs w:val="20"/>
                <w:color w:val="auto"/>
              </w:rPr>
            </w:pPr>
            <w:r>
              <w:rPr>
                <w:rFonts w:ascii="Arial" w:cs="Arial" w:eastAsia="Arial" w:hAnsi="Arial"/>
                <w:sz w:val="18"/>
                <w:szCs w:val="18"/>
                <w:color w:val="auto"/>
                <w:w w:val="88"/>
              </w:rPr>
              <w:t>That</w:t>
            </w:r>
          </w:p>
        </w:tc>
        <w:tc>
          <w:tcPr>
            <w:tcW w:w="120" w:type="dxa"/>
            <w:vAlign w:val="bottom"/>
          </w:tcPr>
          <w:p>
            <w:pPr>
              <w:spacing w:after="0"/>
              <w:rPr>
                <w:sz w:val="18"/>
                <w:szCs w:val="18"/>
                <w:color w:val="auto"/>
              </w:rPr>
            </w:pPr>
          </w:p>
        </w:tc>
        <w:tc>
          <w:tcPr>
            <w:tcW w:w="720" w:type="dxa"/>
            <w:vAlign w:val="bottom"/>
          </w:tcPr>
          <w:p>
            <w:pPr>
              <w:jc w:val="center"/>
              <w:spacing w:after="0"/>
              <w:rPr>
                <w:sz w:val="20"/>
                <w:szCs w:val="20"/>
                <w:color w:val="auto"/>
              </w:rPr>
            </w:pPr>
            <w:r>
              <w:rPr>
                <w:rFonts w:ascii="Arial" w:cs="Arial" w:eastAsia="Arial" w:hAnsi="Arial"/>
                <w:sz w:val="18"/>
                <w:szCs w:val="18"/>
                <w:color w:val="auto"/>
                <w:w w:val="94"/>
              </w:rPr>
              <w:t>That</w:t>
            </w:r>
          </w:p>
        </w:tc>
        <w:tc>
          <w:tcPr>
            <w:tcW w:w="100" w:type="dxa"/>
            <w:vAlign w:val="bottom"/>
          </w:tcPr>
          <w:p>
            <w:pPr>
              <w:spacing w:after="0"/>
              <w:rPr>
                <w:sz w:val="18"/>
                <w:szCs w:val="18"/>
                <w:color w:val="auto"/>
              </w:rPr>
            </w:pPr>
          </w:p>
        </w:tc>
        <w:tc>
          <w:tcPr>
            <w:tcW w:w="980" w:type="dxa"/>
            <w:vAlign w:val="bottom"/>
          </w:tcPr>
          <w:p>
            <w:pPr>
              <w:jc w:val="center"/>
              <w:spacing w:after="0"/>
              <w:rPr>
                <w:sz w:val="20"/>
                <w:szCs w:val="20"/>
                <w:color w:val="auto"/>
              </w:rPr>
            </w:pPr>
            <w:r>
              <w:rPr>
                <w:rFonts w:ascii="Arial" w:cs="Arial" w:eastAsia="Arial" w:hAnsi="Arial"/>
                <w:sz w:val="18"/>
                <w:szCs w:val="18"/>
                <w:color w:val="auto"/>
                <w:w w:val="91"/>
              </w:rPr>
              <w:t>Rights That</w:t>
            </w:r>
          </w:p>
        </w:tc>
        <w:tc>
          <w:tcPr>
            <w:tcW w:w="100" w:type="dxa"/>
            <w:vAlign w:val="bottom"/>
          </w:tcPr>
          <w:p>
            <w:pPr>
              <w:spacing w:after="0"/>
              <w:rPr>
                <w:sz w:val="18"/>
                <w:szCs w:val="18"/>
                <w:color w:val="auto"/>
              </w:rPr>
            </w:pPr>
          </w:p>
        </w:tc>
        <w:tc>
          <w:tcPr>
            <w:tcW w:w="1000" w:type="dxa"/>
            <w:vAlign w:val="bottom"/>
          </w:tcPr>
          <w:p>
            <w:pPr>
              <w:jc w:val="center"/>
              <w:spacing w:after="0"/>
              <w:rPr>
                <w:sz w:val="20"/>
                <w:szCs w:val="20"/>
                <w:color w:val="auto"/>
              </w:rPr>
            </w:pPr>
            <w:r>
              <w:rPr>
                <w:rFonts w:ascii="Arial" w:cs="Arial" w:eastAsia="Arial" w:hAnsi="Arial"/>
                <w:sz w:val="18"/>
                <w:szCs w:val="18"/>
                <w:color w:val="auto"/>
                <w:w w:val="91"/>
              </w:rPr>
              <w:t>Rights That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9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80" w:type="dxa"/>
            <w:vAlign w:val="bottom"/>
          </w:tcPr>
          <w:p>
            <w:pPr>
              <w:jc w:val="center"/>
              <w:spacing w:after="0"/>
              <w:rPr>
                <w:sz w:val="20"/>
                <w:szCs w:val="20"/>
                <w:color w:val="auto"/>
              </w:rPr>
            </w:pPr>
            <w:r>
              <w:rPr>
                <w:rFonts w:ascii="Arial" w:cs="Arial" w:eastAsia="Arial" w:hAnsi="Arial"/>
                <w:sz w:val="18"/>
                <w:szCs w:val="18"/>
                <w:color w:val="auto"/>
                <w:w w:val="93"/>
              </w:rPr>
              <w:t>Options</w:t>
            </w:r>
          </w:p>
        </w:tc>
        <w:tc>
          <w:tcPr>
            <w:tcW w:w="100" w:type="dxa"/>
            <w:vAlign w:val="bottom"/>
          </w:tcPr>
          <w:p>
            <w:pPr>
              <w:spacing w:after="0"/>
              <w:rPr>
                <w:sz w:val="18"/>
                <w:szCs w:val="18"/>
                <w:color w:val="auto"/>
              </w:rPr>
            </w:pPr>
          </w:p>
        </w:tc>
        <w:tc>
          <w:tcPr>
            <w:tcW w:w="1220" w:type="dxa"/>
            <w:vAlign w:val="bottom"/>
            <w:gridSpan w:val="2"/>
          </w:tcPr>
          <w:p>
            <w:pPr>
              <w:jc w:val="center"/>
              <w:ind w:right="120"/>
              <w:spacing w:after="0"/>
              <w:rPr>
                <w:sz w:val="20"/>
                <w:szCs w:val="20"/>
                <w:color w:val="auto"/>
              </w:rPr>
            </w:pPr>
            <w:r>
              <w:rPr>
                <w:rFonts w:ascii="Arial" w:cs="Arial" w:eastAsia="Arial" w:hAnsi="Arial"/>
                <w:sz w:val="18"/>
                <w:szCs w:val="18"/>
                <w:color w:val="auto"/>
                <w:w w:val="93"/>
              </w:rPr>
              <w:t>Options</w:t>
            </w:r>
          </w:p>
        </w:tc>
        <w:tc>
          <w:tcPr>
            <w:tcW w:w="980" w:type="dxa"/>
            <w:vAlign w:val="bottom"/>
          </w:tcPr>
          <w:p>
            <w:pPr>
              <w:jc w:val="center"/>
              <w:spacing w:after="0"/>
              <w:rPr>
                <w:sz w:val="20"/>
                <w:szCs w:val="20"/>
                <w:color w:val="auto"/>
              </w:rPr>
            </w:pPr>
            <w:r>
              <w:rPr>
                <w:rFonts w:ascii="Arial" w:cs="Arial" w:eastAsia="Arial" w:hAnsi="Arial"/>
                <w:sz w:val="18"/>
                <w:szCs w:val="18"/>
                <w:color w:val="auto"/>
                <w:w w:val="88"/>
              </w:rPr>
              <w:t>Unearned</w:t>
            </w:r>
          </w:p>
        </w:tc>
        <w:tc>
          <w:tcPr>
            <w:tcW w:w="100" w:type="dxa"/>
            <w:vAlign w:val="bottom"/>
          </w:tcPr>
          <w:p>
            <w:pPr>
              <w:spacing w:after="0"/>
              <w:rPr>
                <w:sz w:val="18"/>
                <w:szCs w:val="18"/>
                <w:color w:val="auto"/>
              </w:rPr>
            </w:pPr>
          </w:p>
        </w:tc>
        <w:tc>
          <w:tcPr>
            <w:tcW w:w="960" w:type="dxa"/>
            <w:vAlign w:val="bottom"/>
          </w:tcPr>
          <w:p>
            <w:pPr>
              <w:jc w:val="center"/>
              <w:spacing w:after="0"/>
              <w:rPr>
                <w:sz w:val="20"/>
                <w:szCs w:val="20"/>
                <w:color w:val="auto"/>
              </w:rPr>
            </w:pPr>
            <w:r>
              <w:rPr>
                <w:rFonts w:ascii="Arial" w:cs="Arial" w:eastAsia="Arial" w:hAnsi="Arial"/>
                <w:sz w:val="18"/>
                <w:szCs w:val="18"/>
                <w:color w:val="auto"/>
                <w:w w:val="89"/>
              </w:rPr>
              <w:t>Exercise</w:t>
            </w:r>
          </w:p>
        </w:tc>
        <w:tc>
          <w:tcPr>
            <w:tcW w:w="120" w:type="dxa"/>
            <w:vAlign w:val="bottom"/>
          </w:tcPr>
          <w:p>
            <w:pPr>
              <w:spacing w:after="0"/>
              <w:rPr>
                <w:sz w:val="18"/>
                <w:szCs w:val="18"/>
                <w:color w:val="auto"/>
              </w:rPr>
            </w:pPr>
          </w:p>
        </w:tc>
        <w:tc>
          <w:tcPr>
            <w:tcW w:w="1080" w:type="dxa"/>
            <w:vAlign w:val="bottom"/>
          </w:tcPr>
          <w:p>
            <w:pPr>
              <w:jc w:val="center"/>
              <w:spacing w:after="0"/>
              <w:rPr>
                <w:sz w:val="20"/>
                <w:szCs w:val="20"/>
                <w:color w:val="auto"/>
              </w:rPr>
            </w:pPr>
            <w:r>
              <w:rPr>
                <w:rFonts w:ascii="Arial" w:cs="Arial" w:eastAsia="Arial" w:hAnsi="Arial"/>
                <w:sz w:val="18"/>
                <w:szCs w:val="18"/>
                <w:color w:val="auto"/>
                <w:w w:val="94"/>
              </w:rPr>
              <w:t>Option</w:t>
            </w:r>
          </w:p>
        </w:tc>
        <w:tc>
          <w:tcPr>
            <w:tcW w:w="120" w:type="dxa"/>
            <w:vAlign w:val="bottom"/>
          </w:tcPr>
          <w:p>
            <w:pPr>
              <w:spacing w:after="0"/>
              <w:rPr>
                <w:sz w:val="18"/>
                <w:szCs w:val="18"/>
                <w:color w:val="auto"/>
              </w:rPr>
            </w:pPr>
          </w:p>
        </w:tc>
        <w:tc>
          <w:tcPr>
            <w:tcW w:w="700" w:type="dxa"/>
            <w:vAlign w:val="bottom"/>
          </w:tcPr>
          <w:p>
            <w:pPr>
              <w:jc w:val="center"/>
              <w:spacing w:after="0"/>
              <w:rPr>
                <w:sz w:val="20"/>
                <w:szCs w:val="20"/>
                <w:color w:val="auto"/>
              </w:rPr>
            </w:pPr>
            <w:r>
              <w:rPr>
                <w:rFonts w:ascii="Arial" w:cs="Arial" w:eastAsia="Arial" w:hAnsi="Arial"/>
                <w:sz w:val="18"/>
                <w:szCs w:val="18"/>
                <w:color w:val="auto"/>
                <w:w w:val="93"/>
              </w:rPr>
              <w:t>Have Not</w:t>
            </w:r>
          </w:p>
        </w:tc>
        <w:tc>
          <w:tcPr>
            <w:tcW w:w="120" w:type="dxa"/>
            <w:vAlign w:val="bottom"/>
          </w:tcPr>
          <w:p>
            <w:pPr>
              <w:spacing w:after="0"/>
              <w:rPr>
                <w:sz w:val="18"/>
                <w:szCs w:val="18"/>
                <w:color w:val="auto"/>
              </w:rPr>
            </w:pPr>
          </w:p>
        </w:tc>
        <w:tc>
          <w:tcPr>
            <w:tcW w:w="720" w:type="dxa"/>
            <w:vAlign w:val="bottom"/>
          </w:tcPr>
          <w:p>
            <w:pPr>
              <w:jc w:val="center"/>
              <w:spacing w:after="0"/>
              <w:rPr>
                <w:sz w:val="20"/>
                <w:szCs w:val="20"/>
                <w:color w:val="auto"/>
              </w:rPr>
            </w:pPr>
            <w:r>
              <w:rPr>
                <w:rFonts w:ascii="Arial" w:cs="Arial" w:eastAsia="Arial" w:hAnsi="Arial"/>
                <w:sz w:val="18"/>
                <w:szCs w:val="18"/>
                <w:color w:val="auto"/>
                <w:w w:val="93"/>
              </w:rPr>
              <w:t>Have Not</w:t>
            </w:r>
          </w:p>
        </w:tc>
        <w:tc>
          <w:tcPr>
            <w:tcW w:w="100" w:type="dxa"/>
            <w:vAlign w:val="bottom"/>
          </w:tcPr>
          <w:p>
            <w:pPr>
              <w:spacing w:after="0"/>
              <w:rPr>
                <w:sz w:val="18"/>
                <w:szCs w:val="18"/>
                <w:color w:val="auto"/>
              </w:rPr>
            </w:pPr>
          </w:p>
        </w:tc>
        <w:tc>
          <w:tcPr>
            <w:tcW w:w="980" w:type="dxa"/>
            <w:vAlign w:val="bottom"/>
          </w:tcPr>
          <w:p>
            <w:pPr>
              <w:jc w:val="center"/>
              <w:spacing w:after="0"/>
              <w:rPr>
                <w:sz w:val="20"/>
                <w:szCs w:val="20"/>
                <w:color w:val="auto"/>
              </w:rPr>
            </w:pPr>
            <w:r>
              <w:rPr>
                <w:rFonts w:ascii="Arial" w:cs="Arial" w:eastAsia="Arial" w:hAnsi="Arial"/>
                <w:sz w:val="18"/>
                <w:szCs w:val="18"/>
                <w:color w:val="auto"/>
                <w:w w:val="90"/>
              </w:rPr>
              <w:t>Have Not</w:t>
            </w:r>
          </w:p>
        </w:tc>
        <w:tc>
          <w:tcPr>
            <w:tcW w:w="100" w:type="dxa"/>
            <w:vAlign w:val="bottom"/>
          </w:tcPr>
          <w:p>
            <w:pPr>
              <w:spacing w:after="0"/>
              <w:rPr>
                <w:sz w:val="18"/>
                <w:szCs w:val="18"/>
                <w:color w:val="auto"/>
              </w:rPr>
            </w:pPr>
          </w:p>
        </w:tc>
        <w:tc>
          <w:tcPr>
            <w:tcW w:w="1000" w:type="dxa"/>
            <w:vAlign w:val="bottom"/>
          </w:tcPr>
          <w:p>
            <w:pPr>
              <w:jc w:val="center"/>
              <w:spacing w:after="0"/>
              <w:rPr>
                <w:sz w:val="20"/>
                <w:szCs w:val="20"/>
                <w:color w:val="auto"/>
              </w:rPr>
            </w:pPr>
            <w:r>
              <w:rPr>
                <w:rFonts w:ascii="Arial" w:cs="Arial" w:eastAsia="Arial" w:hAnsi="Arial"/>
                <w:sz w:val="18"/>
                <w:szCs w:val="18"/>
                <w:color w:val="auto"/>
                <w:w w:val="93"/>
              </w:rPr>
              <w:t>Have Not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920" w:type="dxa"/>
            <w:vAlign w:val="bottom"/>
          </w:tcPr>
          <w:p>
            <w:pPr>
              <w:spacing w:after="0"/>
              <w:rPr>
                <w:sz w:val="18"/>
                <w:szCs w:val="18"/>
                <w:color w:val="auto"/>
              </w:rPr>
            </w:pPr>
          </w:p>
        </w:tc>
        <w:tc>
          <w:tcPr>
            <w:tcW w:w="1080" w:type="dxa"/>
            <w:vAlign w:val="bottom"/>
            <w:gridSpan w:val="2"/>
          </w:tcPr>
          <w:p>
            <w:pPr>
              <w:jc w:val="center"/>
              <w:ind w:left="10"/>
              <w:spacing w:after="0"/>
              <w:rPr>
                <w:sz w:val="20"/>
                <w:szCs w:val="20"/>
                <w:color w:val="auto"/>
              </w:rPr>
            </w:pPr>
            <w:r>
              <w:rPr>
                <w:rFonts w:ascii="Arial" w:cs="Arial" w:eastAsia="Arial" w:hAnsi="Arial"/>
                <w:sz w:val="18"/>
                <w:szCs w:val="18"/>
                <w:color w:val="auto"/>
                <w:w w:val="99"/>
              </w:rPr>
              <w:t>(#)</w:t>
            </w:r>
          </w:p>
        </w:tc>
        <w:tc>
          <w:tcPr>
            <w:tcW w:w="1220" w:type="dxa"/>
            <w:vAlign w:val="bottom"/>
            <w:gridSpan w:val="2"/>
          </w:tcPr>
          <w:p>
            <w:pPr>
              <w:jc w:val="center"/>
              <w:spacing w:after="0"/>
              <w:rPr>
                <w:sz w:val="20"/>
                <w:szCs w:val="20"/>
                <w:color w:val="auto"/>
              </w:rPr>
            </w:pPr>
            <w:r>
              <w:rPr>
                <w:rFonts w:ascii="Arial" w:cs="Arial" w:eastAsia="Arial" w:hAnsi="Arial"/>
                <w:sz w:val="18"/>
                <w:szCs w:val="18"/>
                <w:color w:val="auto"/>
                <w:w w:val="99"/>
              </w:rPr>
              <w:t>(#)</w:t>
            </w:r>
          </w:p>
        </w:tc>
        <w:tc>
          <w:tcPr>
            <w:tcW w:w="100" w:type="dxa"/>
            <w:vAlign w:val="bottom"/>
          </w:tcPr>
          <w:p>
            <w:pPr>
              <w:spacing w:after="0"/>
              <w:rPr>
                <w:sz w:val="18"/>
                <w:szCs w:val="18"/>
                <w:color w:val="auto"/>
              </w:rPr>
            </w:pPr>
          </w:p>
        </w:tc>
        <w:tc>
          <w:tcPr>
            <w:tcW w:w="980" w:type="dxa"/>
            <w:vAlign w:val="bottom"/>
          </w:tcPr>
          <w:p>
            <w:pPr>
              <w:jc w:val="center"/>
              <w:spacing w:after="0"/>
              <w:rPr>
                <w:sz w:val="20"/>
                <w:szCs w:val="20"/>
                <w:color w:val="auto"/>
              </w:rPr>
            </w:pPr>
            <w:r>
              <w:rPr>
                <w:rFonts w:ascii="Arial" w:cs="Arial" w:eastAsia="Arial" w:hAnsi="Arial"/>
                <w:sz w:val="18"/>
                <w:szCs w:val="18"/>
                <w:color w:val="auto"/>
                <w:w w:val="90"/>
              </w:rPr>
              <w:t>Options</w:t>
            </w:r>
          </w:p>
        </w:tc>
        <w:tc>
          <w:tcPr>
            <w:tcW w:w="100" w:type="dxa"/>
            <w:vAlign w:val="bottom"/>
          </w:tcPr>
          <w:p>
            <w:pPr>
              <w:spacing w:after="0"/>
              <w:rPr>
                <w:sz w:val="18"/>
                <w:szCs w:val="18"/>
                <w:color w:val="auto"/>
              </w:rPr>
            </w:pPr>
          </w:p>
        </w:tc>
        <w:tc>
          <w:tcPr>
            <w:tcW w:w="960" w:type="dxa"/>
            <w:vAlign w:val="bottom"/>
          </w:tcPr>
          <w:p>
            <w:pPr>
              <w:jc w:val="center"/>
              <w:spacing w:after="0"/>
              <w:rPr>
                <w:sz w:val="20"/>
                <w:szCs w:val="20"/>
                <w:color w:val="auto"/>
              </w:rPr>
            </w:pPr>
            <w:r>
              <w:rPr>
                <w:rFonts w:ascii="Arial" w:cs="Arial" w:eastAsia="Arial" w:hAnsi="Arial"/>
                <w:sz w:val="18"/>
                <w:szCs w:val="18"/>
                <w:color w:val="auto"/>
                <w:w w:val="87"/>
              </w:rPr>
              <w:t>Price</w:t>
            </w:r>
          </w:p>
        </w:tc>
        <w:tc>
          <w:tcPr>
            <w:tcW w:w="120" w:type="dxa"/>
            <w:vAlign w:val="bottom"/>
          </w:tcPr>
          <w:p>
            <w:pPr>
              <w:spacing w:after="0"/>
              <w:rPr>
                <w:sz w:val="18"/>
                <w:szCs w:val="18"/>
                <w:color w:val="auto"/>
              </w:rPr>
            </w:pPr>
          </w:p>
        </w:tc>
        <w:tc>
          <w:tcPr>
            <w:tcW w:w="1080" w:type="dxa"/>
            <w:vAlign w:val="bottom"/>
          </w:tcPr>
          <w:p>
            <w:pPr>
              <w:jc w:val="center"/>
              <w:spacing w:after="0"/>
              <w:rPr>
                <w:sz w:val="20"/>
                <w:szCs w:val="20"/>
                <w:color w:val="auto"/>
              </w:rPr>
            </w:pPr>
            <w:r>
              <w:rPr>
                <w:rFonts w:ascii="Arial" w:cs="Arial" w:eastAsia="Arial" w:hAnsi="Arial"/>
                <w:sz w:val="18"/>
                <w:szCs w:val="18"/>
                <w:color w:val="auto"/>
                <w:w w:val="94"/>
              </w:rPr>
              <w:t>Expiration</w:t>
            </w:r>
          </w:p>
        </w:tc>
        <w:tc>
          <w:tcPr>
            <w:tcW w:w="120" w:type="dxa"/>
            <w:vAlign w:val="bottom"/>
          </w:tcPr>
          <w:p>
            <w:pPr>
              <w:spacing w:after="0"/>
              <w:rPr>
                <w:sz w:val="18"/>
                <w:szCs w:val="18"/>
                <w:color w:val="auto"/>
              </w:rPr>
            </w:pPr>
          </w:p>
        </w:tc>
        <w:tc>
          <w:tcPr>
            <w:tcW w:w="700" w:type="dxa"/>
            <w:vAlign w:val="bottom"/>
          </w:tcPr>
          <w:p>
            <w:pPr>
              <w:jc w:val="center"/>
              <w:spacing w:after="0"/>
              <w:rPr>
                <w:sz w:val="20"/>
                <w:szCs w:val="20"/>
                <w:color w:val="auto"/>
              </w:rPr>
            </w:pPr>
            <w:r>
              <w:rPr>
                <w:rFonts w:ascii="Arial" w:cs="Arial" w:eastAsia="Arial" w:hAnsi="Arial"/>
                <w:sz w:val="18"/>
                <w:szCs w:val="18"/>
                <w:color w:val="auto"/>
                <w:w w:val="85"/>
              </w:rPr>
              <w:t>Vested</w:t>
            </w:r>
          </w:p>
        </w:tc>
        <w:tc>
          <w:tcPr>
            <w:tcW w:w="120" w:type="dxa"/>
            <w:vAlign w:val="bottom"/>
          </w:tcPr>
          <w:p>
            <w:pPr>
              <w:spacing w:after="0"/>
              <w:rPr>
                <w:sz w:val="18"/>
                <w:szCs w:val="18"/>
                <w:color w:val="auto"/>
              </w:rPr>
            </w:pPr>
          </w:p>
        </w:tc>
        <w:tc>
          <w:tcPr>
            <w:tcW w:w="720" w:type="dxa"/>
            <w:vAlign w:val="bottom"/>
          </w:tcPr>
          <w:p>
            <w:pPr>
              <w:jc w:val="center"/>
              <w:spacing w:after="0"/>
              <w:rPr>
                <w:sz w:val="20"/>
                <w:szCs w:val="20"/>
                <w:color w:val="auto"/>
              </w:rPr>
            </w:pPr>
            <w:r>
              <w:rPr>
                <w:rFonts w:ascii="Arial" w:cs="Arial" w:eastAsia="Arial" w:hAnsi="Arial"/>
                <w:sz w:val="18"/>
                <w:szCs w:val="18"/>
                <w:color w:val="auto"/>
                <w:w w:val="85"/>
              </w:rPr>
              <w:t>Vested</w:t>
            </w:r>
          </w:p>
        </w:tc>
        <w:tc>
          <w:tcPr>
            <w:tcW w:w="100" w:type="dxa"/>
            <w:vAlign w:val="bottom"/>
          </w:tcPr>
          <w:p>
            <w:pPr>
              <w:spacing w:after="0"/>
              <w:rPr>
                <w:sz w:val="18"/>
                <w:szCs w:val="18"/>
                <w:color w:val="auto"/>
              </w:rPr>
            </w:pPr>
          </w:p>
        </w:tc>
        <w:tc>
          <w:tcPr>
            <w:tcW w:w="980" w:type="dxa"/>
            <w:vAlign w:val="bottom"/>
          </w:tcPr>
          <w:p>
            <w:pPr>
              <w:jc w:val="center"/>
              <w:spacing w:after="0"/>
              <w:rPr>
                <w:sz w:val="20"/>
                <w:szCs w:val="20"/>
                <w:color w:val="auto"/>
              </w:rPr>
            </w:pPr>
            <w:r>
              <w:rPr>
                <w:rFonts w:ascii="Arial" w:cs="Arial" w:eastAsia="Arial" w:hAnsi="Arial"/>
                <w:sz w:val="18"/>
                <w:szCs w:val="18"/>
                <w:color w:val="auto"/>
                <w:w w:val="85"/>
              </w:rPr>
              <w:t>Vested</w:t>
            </w:r>
          </w:p>
        </w:tc>
        <w:tc>
          <w:tcPr>
            <w:tcW w:w="100" w:type="dxa"/>
            <w:vAlign w:val="bottom"/>
          </w:tcPr>
          <w:p>
            <w:pPr>
              <w:spacing w:after="0"/>
              <w:rPr>
                <w:sz w:val="18"/>
                <w:szCs w:val="18"/>
                <w:color w:val="auto"/>
              </w:rPr>
            </w:pPr>
          </w:p>
        </w:tc>
        <w:tc>
          <w:tcPr>
            <w:tcW w:w="1000" w:type="dxa"/>
            <w:vAlign w:val="bottom"/>
          </w:tcPr>
          <w:p>
            <w:pPr>
              <w:jc w:val="center"/>
              <w:spacing w:after="0"/>
              <w:rPr>
                <w:sz w:val="20"/>
                <w:szCs w:val="20"/>
                <w:color w:val="auto"/>
              </w:rPr>
            </w:pPr>
            <w:r>
              <w:rPr>
                <w:rFonts w:ascii="Arial" w:cs="Arial" w:eastAsia="Arial" w:hAnsi="Arial"/>
                <w:sz w:val="18"/>
                <w:szCs w:val="18"/>
                <w:color w:val="auto"/>
                <w:w w:val="85"/>
              </w:rPr>
              <w:t>Vested</w:t>
            </w:r>
          </w:p>
        </w:tc>
        <w:tc>
          <w:tcPr>
            <w:tcW w:w="0" w:type="dxa"/>
            <w:vAlign w:val="bottom"/>
          </w:tcPr>
          <w:p>
            <w:pPr>
              <w:spacing w:after="0"/>
              <w:rPr>
                <w:sz w:val="1"/>
                <w:szCs w:val="1"/>
                <w:color w:val="auto"/>
              </w:rPr>
            </w:pPr>
          </w:p>
        </w:tc>
      </w:tr>
      <w:tr>
        <w:trPr>
          <w:trHeight w:val="237"/>
        </w:trPr>
        <w:tc>
          <w:tcPr>
            <w:tcW w:w="1940" w:type="dxa"/>
            <w:vAlign w:val="bottom"/>
            <w:gridSpan w:val="2"/>
          </w:tcPr>
          <w:p>
            <w:pPr>
              <w:spacing w:after="0"/>
              <w:rPr>
                <w:sz w:val="20"/>
                <w:szCs w:val="20"/>
                <w:color w:val="auto"/>
              </w:rPr>
            </w:pPr>
            <w:r>
              <w:rPr>
                <w:rFonts w:ascii="Arial" w:cs="Arial" w:eastAsia="Arial" w:hAnsi="Arial"/>
                <w:sz w:val="18"/>
                <w:szCs w:val="18"/>
                <w:color w:val="auto"/>
              </w:rPr>
              <w:t>Name</w:t>
            </w:r>
          </w:p>
        </w:tc>
        <w:tc>
          <w:tcPr>
            <w:tcW w:w="100" w:type="dxa"/>
            <w:vAlign w:val="bottom"/>
          </w:tcPr>
          <w:p>
            <w:pPr>
              <w:spacing w:after="0"/>
              <w:rPr>
                <w:sz w:val="20"/>
                <w:szCs w:val="20"/>
                <w:color w:val="auto"/>
              </w:rPr>
            </w:pPr>
          </w:p>
        </w:tc>
        <w:tc>
          <w:tcPr>
            <w:tcW w:w="980" w:type="dxa"/>
            <w:vAlign w:val="bottom"/>
          </w:tcPr>
          <w:p>
            <w:pPr>
              <w:jc w:val="center"/>
              <w:spacing w:after="0"/>
              <w:rPr>
                <w:sz w:val="20"/>
                <w:szCs w:val="20"/>
                <w:color w:val="auto"/>
              </w:rPr>
            </w:pPr>
            <w:r>
              <w:rPr>
                <w:rFonts w:ascii="Arial" w:cs="Arial" w:eastAsia="Arial" w:hAnsi="Arial"/>
                <w:sz w:val="18"/>
                <w:szCs w:val="18"/>
                <w:color w:val="auto"/>
                <w:w w:val="90"/>
              </w:rPr>
              <w:t>Exercisable</w:t>
            </w:r>
          </w:p>
        </w:tc>
        <w:tc>
          <w:tcPr>
            <w:tcW w:w="100" w:type="dxa"/>
            <w:vAlign w:val="bottom"/>
          </w:tcPr>
          <w:p>
            <w:pPr>
              <w:spacing w:after="0"/>
              <w:rPr>
                <w:sz w:val="20"/>
                <w:szCs w:val="20"/>
                <w:color w:val="auto"/>
              </w:rPr>
            </w:pPr>
          </w:p>
        </w:tc>
        <w:tc>
          <w:tcPr>
            <w:tcW w:w="1220" w:type="dxa"/>
            <w:vAlign w:val="bottom"/>
            <w:gridSpan w:val="2"/>
          </w:tcPr>
          <w:p>
            <w:pPr>
              <w:jc w:val="center"/>
              <w:ind w:right="120"/>
              <w:spacing w:after="0"/>
              <w:rPr>
                <w:sz w:val="20"/>
                <w:szCs w:val="20"/>
                <w:color w:val="auto"/>
              </w:rPr>
            </w:pPr>
            <w:r>
              <w:rPr>
                <w:rFonts w:ascii="Arial" w:cs="Arial" w:eastAsia="Arial" w:hAnsi="Arial"/>
                <w:sz w:val="18"/>
                <w:szCs w:val="18"/>
                <w:color w:val="auto"/>
                <w:w w:val="89"/>
              </w:rPr>
              <w:t>Unexercisable</w:t>
            </w:r>
          </w:p>
        </w:tc>
        <w:tc>
          <w:tcPr>
            <w:tcW w:w="980" w:type="dxa"/>
            <w:vAlign w:val="bottom"/>
          </w:tcPr>
          <w:p>
            <w:pPr>
              <w:jc w:val="center"/>
              <w:spacing w:after="0"/>
              <w:rPr>
                <w:sz w:val="20"/>
                <w:szCs w:val="20"/>
                <w:color w:val="auto"/>
              </w:rPr>
            </w:pPr>
            <w:r>
              <w:rPr>
                <w:rFonts w:ascii="Arial" w:cs="Arial" w:eastAsia="Arial" w:hAnsi="Arial"/>
                <w:sz w:val="18"/>
                <w:szCs w:val="18"/>
                <w:color w:val="auto"/>
                <w:w w:val="90"/>
              </w:rPr>
              <w:t>(#)</w:t>
            </w:r>
          </w:p>
        </w:tc>
        <w:tc>
          <w:tcPr>
            <w:tcW w:w="1060" w:type="dxa"/>
            <w:vAlign w:val="bottom"/>
            <w:gridSpan w:val="2"/>
          </w:tcPr>
          <w:p>
            <w:pPr>
              <w:jc w:val="center"/>
              <w:ind w:left="10"/>
              <w:spacing w:after="0"/>
              <w:rPr>
                <w:sz w:val="20"/>
                <w:szCs w:val="20"/>
                <w:color w:val="auto"/>
              </w:rPr>
            </w:pPr>
            <w:r>
              <w:rPr>
                <w:rFonts w:ascii="Arial" w:cs="Arial" w:eastAsia="Arial" w:hAnsi="Arial"/>
                <w:sz w:val="18"/>
                <w:szCs w:val="18"/>
                <w:color w:val="auto"/>
                <w:w w:val="90"/>
              </w:rPr>
              <w:t>($)</w:t>
            </w:r>
          </w:p>
        </w:tc>
        <w:tc>
          <w:tcPr>
            <w:tcW w:w="120" w:type="dxa"/>
            <w:vAlign w:val="bottom"/>
          </w:tcPr>
          <w:p>
            <w:pPr>
              <w:spacing w:after="0"/>
              <w:rPr>
                <w:sz w:val="20"/>
                <w:szCs w:val="20"/>
                <w:color w:val="auto"/>
              </w:rPr>
            </w:pPr>
          </w:p>
        </w:tc>
        <w:tc>
          <w:tcPr>
            <w:tcW w:w="1080" w:type="dxa"/>
            <w:vAlign w:val="bottom"/>
          </w:tcPr>
          <w:p>
            <w:pPr>
              <w:jc w:val="center"/>
              <w:spacing w:after="0"/>
              <w:rPr>
                <w:sz w:val="20"/>
                <w:szCs w:val="20"/>
                <w:color w:val="auto"/>
              </w:rPr>
            </w:pPr>
            <w:r>
              <w:rPr>
                <w:rFonts w:ascii="Arial" w:cs="Arial" w:eastAsia="Arial" w:hAnsi="Arial"/>
                <w:sz w:val="18"/>
                <w:szCs w:val="18"/>
                <w:color w:val="auto"/>
                <w:w w:val="89"/>
              </w:rPr>
              <w:t>Date</w:t>
            </w:r>
          </w:p>
        </w:tc>
        <w:tc>
          <w:tcPr>
            <w:tcW w:w="820" w:type="dxa"/>
            <w:vAlign w:val="bottom"/>
            <w:gridSpan w:val="2"/>
          </w:tcPr>
          <w:p>
            <w:pPr>
              <w:jc w:val="center"/>
              <w:ind w:left="10"/>
              <w:spacing w:after="0"/>
              <w:rPr>
                <w:sz w:val="20"/>
                <w:szCs w:val="20"/>
                <w:color w:val="auto"/>
              </w:rPr>
            </w:pPr>
            <w:r>
              <w:rPr>
                <w:rFonts w:ascii="Arial" w:cs="Arial" w:eastAsia="Arial" w:hAnsi="Arial"/>
                <w:sz w:val="18"/>
                <w:szCs w:val="18"/>
                <w:color w:val="auto"/>
                <w:w w:val="90"/>
              </w:rPr>
              <w:t>(#)</w:t>
            </w:r>
          </w:p>
        </w:tc>
        <w:tc>
          <w:tcPr>
            <w:tcW w:w="840" w:type="dxa"/>
            <w:vAlign w:val="bottom"/>
            <w:gridSpan w:val="2"/>
          </w:tcPr>
          <w:p>
            <w:pPr>
              <w:jc w:val="center"/>
              <w:ind w:left="10"/>
              <w:spacing w:after="0"/>
              <w:rPr>
                <w:sz w:val="20"/>
                <w:szCs w:val="20"/>
                <w:color w:val="auto"/>
              </w:rPr>
            </w:pPr>
            <w:r>
              <w:rPr>
                <w:rFonts w:ascii="Arial" w:cs="Arial" w:eastAsia="Arial" w:hAnsi="Arial"/>
                <w:sz w:val="18"/>
                <w:szCs w:val="18"/>
                <w:color w:val="auto"/>
                <w:w w:val="99"/>
              </w:rPr>
              <w:t>($)</w:t>
            </w:r>
          </w:p>
        </w:tc>
        <w:tc>
          <w:tcPr>
            <w:tcW w:w="1080" w:type="dxa"/>
            <w:vAlign w:val="bottom"/>
            <w:gridSpan w:val="2"/>
          </w:tcPr>
          <w:p>
            <w:pPr>
              <w:jc w:val="center"/>
              <w:spacing w:after="0"/>
              <w:rPr>
                <w:sz w:val="20"/>
                <w:szCs w:val="20"/>
                <w:color w:val="auto"/>
              </w:rPr>
            </w:pPr>
            <w:r>
              <w:rPr>
                <w:rFonts w:ascii="Arial" w:cs="Arial" w:eastAsia="Arial" w:hAnsi="Arial"/>
                <w:sz w:val="18"/>
                <w:szCs w:val="18"/>
                <w:color w:val="auto"/>
                <w:w w:val="90"/>
              </w:rPr>
              <w:t>(#)</w:t>
            </w:r>
          </w:p>
        </w:tc>
        <w:tc>
          <w:tcPr>
            <w:tcW w:w="1100" w:type="dxa"/>
            <w:vAlign w:val="bottom"/>
            <w:gridSpan w:val="2"/>
          </w:tcPr>
          <w:p>
            <w:pPr>
              <w:jc w:val="center"/>
              <w:spacing w:after="0"/>
              <w:rPr>
                <w:sz w:val="20"/>
                <w:szCs w:val="20"/>
                <w:color w:val="auto"/>
              </w:rPr>
            </w:pPr>
            <w:r>
              <w:rPr>
                <w:rFonts w:ascii="Arial" w:cs="Arial" w:eastAsia="Arial" w:hAnsi="Arial"/>
                <w:sz w:val="18"/>
                <w:szCs w:val="18"/>
                <w:color w:val="auto"/>
                <w:w w:val="99"/>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920" w:type="dxa"/>
            <w:vAlign w:val="bottom"/>
            <w:tcBorders>
              <w:top w:val="single" w:sz="8" w:color="auto"/>
            </w:tcBorders>
            <w:shd w:val="clear" w:color="auto" w:fill="EEEEEE"/>
          </w:tcPr>
          <w:p>
            <w:pPr>
              <w:spacing w:after="0"/>
              <w:rPr>
                <w:sz w:val="20"/>
                <w:szCs w:val="20"/>
                <w:color w:val="auto"/>
              </w:rPr>
            </w:pPr>
            <w:r>
              <w:rPr>
                <w:rFonts w:ascii="Arial" w:cs="Arial" w:eastAsia="Arial" w:hAnsi="Arial"/>
                <w:sz w:val="18"/>
                <w:szCs w:val="18"/>
                <w:color w:val="auto"/>
              </w:rPr>
              <w:t>David Harrell</w:t>
            </w:r>
          </w:p>
        </w:tc>
        <w:tc>
          <w:tcPr>
            <w:tcW w:w="100" w:type="dxa"/>
            <w:vAlign w:val="bottom"/>
            <w:shd w:val="clear" w:color="auto" w:fill="EEEEEE"/>
          </w:tcPr>
          <w:p>
            <w:pPr>
              <w:spacing w:after="0"/>
              <w:rPr>
                <w:sz w:val="18"/>
                <w:szCs w:val="18"/>
                <w:color w:val="auto"/>
              </w:rPr>
            </w:pPr>
          </w:p>
        </w:tc>
        <w:tc>
          <w:tcPr>
            <w:tcW w:w="980" w:type="dxa"/>
            <w:vAlign w:val="bottom"/>
            <w:tcBorders>
              <w:top w:val="single" w:sz="8" w:color="auto"/>
            </w:tcBorders>
            <w:shd w:val="clear" w:color="auto" w:fill="EEEEEE"/>
          </w:tcPr>
          <w:p>
            <w:pPr>
              <w:jc w:val="center"/>
              <w:spacing w:after="0"/>
              <w:rPr>
                <w:sz w:val="20"/>
                <w:szCs w:val="20"/>
                <w:color w:val="auto"/>
              </w:rPr>
            </w:pPr>
            <w:r>
              <w:rPr>
                <w:rFonts w:ascii="Arial" w:cs="Arial" w:eastAsia="Arial" w:hAnsi="Arial"/>
                <w:sz w:val="18"/>
                <w:szCs w:val="18"/>
                <w:color w:val="auto"/>
                <w:w w:val="91"/>
              </w:rPr>
              <w:t>100,000 (1)</w:t>
            </w:r>
          </w:p>
        </w:tc>
        <w:tc>
          <w:tcPr>
            <w:tcW w:w="100" w:type="dxa"/>
            <w:vAlign w:val="bottom"/>
            <w:shd w:val="clear" w:color="auto" w:fill="EEEEEE"/>
          </w:tcPr>
          <w:p>
            <w:pPr>
              <w:spacing w:after="0"/>
              <w:rPr>
                <w:sz w:val="18"/>
                <w:szCs w:val="18"/>
                <w:color w:val="auto"/>
              </w:rPr>
            </w:pPr>
          </w:p>
        </w:tc>
        <w:tc>
          <w:tcPr>
            <w:tcW w:w="1120" w:type="dxa"/>
            <w:vAlign w:val="bottom"/>
            <w:tcBorders>
              <w:top w:val="single" w:sz="8" w:color="auto"/>
            </w:tcBorders>
            <w:shd w:val="clear" w:color="auto" w:fill="EEEEEE"/>
          </w:tcPr>
          <w:p>
            <w:pPr>
              <w:jc w:val="center"/>
              <w:spacing w:after="0"/>
              <w:rPr>
                <w:sz w:val="20"/>
                <w:szCs w:val="20"/>
                <w:color w:val="auto"/>
              </w:rPr>
            </w:pPr>
            <w:r>
              <w:rPr>
                <w:rFonts w:ascii="Arial" w:cs="Arial" w:eastAsia="Arial" w:hAnsi="Arial"/>
                <w:sz w:val="18"/>
                <w:szCs w:val="18"/>
                <w:color w:val="auto"/>
                <w:w w:val="99"/>
              </w:rPr>
              <w:t>0</w:t>
            </w:r>
          </w:p>
        </w:tc>
        <w:tc>
          <w:tcPr>
            <w:tcW w:w="100" w:type="dxa"/>
            <w:vAlign w:val="bottom"/>
            <w:shd w:val="clear" w:color="auto" w:fill="EEEEEE"/>
          </w:tcPr>
          <w:p>
            <w:pPr>
              <w:spacing w:after="0"/>
              <w:rPr>
                <w:sz w:val="18"/>
                <w:szCs w:val="18"/>
                <w:color w:val="auto"/>
              </w:rPr>
            </w:pPr>
          </w:p>
        </w:tc>
        <w:tc>
          <w:tcPr>
            <w:tcW w:w="980" w:type="dxa"/>
            <w:vAlign w:val="bottom"/>
            <w:tcBorders>
              <w:top w:val="single" w:sz="8" w:color="auto"/>
            </w:tcBorders>
            <w:shd w:val="clear" w:color="auto" w:fill="EEEEEE"/>
          </w:tcPr>
          <w:p>
            <w:pPr>
              <w:jc w:val="center"/>
              <w:spacing w:after="0"/>
              <w:rPr>
                <w:sz w:val="20"/>
                <w:szCs w:val="20"/>
                <w:color w:val="auto"/>
              </w:rPr>
            </w:pPr>
            <w:r>
              <w:rPr>
                <w:rFonts w:ascii="Arial" w:cs="Arial" w:eastAsia="Arial" w:hAnsi="Arial"/>
                <w:sz w:val="18"/>
                <w:szCs w:val="18"/>
                <w:color w:val="auto"/>
                <w:w w:val="79"/>
              </w:rPr>
              <w:t>0</w:t>
            </w:r>
          </w:p>
        </w:tc>
        <w:tc>
          <w:tcPr>
            <w:tcW w:w="100" w:type="dxa"/>
            <w:vAlign w:val="bottom"/>
            <w:shd w:val="clear" w:color="auto" w:fill="EEEEEE"/>
          </w:tcPr>
          <w:p>
            <w:pPr>
              <w:spacing w:after="0"/>
              <w:rPr>
                <w:sz w:val="18"/>
                <w:szCs w:val="18"/>
                <w:color w:val="auto"/>
              </w:rPr>
            </w:pPr>
          </w:p>
        </w:tc>
        <w:tc>
          <w:tcPr>
            <w:tcW w:w="960" w:type="dxa"/>
            <w:vAlign w:val="bottom"/>
            <w:tcBorders>
              <w:top w:val="single" w:sz="8" w:color="auto"/>
            </w:tcBorders>
            <w:shd w:val="clear" w:color="auto" w:fill="EEEEEE"/>
          </w:tcPr>
          <w:p>
            <w:pPr>
              <w:jc w:val="center"/>
              <w:spacing w:after="0"/>
              <w:rPr>
                <w:sz w:val="20"/>
                <w:szCs w:val="20"/>
                <w:color w:val="auto"/>
              </w:rPr>
            </w:pPr>
            <w:r>
              <w:rPr>
                <w:rFonts w:ascii="Arial" w:cs="Arial" w:eastAsia="Arial" w:hAnsi="Arial"/>
                <w:sz w:val="18"/>
                <w:szCs w:val="18"/>
                <w:color w:val="auto"/>
                <w:w w:val="88"/>
              </w:rPr>
              <w:t>$1.00</w:t>
            </w:r>
          </w:p>
        </w:tc>
        <w:tc>
          <w:tcPr>
            <w:tcW w:w="120" w:type="dxa"/>
            <w:vAlign w:val="bottom"/>
            <w:shd w:val="clear" w:color="auto" w:fill="EEEEEE"/>
          </w:tcPr>
          <w:p>
            <w:pPr>
              <w:spacing w:after="0"/>
              <w:rPr>
                <w:sz w:val="18"/>
                <w:szCs w:val="18"/>
                <w:color w:val="auto"/>
              </w:rPr>
            </w:pPr>
          </w:p>
        </w:tc>
        <w:tc>
          <w:tcPr>
            <w:tcW w:w="1080" w:type="dxa"/>
            <w:vAlign w:val="bottom"/>
            <w:tcBorders>
              <w:top w:val="single" w:sz="8" w:color="auto"/>
            </w:tcBorders>
            <w:shd w:val="clear" w:color="auto" w:fill="EEEEEE"/>
          </w:tcPr>
          <w:p>
            <w:pPr>
              <w:jc w:val="center"/>
              <w:spacing w:after="0"/>
              <w:rPr>
                <w:sz w:val="20"/>
                <w:szCs w:val="20"/>
                <w:color w:val="auto"/>
              </w:rPr>
            </w:pPr>
            <w:r>
              <w:rPr>
                <w:rFonts w:ascii="Arial" w:cs="Arial" w:eastAsia="Arial" w:hAnsi="Arial"/>
                <w:sz w:val="18"/>
                <w:szCs w:val="18"/>
                <w:color w:val="auto"/>
                <w:w w:val="92"/>
              </w:rPr>
              <w:t>March 5, 2013</w:t>
            </w:r>
          </w:p>
        </w:tc>
        <w:tc>
          <w:tcPr>
            <w:tcW w:w="120" w:type="dxa"/>
            <w:vAlign w:val="bottom"/>
            <w:shd w:val="clear" w:color="auto" w:fill="EEEEEE"/>
          </w:tcPr>
          <w:p>
            <w:pPr>
              <w:spacing w:after="0"/>
              <w:rPr>
                <w:sz w:val="18"/>
                <w:szCs w:val="18"/>
                <w:color w:val="auto"/>
              </w:rPr>
            </w:pPr>
          </w:p>
        </w:tc>
        <w:tc>
          <w:tcPr>
            <w:tcW w:w="700" w:type="dxa"/>
            <w:vAlign w:val="bottom"/>
            <w:tcBorders>
              <w:top w:val="single" w:sz="8" w:color="auto"/>
            </w:tcBorders>
            <w:shd w:val="clear" w:color="auto" w:fill="EEEEEE"/>
          </w:tcPr>
          <w:p>
            <w:pPr>
              <w:jc w:val="center"/>
              <w:spacing w:after="0"/>
              <w:rPr>
                <w:sz w:val="20"/>
                <w:szCs w:val="20"/>
                <w:color w:val="auto"/>
              </w:rPr>
            </w:pPr>
            <w:r>
              <w:rPr>
                <w:rFonts w:ascii="Arial" w:cs="Arial" w:eastAsia="Arial" w:hAnsi="Arial"/>
                <w:sz w:val="18"/>
                <w:szCs w:val="18"/>
                <w:color w:val="auto"/>
                <w:w w:val="79"/>
              </w:rPr>
              <w:t>0</w:t>
            </w:r>
          </w:p>
        </w:tc>
        <w:tc>
          <w:tcPr>
            <w:tcW w:w="120" w:type="dxa"/>
            <w:vAlign w:val="bottom"/>
            <w:shd w:val="clear" w:color="auto" w:fill="EEEEEE"/>
          </w:tcPr>
          <w:p>
            <w:pPr>
              <w:spacing w:after="0"/>
              <w:rPr>
                <w:sz w:val="18"/>
                <w:szCs w:val="18"/>
                <w:color w:val="auto"/>
              </w:rPr>
            </w:pPr>
          </w:p>
        </w:tc>
        <w:tc>
          <w:tcPr>
            <w:tcW w:w="720" w:type="dxa"/>
            <w:vAlign w:val="bottom"/>
            <w:tcBorders>
              <w:top w:val="single" w:sz="8" w:color="auto"/>
            </w:tcBorders>
            <w:shd w:val="clear" w:color="auto" w:fill="EEEEEE"/>
          </w:tcPr>
          <w:p>
            <w:pPr>
              <w:jc w:val="center"/>
              <w:spacing w:after="0"/>
              <w:rPr>
                <w:sz w:val="20"/>
                <w:szCs w:val="20"/>
                <w:color w:val="auto"/>
              </w:rPr>
            </w:pPr>
            <w:r>
              <w:rPr>
                <w:rFonts w:ascii="Arial" w:cs="Arial" w:eastAsia="Arial" w:hAnsi="Arial"/>
                <w:sz w:val="18"/>
                <w:szCs w:val="18"/>
                <w:color w:val="auto"/>
                <w:w w:val="99"/>
              </w:rPr>
              <w:t>0</w:t>
            </w:r>
          </w:p>
        </w:tc>
        <w:tc>
          <w:tcPr>
            <w:tcW w:w="100" w:type="dxa"/>
            <w:vAlign w:val="bottom"/>
            <w:shd w:val="clear" w:color="auto" w:fill="EEEEEE"/>
          </w:tcPr>
          <w:p>
            <w:pPr>
              <w:spacing w:after="0"/>
              <w:rPr>
                <w:sz w:val="18"/>
                <w:szCs w:val="18"/>
                <w:color w:val="auto"/>
              </w:rPr>
            </w:pPr>
          </w:p>
        </w:tc>
        <w:tc>
          <w:tcPr>
            <w:tcW w:w="980" w:type="dxa"/>
            <w:vAlign w:val="bottom"/>
            <w:tcBorders>
              <w:top w:val="single" w:sz="8" w:color="auto"/>
            </w:tcBorders>
            <w:shd w:val="clear" w:color="auto" w:fill="EEEEEE"/>
          </w:tcPr>
          <w:p>
            <w:pPr>
              <w:jc w:val="center"/>
              <w:spacing w:after="0"/>
              <w:rPr>
                <w:sz w:val="20"/>
                <w:szCs w:val="20"/>
                <w:color w:val="auto"/>
              </w:rPr>
            </w:pPr>
            <w:r>
              <w:rPr>
                <w:rFonts w:ascii="Arial" w:cs="Arial" w:eastAsia="Arial" w:hAnsi="Arial"/>
                <w:sz w:val="18"/>
                <w:szCs w:val="18"/>
                <w:color w:val="auto"/>
                <w:w w:val="79"/>
              </w:rPr>
              <w:t>0</w:t>
            </w:r>
          </w:p>
        </w:tc>
        <w:tc>
          <w:tcPr>
            <w:tcW w:w="100" w:type="dxa"/>
            <w:vAlign w:val="bottom"/>
            <w:shd w:val="clear" w:color="auto" w:fill="EEEEEE"/>
          </w:tcPr>
          <w:p>
            <w:pPr>
              <w:spacing w:after="0"/>
              <w:rPr>
                <w:sz w:val="18"/>
                <w:szCs w:val="18"/>
                <w:color w:val="auto"/>
              </w:rPr>
            </w:pPr>
          </w:p>
        </w:tc>
        <w:tc>
          <w:tcPr>
            <w:tcW w:w="1000" w:type="dxa"/>
            <w:vAlign w:val="bottom"/>
            <w:tcBorders>
              <w:top w:val="single" w:sz="8" w:color="auto"/>
            </w:tcBorders>
            <w:shd w:val="clear" w:color="auto" w:fill="EEEEEE"/>
          </w:tcPr>
          <w:p>
            <w:pPr>
              <w:jc w:val="center"/>
              <w:spacing w:after="0"/>
              <w:rPr>
                <w:sz w:val="20"/>
                <w:szCs w:val="20"/>
                <w:color w:val="auto"/>
              </w:rPr>
            </w:pPr>
            <w:r>
              <w:rPr>
                <w:rFonts w:ascii="Arial" w:cs="Arial" w:eastAsia="Arial" w:hAnsi="Arial"/>
                <w:sz w:val="18"/>
                <w:szCs w:val="18"/>
                <w:color w:val="auto"/>
                <w:w w:val="99"/>
              </w:rPr>
              <w:t>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920" w:type="dxa"/>
            <w:vAlign w:val="bottom"/>
          </w:tcPr>
          <w:p>
            <w:pPr>
              <w:spacing w:after="0"/>
              <w:rPr>
                <w:sz w:val="20"/>
                <w:szCs w:val="20"/>
                <w:color w:val="auto"/>
              </w:rPr>
            </w:pPr>
            <w:r>
              <w:rPr>
                <w:rFonts w:ascii="Arial" w:cs="Arial" w:eastAsia="Arial" w:hAnsi="Arial"/>
                <w:sz w:val="18"/>
                <w:szCs w:val="18"/>
                <w:color w:val="auto"/>
              </w:rPr>
              <w:t>Terry Hamilton</w:t>
            </w:r>
          </w:p>
        </w:tc>
        <w:tc>
          <w:tcPr>
            <w:tcW w:w="1080" w:type="dxa"/>
            <w:vAlign w:val="bottom"/>
            <w:gridSpan w:val="2"/>
          </w:tcPr>
          <w:p>
            <w:pPr>
              <w:jc w:val="center"/>
              <w:spacing w:after="0"/>
              <w:rPr>
                <w:sz w:val="20"/>
                <w:szCs w:val="20"/>
                <w:color w:val="auto"/>
              </w:rPr>
            </w:pPr>
            <w:r>
              <w:rPr>
                <w:rFonts w:ascii="Arial" w:cs="Arial" w:eastAsia="Arial" w:hAnsi="Arial"/>
                <w:sz w:val="18"/>
                <w:szCs w:val="18"/>
                <w:color w:val="auto"/>
                <w:w w:val="91"/>
              </w:rPr>
              <w:t>150,000 (1)</w:t>
            </w:r>
          </w:p>
        </w:tc>
        <w:tc>
          <w:tcPr>
            <w:tcW w:w="1220" w:type="dxa"/>
            <w:vAlign w:val="bottom"/>
            <w:gridSpan w:val="2"/>
          </w:tcPr>
          <w:p>
            <w:pPr>
              <w:jc w:val="center"/>
              <w:spacing w:after="0"/>
              <w:rPr>
                <w:sz w:val="20"/>
                <w:szCs w:val="20"/>
                <w:color w:val="auto"/>
              </w:rPr>
            </w:pPr>
            <w:r>
              <w:rPr>
                <w:rFonts w:ascii="Arial" w:cs="Arial" w:eastAsia="Arial" w:hAnsi="Arial"/>
                <w:sz w:val="18"/>
                <w:szCs w:val="18"/>
                <w:color w:val="auto"/>
                <w:w w:val="99"/>
              </w:rPr>
              <w:t>0</w:t>
            </w:r>
          </w:p>
        </w:tc>
        <w:tc>
          <w:tcPr>
            <w:tcW w:w="100" w:type="dxa"/>
            <w:vAlign w:val="bottom"/>
          </w:tcPr>
          <w:p>
            <w:pPr>
              <w:spacing w:after="0"/>
              <w:rPr>
                <w:sz w:val="18"/>
                <w:szCs w:val="18"/>
                <w:color w:val="auto"/>
              </w:rPr>
            </w:pPr>
          </w:p>
        </w:tc>
        <w:tc>
          <w:tcPr>
            <w:tcW w:w="980" w:type="dxa"/>
            <w:vAlign w:val="bottom"/>
          </w:tcPr>
          <w:p>
            <w:pPr>
              <w:jc w:val="center"/>
              <w:spacing w:after="0"/>
              <w:rPr>
                <w:sz w:val="20"/>
                <w:szCs w:val="20"/>
                <w:color w:val="auto"/>
              </w:rPr>
            </w:pPr>
            <w:r>
              <w:rPr>
                <w:rFonts w:ascii="Arial" w:cs="Arial" w:eastAsia="Arial" w:hAnsi="Arial"/>
                <w:sz w:val="18"/>
                <w:szCs w:val="18"/>
                <w:color w:val="auto"/>
                <w:w w:val="79"/>
              </w:rPr>
              <w:t>0</w:t>
            </w:r>
          </w:p>
        </w:tc>
        <w:tc>
          <w:tcPr>
            <w:tcW w:w="1060" w:type="dxa"/>
            <w:vAlign w:val="bottom"/>
            <w:gridSpan w:val="2"/>
          </w:tcPr>
          <w:p>
            <w:pPr>
              <w:jc w:val="center"/>
              <w:ind w:left="10"/>
              <w:spacing w:after="0"/>
              <w:rPr>
                <w:sz w:val="20"/>
                <w:szCs w:val="20"/>
                <w:color w:val="auto"/>
              </w:rPr>
            </w:pPr>
            <w:r>
              <w:rPr>
                <w:rFonts w:ascii="Arial" w:cs="Arial" w:eastAsia="Arial" w:hAnsi="Arial"/>
                <w:sz w:val="18"/>
                <w:szCs w:val="18"/>
                <w:color w:val="auto"/>
                <w:w w:val="88"/>
              </w:rPr>
              <w:t>$1.00</w:t>
            </w:r>
          </w:p>
        </w:tc>
        <w:tc>
          <w:tcPr>
            <w:tcW w:w="120" w:type="dxa"/>
            <w:vAlign w:val="bottom"/>
          </w:tcPr>
          <w:p>
            <w:pPr>
              <w:spacing w:after="0"/>
              <w:rPr>
                <w:sz w:val="18"/>
                <w:szCs w:val="18"/>
                <w:color w:val="auto"/>
              </w:rPr>
            </w:pPr>
          </w:p>
        </w:tc>
        <w:tc>
          <w:tcPr>
            <w:tcW w:w="1080" w:type="dxa"/>
            <w:vAlign w:val="bottom"/>
          </w:tcPr>
          <w:p>
            <w:pPr>
              <w:jc w:val="center"/>
              <w:spacing w:after="0"/>
              <w:rPr>
                <w:sz w:val="20"/>
                <w:szCs w:val="20"/>
                <w:color w:val="auto"/>
              </w:rPr>
            </w:pPr>
            <w:r>
              <w:rPr>
                <w:rFonts w:ascii="Arial" w:cs="Arial" w:eastAsia="Arial" w:hAnsi="Arial"/>
                <w:sz w:val="18"/>
                <w:szCs w:val="18"/>
                <w:color w:val="auto"/>
                <w:w w:val="92"/>
              </w:rPr>
              <w:t>March 5, 2013</w:t>
            </w:r>
          </w:p>
        </w:tc>
        <w:tc>
          <w:tcPr>
            <w:tcW w:w="820" w:type="dxa"/>
            <w:vAlign w:val="bottom"/>
            <w:gridSpan w:val="2"/>
          </w:tcPr>
          <w:p>
            <w:pPr>
              <w:jc w:val="center"/>
              <w:ind w:left="10"/>
              <w:spacing w:after="0"/>
              <w:rPr>
                <w:sz w:val="20"/>
                <w:szCs w:val="20"/>
                <w:color w:val="auto"/>
              </w:rPr>
            </w:pPr>
            <w:r>
              <w:rPr>
                <w:rFonts w:ascii="Arial" w:cs="Arial" w:eastAsia="Arial" w:hAnsi="Arial"/>
                <w:sz w:val="18"/>
                <w:szCs w:val="18"/>
                <w:color w:val="auto"/>
                <w:w w:val="79"/>
              </w:rPr>
              <w:t>0</w:t>
            </w:r>
          </w:p>
        </w:tc>
        <w:tc>
          <w:tcPr>
            <w:tcW w:w="840" w:type="dxa"/>
            <w:vAlign w:val="bottom"/>
            <w:gridSpan w:val="2"/>
          </w:tcPr>
          <w:p>
            <w:pPr>
              <w:jc w:val="center"/>
              <w:ind w:left="10"/>
              <w:spacing w:after="0"/>
              <w:rPr>
                <w:sz w:val="20"/>
                <w:szCs w:val="20"/>
                <w:color w:val="auto"/>
              </w:rPr>
            </w:pPr>
            <w:r>
              <w:rPr>
                <w:rFonts w:ascii="Arial" w:cs="Arial" w:eastAsia="Arial" w:hAnsi="Arial"/>
                <w:sz w:val="18"/>
                <w:szCs w:val="18"/>
                <w:color w:val="auto"/>
                <w:w w:val="99"/>
              </w:rPr>
              <w:t>0</w:t>
            </w:r>
          </w:p>
        </w:tc>
        <w:tc>
          <w:tcPr>
            <w:tcW w:w="1080" w:type="dxa"/>
            <w:vAlign w:val="bottom"/>
            <w:gridSpan w:val="2"/>
          </w:tcPr>
          <w:p>
            <w:pPr>
              <w:jc w:val="center"/>
              <w:spacing w:after="0"/>
              <w:rPr>
                <w:sz w:val="20"/>
                <w:szCs w:val="20"/>
                <w:color w:val="auto"/>
              </w:rPr>
            </w:pPr>
            <w:r>
              <w:rPr>
                <w:rFonts w:ascii="Arial" w:cs="Arial" w:eastAsia="Arial" w:hAnsi="Arial"/>
                <w:sz w:val="18"/>
                <w:szCs w:val="18"/>
                <w:color w:val="auto"/>
                <w:w w:val="79"/>
              </w:rPr>
              <w:t>0</w:t>
            </w:r>
          </w:p>
        </w:tc>
        <w:tc>
          <w:tcPr>
            <w:tcW w:w="1100" w:type="dxa"/>
            <w:vAlign w:val="bottom"/>
            <w:gridSpan w:val="2"/>
          </w:tcPr>
          <w:p>
            <w:pPr>
              <w:jc w:val="center"/>
              <w:spacing w:after="0"/>
              <w:rPr>
                <w:sz w:val="20"/>
                <w:szCs w:val="20"/>
                <w:color w:val="auto"/>
              </w:rPr>
            </w:pPr>
            <w:r>
              <w:rPr>
                <w:rFonts w:ascii="Arial" w:cs="Arial" w:eastAsia="Arial" w:hAnsi="Arial"/>
                <w:sz w:val="18"/>
                <w:szCs w:val="18"/>
                <w:color w:val="auto"/>
                <w:w w:val="99"/>
              </w:rPr>
              <w:t>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920" w:type="dxa"/>
            <w:vAlign w:val="bottom"/>
            <w:shd w:val="clear" w:color="auto" w:fill="EEEEEE"/>
          </w:tcPr>
          <w:p>
            <w:pPr>
              <w:spacing w:after="0"/>
              <w:rPr>
                <w:sz w:val="20"/>
                <w:szCs w:val="20"/>
                <w:color w:val="auto"/>
              </w:rPr>
            </w:pPr>
            <w:r>
              <w:rPr>
                <w:rFonts w:ascii="Arial" w:cs="Arial" w:eastAsia="Arial" w:hAnsi="Arial"/>
                <w:sz w:val="18"/>
                <w:szCs w:val="18"/>
                <w:color w:val="auto"/>
              </w:rPr>
              <w:t>Vernon Hartman</w:t>
            </w:r>
          </w:p>
        </w:tc>
        <w:tc>
          <w:tcPr>
            <w:tcW w:w="1080" w:type="dxa"/>
            <w:vAlign w:val="bottom"/>
            <w:gridSpan w:val="2"/>
            <w:shd w:val="clear" w:color="auto" w:fill="EEEEEE"/>
          </w:tcPr>
          <w:p>
            <w:pPr>
              <w:jc w:val="center"/>
              <w:ind w:left="10"/>
              <w:spacing w:after="0"/>
              <w:rPr>
                <w:sz w:val="20"/>
                <w:szCs w:val="20"/>
                <w:color w:val="auto"/>
              </w:rPr>
            </w:pPr>
            <w:r>
              <w:rPr>
                <w:rFonts w:ascii="Arial" w:cs="Arial" w:eastAsia="Arial" w:hAnsi="Arial"/>
                <w:sz w:val="18"/>
                <w:szCs w:val="18"/>
                <w:color w:val="auto"/>
                <w:w w:val="90"/>
              </w:rPr>
              <w:t>50,000 (1)</w:t>
            </w:r>
          </w:p>
        </w:tc>
        <w:tc>
          <w:tcPr>
            <w:tcW w:w="1220" w:type="dxa"/>
            <w:vAlign w:val="bottom"/>
            <w:gridSpan w:val="2"/>
            <w:shd w:val="clear" w:color="auto" w:fill="EEEEEE"/>
          </w:tcPr>
          <w:p>
            <w:pPr>
              <w:jc w:val="center"/>
              <w:spacing w:after="0"/>
              <w:rPr>
                <w:sz w:val="20"/>
                <w:szCs w:val="20"/>
                <w:color w:val="auto"/>
              </w:rPr>
            </w:pPr>
            <w:r>
              <w:rPr>
                <w:rFonts w:ascii="Arial" w:cs="Arial" w:eastAsia="Arial" w:hAnsi="Arial"/>
                <w:sz w:val="18"/>
                <w:szCs w:val="18"/>
                <w:color w:val="auto"/>
                <w:w w:val="99"/>
              </w:rPr>
              <w:t>0</w:t>
            </w:r>
          </w:p>
        </w:tc>
        <w:tc>
          <w:tcPr>
            <w:tcW w:w="100" w:type="dxa"/>
            <w:vAlign w:val="bottom"/>
            <w:shd w:val="clear" w:color="auto" w:fill="EEEEEE"/>
          </w:tcPr>
          <w:p>
            <w:pPr>
              <w:spacing w:after="0"/>
              <w:rPr>
                <w:sz w:val="18"/>
                <w:szCs w:val="18"/>
                <w:color w:val="auto"/>
              </w:rPr>
            </w:pPr>
          </w:p>
        </w:tc>
        <w:tc>
          <w:tcPr>
            <w:tcW w:w="980" w:type="dxa"/>
            <w:vAlign w:val="bottom"/>
            <w:shd w:val="clear" w:color="auto" w:fill="EEEEEE"/>
          </w:tcPr>
          <w:p>
            <w:pPr>
              <w:jc w:val="center"/>
              <w:spacing w:after="0"/>
              <w:rPr>
                <w:sz w:val="20"/>
                <w:szCs w:val="20"/>
                <w:color w:val="auto"/>
              </w:rPr>
            </w:pPr>
            <w:r>
              <w:rPr>
                <w:rFonts w:ascii="Arial" w:cs="Arial" w:eastAsia="Arial" w:hAnsi="Arial"/>
                <w:sz w:val="18"/>
                <w:szCs w:val="18"/>
                <w:color w:val="auto"/>
                <w:w w:val="79"/>
              </w:rPr>
              <w:t>0</w:t>
            </w:r>
          </w:p>
        </w:tc>
        <w:tc>
          <w:tcPr>
            <w:tcW w:w="1060" w:type="dxa"/>
            <w:vAlign w:val="bottom"/>
            <w:gridSpan w:val="2"/>
            <w:shd w:val="clear" w:color="auto" w:fill="EEEEEE"/>
          </w:tcPr>
          <w:p>
            <w:pPr>
              <w:jc w:val="center"/>
              <w:ind w:left="10"/>
              <w:spacing w:after="0"/>
              <w:rPr>
                <w:sz w:val="20"/>
                <w:szCs w:val="20"/>
                <w:color w:val="auto"/>
              </w:rPr>
            </w:pPr>
            <w:r>
              <w:rPr>
                <w:rFonts w:ascii="Arial" w:cs="Arial" w:eastAsia="Arial" w:hAnsi="Arial"/>
                <w:sz w:val="18"/>
                <w:szCs w:val="18"/>
                <w:color w:val="auto"/>
                <w:w w:val="88"/>
              </w:rPr>
              <w:t>$1.00</w:t>
            </w:r>
          </w:p>
        </w:tc>
        <w:tc>
          <w:tcPr>
            <w:tcW w:w="120" w:type="dxa"/>
            <w:vAlign w:val="bottom"/>
            <w:shd w:val="clear" w:color="auto" w:fill="EEEEEE"/>
          </w:tcPr>
          <w:p>
            <w:pPr>
              <w:spacing w:after="0"/>
              <w:rPr>
                <w:sz w:val="18"/>
                <w:szCs w:val="18"/>
                <w:color w:val="auto"/>
              </w:rPr>
            </w:pPr>
          </w:p>
        </w:tc>
        <w:tc>
          <w:tcPr>
            <w:tcW w:w="1080" w:type="dxa"/>
            <w:vAlign w:val="bottom"/>
            <w:shd w:val="clear" w:color="auto" w:fill="EEEEEE"/>
          </w:tcPr>
          <w:p>
            <w:pPr>
              <w:jc w:val="center"/>
              <w:spacing w:after="0"/>
              <w:rPr>
                <w:sz w:val="20"/>
                <w:szCs w:val="20"/>
                <w:color w:val="auto"/>
              </w:rPr>
            </w:pPr>
            <w:r>
              <w:rPr>
                <w:rFonts w:ascii="Arial" w:cs="Arial" w:eastAsia="Arial" w:hAnsi="Arial"/>
                <w:sz w:val="18"/>
                <w:szCs w:val="18"/>
                <w:color w:val="auto"/>
                <w:w w:val="92"/>
              </w:rPr>
              <w:t>March 5, 2013</w:t>
            </w:r>
          </w:p>
        </w:tc>
        <w:tc>
          <w:tcPr>
            <w:tcW w:w="820" w:type="dxa"/>
            <w:vAlign w:val="bottom"/>
            <w:gridSpan w:val="2"/>
            <w:shd w:val="clear" w:color="auto" w:fill="EEEEEE"/>
          </w:tcPr>
          <w:p>
            <w:pPr>
              <w:jc w:val="center"/>
              <w:ind w:left="10"/>
              <w:spacing w:after="0"/>
              <w:rPr>
                <w:sz w:val="20"/>
                <w:szCs w:val="20"/>
                <w:color w:val="auto"/>
              </w:rPr>
            </w:pPr>
            <w:r>
              <w:rPr>
                <w:rFonts w:ascii="Arial" w:cs="Arial" w:eastAsia="Arial" w:hAnsi="Arial"/>
                <w:sz w:val="18"/>
                <w:szCs w:val="18"/>
                <w:color w:val="auto"/>
                <w:w w:val="79"/>
              </w:rPr>
              <w:t>0</w:t>
            </w:r>
          </w:p>
        </w:tc>
        <w:tc>
          <w:tcPr>
            <w:tcW w:w="840" w:type="dxa"/>
            <w:vAlign w:val="bottom"/>
            <w:gridSpan w:val="2"/>
            <w:shd w:val="clear" w:color="auto" w:fill="EEEEEE"/>
          </w:tcPr>
          <w:p>
            <w:pPr>
              <w:jc w:val="center"/>
              <w:ind w:left="10"/>
              <w:spacing w:after="0"/>
              <w:rPr>
                <w:sz w:val="20"/>
                <w:szCs w:val="20"/>
                <w:color w:val="auto"/>
              </w:rPr>
            </w:pPr>
            <w:r>
              <w:rPr>
                <w:rFonts w:ascii="Arial" w:cs="Arial" w:eastAsia="Arial" w:hAnsi="Arial"/>
                <w:sz w:val="18"/>
                <w:szCs w:val="18"/>
                <w:color w:val="auto"/>
                <w:w w:val="99"/>
              </w:rPr>
              <w:t>0</w:t>
            </w:r>
          </w:p>
        </w:tc>
        <w:tc>
          <w:tcPr>
            <w:tcW w:w="1080" w:type="dxa"/>
            <w:vAlign w:val="bottom"/>
            <w:gridSpan w:val="2"/>
            <w:shd w:val="clear" w:color="auto" w:fill="EEEEEE"/>
          </w:tcPr>
          <w:p>
            <w:pPr>
              <w:jc w:val="center"/>
              <w:spacing w:after="0"/>
              <w:rPr>
                <w:sz w:val="20"/>
                <w:szCs w:val="20"/>
                <w:color w:val="auto"/>
              </w:rPr>
            </w:pPr>
            <w:r>
              <w:rPr>
                <w:rFonts w:ascii="Arial" w:cs="Arial" w:eastAsia="Arial" w:hAnsi="Arial"/>
                <w:sz w:val="18"/>
                <w:szCs w:val="18"/>
                <w:color w:val="auto"/>
                <w:w w:val="79"/>
              </w:rPr>
              <w:t>0</w:t>
            </w:r>
          </w:p>
        </w:tc>
        <w:tc>
          <w:tcPr>
            <w:tcW w:w="1100" w:type="dxa"/>
            <w:vAlign w:val="bottom"/>
            <w:gridSpan w:val="2"/>
            <w:shd w:val="clear" w:color="auto" w:fill="EEEEEE"/>
          </w:tcPr>
          <w:p>
            <w:pPr>
              <w:jc w:val="center"/>
              <w:spacing w:after="0"/>
              <w:rPr>
                <w:sz w:val="20"/>
                <w:szCs w:val="20"/>
                <w:color w:val="auto"/>
              </w:rPr>
            </w:pPr>
            <w:r>
              <w:rPr>
                <w:rFonts w:ascii="Arial" w:cs="Arial" w:eastAsia="Arial" w:hAnsi="Arial"/>
                <w:sz w:val="18"/>
                <w:szCs w:val="18"/>
                <w:color w:val="auto"/>
                <w:w w:val="99"/>
              </w:rPr>
              <w:t>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920" w:type="dxa"/>
            <w:vAlign w:val="bottom"/>
          </w:tcPr>
          <w:p>
            <w:pPr>
              <w:spacing w:after="0"/>
              <w:rPr>
                <w:sz w:val="20"/>
                <w:szCs w:val="20"/>
                <w:color w:val="auto"/>
              </w:rPr>
            </w:pPr>
            <w:r>
              <w:rPr>
                <w:rFonts w:ascii="Arial" w:cs="Arial" w:eastAsia="Arial" w:hAnsi="Arial"/>
                <w:sz w:val="18"/>
                <w:szCs w:val="18"/>
                <w:color w:val="auto"/>
              </w:rPr>
              <w:t>Andrew Dahl</w:t>
            </w:r>
          </w:p>
        </w:tc>
        <w:tc>
          <w:tcPr>
            <w:tcW w:w="1080" w:type="dxa"/>
            <w:vAlign w:val="bottom"/>
            <w:gridSpan w:val="2"/>
          </w:tcPr>
          <w:p>
            <w:pPr>
              <w:jc w:val="center"/>
              <w:ind w:left="10"/>
              <w:spacing w:after="0"/>
              <w:rPr>
                <w:sz w:val="20"/>
                <w:szCs w:val="20"/>
                <w:color w:val="auto"/>
              </w:rPr>
            </w:pPr>
            <w:r>
              <w:rPr>
                <w:rFonts w:ascii="Arial" w:cs="Arial" w:eastAsia="Arial" w:hAnsi="Arial"/>
                <w:sz w:val="18"/>
                <w:szCs w:val="18"/>
                <w:color w:val="auto"/>
                <w:w w:val="90"/>
              </w:rPr>
              <w:t>20,000 (1)</w:t>
            </w:r>
          </w:p>
        </w:tc>
        <w:tc>
          <w:tcPr>
            <w:tcW w:w="1220" w:type="dxa"/>
            <w:vAlign w:val="bottom"/>
            <w:gridSpan w:val="2"/>
          </w:tcPr>
          <w:p>
            <w:pPr>
              <w:jc w:val="center"/>
              <w:spacing w:after="0"/>
              <w:rPr>
                <w:sz w:val="20"/>
                <w:szCs w:val="20"/>
                <w:color w:val="auto"/>
              </w:rPr>
            </w:pPr>
            <w:r>
              <w:rPr>
                <w:rFonts w:ascii="Arial" w:cs="Arial" w:eastAsia="Arial" w:hAnsi="Arial"/>
                <w:sz w:val="18"/>
                <w:szCs w:val="18"/>
                <w:color w:val="auto"/>
                <w:w w:val="99"/>
              </w:rPr>
              <w:t>0</w:t>
            </w:r>
          </w:p>
        </w:tc>
        <w:tc>
          <w:tcPr>
            <w:tcW w:w="100" w:type="dxa"/>
            <w:vAlign w:val="bottom"/>
          </w:tcPr>
          <w:p>
            <w:pPr>
              <w:spacing w:after="0"/>
              <w:rPr>
                <w:sz w:val="18"/>
                <w:szCs w:val="18"/>
                <w:color w:val="auto"/>
              </w:rPr>
            </w:pPr>
          </w:p>
        </w:tc>
        <w:tc>
          <w:tcPr>
            <w:tcW w:w="980" w:type="dxa"/>
            <w:vAlign w:val="bottom"/>
          </w:tcPr>
          <w:p>
            <w:pPr>
              <w:jc w:val="center"/>
              <w:spacing w:after="0"/>
              <w:rPr>
                <w:sz w:val="20"/>
                <w:szCs w:val="20"/>
                <w:color w:val="auto"/>
              </w:rPr>
            </w:pPr>
            <w:r>
              <w:rPr>
                <w:rFonts w:ascii="Arial" w:cs="Arial" w:eastAsia="Arial" w:hAnsi="Arial"/>
                <w:sz w:val="18"/>
                <w:szCs w:val="18"/>
                <w:color w:val="auto"/>
                <w:w w:val="79"/>
              </w:rPr>
              <w:t>0</w:t>
            </w:r>
          </w:p>
        </w:tc>
        <w:tc>
          <w:tcPr>
            <w:tcW w:w="1060" w:type="dxa"/>
            <w:vAlign w:val="bottom"/>
            <w:gridSpan w:val="2"/>
          </w:tcPr>
          <w:p>
            <w:pPr>
              <w:jc w:val="center"/>
              <w:ind w:left="10"/>
              <w:spacing w:after="0"/>
              <w:rPr>
                <w:sz w:val="20"/>
                <w:szCs w:val="20"/>
                <w:color w:val="auto"/>
              </w:rPr>
            </w:pPr>
            <w:r>
              <w:rPr>
                <w:rFonts w:ascii="Arial" w:cs="Arial" w:eastAsia="Arial" w:hAnsi="Arial"/>
                <w:sz w:val="18"/>
                <w:szCs w:val="18"/>
                <w:color w:val="auto"/>
                <w:w w:val="88"/>
              </w:rPr>
              <w:t>$1.00</w:t>
            </w:r>
          </w:p>
        </w:tc>
        <w:tc>
          <w:tcPr>
            <w:tcW w:w="120" w:type="dxa"/>
            <w:vAlign w:val="bottom"/>
          </w:tcPr>
          <w:p>
            <w:pPr>
              <w:spacing w:after="0"/>
              <w:rPr>
                <w:sz w:val="18"/>
                <w:szCs w:val="18"/>
                <w:color w:val="auto"/>
              </w:rPr>
            </w:pPr>
          </w:p>
        </w:tc>
        <w:tc>
          <w:tcPr>
            <w:tcW w:w="1080" w:type="dxa"/>
            <w:vAlign w:val="bottom"/>
          </w:tcPr>
          <w:p>
            <w:pPr>
              <w:jc w:val="center"/>
              <w:spacing w:after="0"/>
              <w:rPr>
                <w:sz w:val="20"/>
                <w:szCs w:val="20"/>
                <w:color w:val="auto"/>
              </w:rPr>
            </w:pPr>
            <w:r>
              <w:rPr>
                <w:rFonts w:ascii="Arial" w:cs="Arial" w:eastAsia="Arial" w:hAnsi="Arial"/>
                <w:sz w:val="18"/>
                <w:szCs w:val="18"/>
                <w:color w:val="auto"/>
                <w:w w:val="92"/>
              </w:rPr>
              <w:t>March 5, 2013</w:t>
            </w:r>
          </w:p>
        </w:tc>
        <w:tc>
          <w:tcPr>
            <w:tcW w:w="820" w:type="dxa"/>
            <w:vAlign w:val="bottom"/>
            <w:gridSpan w:val="2"/>
          </w:tcPr>
          <w:p>
            <w:pPr>
              <w:jc w:val="center"/>
              <w:ind w:left="10"/>
              <w:spacing w:after="0"/>
              <w:rPr>
                <w:sz w:val="20"/>
                <w:szCs w:val="20"/>
                <w:color w:val="auto"/>
              </w:rPr>
            </w:pPr>
            <w:r>
              <w:rPr>
                <w:rFonts w:ascii="Arial" w:cs="Arial" w:eastAsia="Arial" w:hAnsi="Arial"/>
                <w:sz w:val="18"/>
                <w:szCs w:val="18"/>
                <w:color w:val="auto"/>
                <w:w w:val="79"/>
              </w:rPr>
              <w:t>0</w:t>
            </w:r>
          </w:p>
        </w:tc>
        <w:tc>
          <w:tcPr>
            <w:tcW w:w="840" w:type="dxa"/>
            <w:vAlign w:val="bottom"/>
            <w:gridSpan w:val="2"/>
          </w:tcPr>
          <w:p>
            <w:pPr>
              <w:jc w:val="center"/>
              <w:ind w:left="10"/>
              <w:spacing w:after="0"/>
              <w:rPr>
                <w:sz w:val="20"/>
                <w:szCs w:val="20"/>
                <w:color w:val="auto"/>
              </w:rPr>
            </w:pPr>
            <w:r>
              <w:rPr>
                <w:rFonts w:ascii="Arial" w:cs="Arial" w:eastAsia="Arial" w:hAnsi="Arial"/>
                <w:sz w:val="18"/>
                <w:szCs w:val="18"/>
                <w:color w:val="auto"/>
                <w:w w:val="99"/>
              </w:rPr>
              <w:t>0</w:t>
            </w:r>
          </w:p>
        </w:tc>
        <w:tc>
          <w:tcPr>
            <w:tcW w:w="1080" w:type="dxa"/>
            <w:vAlign w:val="bottom"/>
            <w:gridSpan w:val="2"/>
          </w:tcPr>
          <w:p>
            <w:pPr>
              <w:jc w:val="center"/>
              <w:spacing w:after="0"/>
              <w:rPr>
                <w:sz w:val="20"/>
                <w:szCs w:val="20"/>
                <w:color w:val="auto"/>
              </w:rPr>
            </w:pPr>
            <w:r>
              <w:rPr>
                <w:rFonts w:ascii="Arial" w:cs="Arial" w:eastAsia="Arial" w:hAnsi="Arial"/>
                <w:sz w:val="18"/>
                <w:szCs w:val="18"/>
                <w:color w:val="auto"/>
                <w:w w:val="79"/>
              </w:rPr>
              <w:t>0</w:t>
            </w:r>
          </w:p>
        </w:tc>
        <w:tc>
          <w:tcPr>
            <w:tcW w:w="1100" w:type="dxa"/>
            <w:vAlign w:val="bottom"/>
            <w:gridSpan w:val="2"/>
          </w:tcPr>
          <w:p>
            <w:pPr>
              <w:jc w:val="center"/>
              <w:spacing w:after="0"/>
              <w:rPr>
                <w:sz w:val="20"/>
                <w:szCs w:val="20"/>
                <w:color w:val="auto"/>
              </w:rPr>
            </w:pPr>
            <w:r>
              <w:rPr>
                <w:rFonts w:ascii="Arial" w:cs="Arial" w:eastAsia="Arial" w:hAnsi="Arial"/>
                <w:sz w:val="18"/>
                <w:szCs w:val="18"/>
                <w:color w:val="auto"/>
                <w:w w:val="99"/>
              </w:rPr>
              <w:t>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920" w:type="dxa"/>
            <w:vAlign w:val="bottom"/>
            <w:shd w:val="clear" w:color="auto" w:fill="EEEEEE"/>
          </w:tcPr>
          <w:p>
            <w:pPr>
              <w:spacing w:after="0"/>
              <w:rPr>
                <w:sz w:val="20"/>
                <w:szCs w:val="20"/>
                <w:color w:val="auto"/>
              </w:rPr>
            </w:pPr>
            <w:r>
              <w:rPr>
                <w:rFonts w:ascii="Arial" w:cs="Arial" w:eastAsia="Arial" w:hAnsi="Arial"/>
                <w:sz w:val="18"/>
                <w:szCs w:val="18"/>
                <w:color w:val="auto"/>
              </w:rPr>
              <w:t>Jay Pinney, MD</w:t>
            </w:r>
          </w:p>
        </w:tc>
        <w:tc>
          <w:tcPr>
            <w:tcW w:w="1080" w:type="dxa"/>
            <w:vAlign w:val="bottom"/>
            <w:gridSpan w:val="2"/>
            <w:shd w:val="clear" w:color="auto" w:fill="EEEEEE"/>
          </w:tcPr>
          <w:p>
            <w:pPr>
              <w:jc w:val="center"/>
              <w:ind w:left="10"/>
              <w:spacing w:after="0"/>
              <w:rPr>
                <w:sz w:val="20"/>
                <w:szCs w:val="20"/>
                <w:color w:val="auto"/>
              </w:rPr>
            </w:pPr>
            <w:r>
              <w:rPr>
                <w:rFonts w:ascii="Arial" w:cs="Arial" w:eastAsia="Arial" w:hAnsi="Arial"/>
                <w:sz w:val="18"/>
                <w:szCs w:val="18"/>
                <w:color w:val="auto"/>
                <w:w w:val="90"/>
              </w:rPr>
              <w:t>25,000 (1)</w:t>
            </w:r>
          </w:p>
        </w:tc>
        <w:tc>
          <w:tcPr>
            <w:tcW w:w="1220" w:type="dxa"/>
            <w:vAlign w:val="bottom"/>
            <w:gridSpan w:val="2"/>
            <w:shd w:val="clear" w:color="auto" w:fill="EEEEEE"/>
          </w:tcPr>
          <w:p>
            <w:pPr>
              <w:jc w:val="center"/>
              <w:spacing w:after="0"/>
              <w:rPr>
                <w:sz w:val="20"/>
                <w:szCs w:val="20"/>
                <w:color w:val="auto"/>
              </w:rPr>
            </w:pPr>
            <w:r>
              <w:rPr>
                <w:rFonts w:ascii="Arial" w:cs="Arial" w:eastAsia="Arial" w:hAnsi="Arial"/>
                <w:sz w:val="18"/>
                <w:szCs w:val="18"/>
                <w:color w:val="auto"/>
                <w:w w:val="99"/>
              </w:rPr>
              <w:t>0</w:t>
            </w:r>
          </w:p>
        </w:tc>
        <w:tc>
          <w:tcPr>
            <w:tcW w:w="100" w:type="dxa"/>
            <w:vAlign w:val="bottom"/>
            <w:shd w:val="clear" w:color="auto" w:fill="EEEEEE"/>
          </w:tcPr>
          <w:p>
            <w:pPr>
              <w:spacing w:after="0"/>
              <w:rPr>
                <w:sz w:val="18"/>
                <w:szCs w:val="18"/>
                <w:color w:val="auto"/>
              </w:rPr>
            </w:pPr>
          </w:p>
        </w:tc>
        <w:tc>
          <w:tcPr>
            <w:tcW w:w="980" w:type="dxa"/>
            <w:vAlign w:val="bottom"/>
            <w:shd w:val="clear" w:color="auto" w:fill="EEEEEE"/>
          </w:tcPr>
          <w:p>
            <w:pPr>
              <w:jc w:val="center"/>
              <w:spacing w:after="0"/>
              <w:rPr>
                <w:sz w:val="20"/>
                <w:szCs w:val="20"/>
                <w:color w:val="auto"/>
              </w:rPr>
            </w:pPr>
            <w:r>
              <w:rPr>
                <w:rFonts w:ascii="Arial" w:cs="Arial" w:eastAsia="Arial" w:hAnsi="Arial"/>
                <w:sz w:val="18"/>
                <w:szCs w:val="18"/>
                <w:color w:val="auto"/>
                <w:w w:val="79"/>
              </w:rPr>
              <w:t>0</w:t>
            </w:r>
          </w:p>
        </w:tc>
        <w:tc>
          <w:tcPr>
            <w:tcW w:w="1060" w:type="dxa"/>
            <w:vAlign w:val="bottom"/>
            <w:gridSpan w:val="2"/>
            <w:shd w:val="clear" w:color="auto" w:fill="EEEEEE"/>
          </w:tcPr>
          <w:p>
            <w:pPr>
              <w:jc w:val="center"/>
              <w:ind w:left="10"/>
              <w:spacing w:after="0"/>
              <w:rPr>
                <w:sz w:val="20"/>
                <w:szCs w:val="20"/>
                <w:color w:val="auto"/>
              </w:rPr>
            </w:pPr>
            <w:r>
              <w:rPr>
                <w:rFonts w:ascii="Arial" w:cs="Arial" w:eastAsia="Arial" w:hAnsi="Arial"/>
                <w:sz w:val="18"/>
                <w:szCs w:val="18"/>
                <w:color w:val="auto"/>
                <w:w w:val="88"/>
              </w:rPr>
              <w:t>$1.00</w:t>
            </w:r>
          </w:p>
        </w:tc>
        <w:tc>
          <w:tcPr>
            <w:tcW w:w="120" w:type="dxa"/>
            <w:vAlign w:val="bottom"/>
            <w:shd w:val="clear" w:color="auto" w:fill="EEEEEE"/>
          </w:tcPr>
          <w:p>
            <w:pPr>
              <w:spacing w:after="0"/>
              <w:rPr>
                <w:sz w:val="18"/>
                <w:szCs w:val="18"/>
                <w:color w:val="auto"/>
              </w:rPr>
            </w:pPr>
          </w:p>
        </w:tc>
        <w:tc>
          <w:tcPr>
            <w:tcW w:w="1080" w:type="dxa"/>
            <w:vAlign w:val="bottom"/>
            <w:shd w:val="clear" w:color="auto" w:fill="EEEEEE"/>
          </w:tcPr>
          <w:p>
            <w:pPr>
              <w:jc w:val="center"/>
              <w:spacing w:after="0"/>
              <w:rPr>
                <w:sz w:val="20"/>
                <w:szCs w:val="20"/>
                <w:color w:val="auto"/>
              </w:rPr>
            </w:pPr>
            <w:r>
              <w:rPr>
                <w:rFonts w:ascii="Arial" w:cs="Arial" w:eastAsia="Arial" w:hAnsi="Arial"/>
                <w:sz w:val="18"/>
                <w:szCs w:val="18"/>
                <w:color w:val="auto"/>
                <w:w w:val="92"/>
              </w:rPr>
              <w:t>March 5, 2013</w:t>
            </w:r>
          </w:p>
        </w:tc>
        <w:tc>
          <w:tcPr>
            <w:tcW w:w="820" w:type="dxa"/>
            <w:vAlign w:val="bottom"/>
            <w:gridSpan w:val="2"/>
            <w:shd w:val="clear" w:color="auto" w:fill="EEEEEE"/>
          </w:tcPr>
          <w:p>
            <w:pPr>
              <w:jc w:val="center"/>
              <w:ind w:left="10"/>
              <w:spacing w:after="0"/>
              <w:rPr>
                <w:sz w:val="20"/>
                <w:szCs w:val="20"/>
                <w:color w:val="auto"/>
              </w:rPr>
            </w:pPr>
            <w:r>
              <w:rPr>
                <w:rFonts w:ascii="Arial" w:cs="Arial" w:eastAsia="Arial" w:hAnsi="Arial"/>
                <w:sz w:val="18"/>
                <w:szCs w:val="18"/>
                <w:color w:val="auto"/>
                <w:w w:val="79"/>
              </w:rPr>
              <w:t>0</w:t>
            </w:r>
          </w:p>
        </w:tc>
        <w:tc>
          <w:tcPr>
            <w:tcW w:w="840" w:type="dxa"/>
            <w:vAlign w:val="bottom"/>
            <w:gridSpan w:val="2"/>
            <w:shd w:val="clear" w:color="auto" w:fill="EEEEEE"/>
          </w:tcPr>
          <w:p>
            <w:pPr>
              <w:jc w:val="center"/>
              <w:ind w:left="10"/>
              <w:spacing w:after="0"/>
              <w:rPr>
                <w:sz w:val="20"/>
                <w:szCs w:val="20"/>
                <w:color w:val="auto"/>
              </w:rPr>
            </w:pPr>
            <w:r>
              <w:rPr>
                <w:rFonts w:ascii="Arial" w:cs="Arial" w:eastAsia="Arial" w:hAnsi="Arial"/>
                <w:sz w:val="18"/>
                <w:szCs w:val="18"/>
                <w:color w:val="auto"/>
                <w:w w:val="99"/>
              </w:rPr>
              <w:t>0</w:t>
            </w:r>
          </w:p>
        </w:tc>
        <w:tc>
          <w:tcPr>
            <w:tcW w:w="1080" w:type="dxa"/>
            <w:vAlign w:val="bottom"/>
            <w:gridSpan w:val="2"/>
            <w:shd w:val="clear" w:color="auto" w:fill="EEEEEE"/>
          </w:tcPr>
          <w:p>
            <w:pPr>
              <w:jc w:val="center"/>
              <w:spacing w:after="0"/>
              <w:rPr>
                <w:sz w:val="20"/>
                <w:szCs w:val="20"/>
                <w:color w:val="auto"/>
              </w:rPr>
            </w:pPr>
            <w:r>
              <w:rPr>
                <w:rFonts w:ascii="Arial" w:cs="Arial" w:eastAsia="Arial" w:hAnsi="Arial"/>
                <w:sz w:val="18"/>
                <w:szCs w:val="18"/>
                <w:color w:val="auto"/>
                <w:w w:val="79"/>
              </w:rPr>
              <w:t>0</w:t>
            </w:r>
          </w:p>
        </w:tc>
        <w:tc>
          <w:tcPr>
            <w:tcW w:w="1100" w:type="dxa"/>
            <w:vAlign w:val="bottom"/>
            <w:gridSpan w:val="2"/>
            <w:shd w:val="clear" w:color="auto" w:fill="EEEEEE"/>
          </w:tcPr>
          <w:p>
            <w:pPr>
              <w:jc w:val="center"/>
              <w:spacing w:after="0"/>
              <w:rPr>
                <w:sz w:val="20"/>
                <w:szCs w:val="20"/>
                <w:color w:val="auto"/>
              </w:rPr>
            </w:pPr>
            <w:r>
              <w:rPr>
                <w:rFonts w:ascii="Arial" w:cs="Arial" w:eastAsia="Arial" w:hAnsi="Arial"/>
                <w:sz w:val="18"/>
                <w:szCs w:val="18"/>
                <w:color w:val="auto"/>
                <w:w w:val="99"/>
              </w:rPr>
              <w:t>0</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1920" w:type="dxa"/>
            <w:vAlign w:val="bottom"/>
          </w:tcPr>
          <w:p>
            <w:pPr>
              <w:spacing w:after="0"/>
              <w:rPr>
                <w:sz w:val="20"/>
                <w:szCs w:val="20"/>
                <w:color w:val="auto"/>
              </w:rPr>
            </w:pPr>
            <w:r>
              <w:rPr>
                <w:rFonts w:ascii="Arial" w:cs="Arial" w:eastAsia="Arial" w:hAnsi="Arial"/>
                <w:sz w:val="18"/>
                <w:szCs w:val="18"/>
                <w:color w:val="auto"/>
              </w:rPr>
              <w:t>Thomas Majerowicz</w:t>
            </w:r>
          </w:p>
        </w:tc>
        <w:tc>
          <w:tcPr>
            <w:tcW w:w="1080" w:type="dxa"/>
            <w:vAlign w:val="bottom"/>
            <w:gridSpan w:val="2"/>
          </w:tcPr>
          <w:p>
            <w:pPr>
              <w:jc w:val="center"/>
              <w:ind w:left="10"/>
              <w:spacing w:after="0"/>
              <w:rPr>
                <w:sz w:val="20"/>
                <w:szCs w:val="20"/>
                <w:color w:val="auto"/>
              </w:rPr>
            </w:pPr>
            <w:r>
              <w:rPr>
                <w:rFonts w:ascii="Arial" w:cs="Arial" w:eastAsia="Arial" w:hAnsi="Arial"/>
                <w:sz w:val="18"/>
                <w:szCs w:val="18"/>
                <w:color w:val="auto"/>
                <w:w w:val="90"/>
              </w:rPr>
              <w:t>20,000 (1)</w:t>
            </w:r>
          </w:p>
        </w:tc>
        <w:tc>
          <w:tcPr>
            <w:tcW w:w="1220" w:type="dxa"/>
            <w:vAlign w:val="bottom"/>
            <w:gridSpan w:val="2"/>
          </w:tcPr>
          <w:p>
            <w:pPr>
              <w:jc w:val="center"/>
              <w:spacing w:after="0"/>
              <w:rPr>
                <w:sz w:val="20"/>
                <w:szCs w:val="20"/>
                <w:color w:val="auto"/>
              </w:rPr>
            </w:pPr>
            <w:r>
              <w:rPr>
                <w:rFonts w:ascii="Arial" w:cs="Arial" w:eastAsia="Arial" w:hAnsi="Arial"/>
                <w:sz w:val="18"/>
                <w:szCs w:val="18"/>
                <w:color w:val="auto"/>
                <w:w w:val="99"/>
              </w:rPr>
              <w:t>0</w:t>
            </w:r>
          </w:p>
        </w:tc>
        <w:tc>
          <w:tcPr>
            <w:tcW w:w="100" w:type="dxa"/>
            <w:vAlign w:val="bottom"/>
          </w:tcPr>
          <w:p>
            <w:pPr>
              <w:spacing w:after="0"/>
              <w:rPr>
                <w:sz w:val="20"/>
                <w:szCs w:val="20"/>
                <w:color w:val="auto"/>
              </w:rPr>
            </w:pPr>
          </w:p>
        </w:tc>
        <w:tc>
          <w:tcPr>
            <w:tcW w:w="980" w:type="dxa"/>
            <w:vAlign w:val="bottom"/>
          </w:tcPr>
          <w:p>
            <w:pPr>
              <w:jc w:val="center"/>
              <w:spacing w:after="0"/>
              <w:rPr>
                <w:sz w:val="20"/>
                <w:szCs w:val="20"/>
                <w:color w:val="auto"/>
              </w:rPr>
            </w:pPr>
            <w:r>
              <w:rPr>
                <w:rFonts w:ascii="Arial" w:cs="Arial" w:eastAsia="Arial" w:hAnsi="Arial"/>
                <w:sz w:val="18"/>
                <w:szCs w:val="18"/>
                <w:color w:val="auto"/>
                <w:w w:val="79"/>
              </w:rPr>
              <w:t>0</w:t>
            </w:r>
          </w:p>
        </w:tc>
        <w:tc>
          <w:tcPr>
            <w:tcW w:w="1060" w:type="dxa"/>
            <w:vAlign w:val="bottom"/>
            <w:gridSpan w:val="2"/>
          </w:tcPr>
          <w:p>
            <w:pPr>
              <w:jc w:val="center"/>
              <w:ind w:left="10"/>
              <w:spacing w:after="0"/>
              <w:rPr>
                <w:sz w:val="20"/>
                <w:szCs w:val="20"/>
                <w:color w:val="auto"/>
              </w:rPr>
            </w:pPr>
            <w:r>
              <w:rPr>
                <w:rFonts w:ascii="Arial" w:cs="Arial" w:eastAsia="Arial" w:hAnsi="Arial"/>
                <w:sz w:val="18"/>
                <w:szCs w:val="18"/>
                <w:color w:val="auto"/>
                <w:w w:val="88"/>
              </w:rPr>
              <w:t>$1.00</w:t>
            </w:r>
          </w:p>
        </w:tc>
        <w:tc>
          <w:tcPr>
            <w:tcW w:w="120" w:type="dxa"/>
            <w:vAlign w:val="bottom"/>
          </w:tcPr>
          <w:p>
            <w:pPr>
              <w:spacing w:after="0"/>
              <w:rPr>
                <w:sz w:val="20"/>
                <w:szCs w:val="20"/>
                <w:color w:val="auto"/>
              </w:rPr>
            </w:pPr>
          </w:p>
        </w:tc>
        <w:tc>
          <w:tcPr>
            <w:tcW w:w="1080" w:type="dxa"/>
            <w:vAlign w:val="bottom"/>
          </w:tcPr>
          <w:p>
            <w:pPr>
              <w:jc w:val="center"/>
              <w:spacing w:after="0"/>
              <w:rPr>
                <w:sz w:val="20"/>
                <w:szCs w:val="20"/>
                <w:color w:val="auto"/>
              </w:rPr>
            </w:pPr>
            <w:r>
              <w:rPr>
                <w:rFonts w:ascii="Arial" w:cs="Arial" w:eastAsia="Arial" w:hAnsi="Arial"/>
                <w:sz w:val="18"/>
                <w:szCs w:val="18"/>
                <w:color w:val="auto"/>
                <w:w w:val="92"/>
              </w:rPr>
              <w:t>March 5, 2013</w:t>
            </w:r>
          </w:p>
        </w:tc>
        <w:tc>
          <w:tcPr>
            <w:tcW w:w="820" w:type="dxa"/>
            <w:vAlign w:val="bottom"/>
            <w:gridSpan w:val="2"/>
          </w:tcPr>
          <w:p>
            <w:pPr>
              <w:jc w:val="center"/>
              <w:ind w:left="10"/>
              <w:spacing w:after="0"/>
              <w:rPr>
                <w:sz w:val="20"/>
                <w:szCs w:val="20"/>
                <w:color w:val="auto"/>
              </w:rPr>
            </w:pPr>
            <w:r>
              <w:rPr>
                <w:rFonts w:ascii="Arial" w:cs="Arial" w:eastAsia="Arial" w:hAnsi="Arial"/>
                <w:sz w:val="18"/>
                <w:szCs w:val="18"/>
                <w:color w:val="auto"/>
                <w:w w:val="79"/>
              </w:rPr>
              <w:t>0</w:t>
            </w:r>
          </w:p>
        </w:tc>
        <w:tc>
          <w:tcPr>
            <w:tcW w:w="840" w:type="dxa"/>
            <w:vAlign w:val="bottom"/>
            <w:gridSpan w:val="2"/>
          </w:tcPr>
          <w:p>
            <w:pPr>
              <w:jc w:val="center"/>
              <w:ind w:left="10"/>
              <w:spacing w:after="0"/>
              <w:rPr>
                <w:sz w:val="20"/>
                <w:szCs w:val="20"/>
                <w:color w:val="auto"/>
              </w:rPr>
            </w:pPr>
            <w:r>
              <w:rPr>
                <w:rFonts w:ascii="Arial" w:cs="Arial" w:eastAsia="Arial" w:hAnsi="Arial"/>
                <w:sz w:val="18"/>
                <w:szCs w:val="18"/>
                <w:color w:val="auto"/>
                <w:w w:val="99"/>
              </w:rPr>
              <w:t>0</w:t>
            </w:r>
          </w:p>
        </w:tc>
        <w:tc>
          <w:tcPr>
            <w:tcW w:w="1080" w:type="dxa"/>
            <w:vAlign w:val="bottom"/>
            <w:gridSpan w:val="2"/>
          </w:tcPr>
          <w:p>
            <w:pPr>
              <w:jc w:val="center"/>
              <w:spacing w:after="0"/>
              <w:rPr>
                <w:sz w:val="20"/>
                <w:szCs w:val="20"/>
                <w:color w:val="auto"/>
              </w:rPr>
            </w:pPr>
            <w:r>
              <w:rPr>
                <w:rFonts w:ascii="Arial" w:cs="Arial" w:eastAsia="Arial" w:hAnsi="Arial"/>
                <w:sz w:val="18"/>
                <w:szCs w:val="18"/>
                <w:color w:val="auto"/>
                <w:w w:val="79"/>
              </w:rPr>
              <w:t>0</w:t>
            </w:r>
          </w:p>
        </w:tc>
        <w:tc>
          <w:tcPr>
            <w:tcW w:w="1100" w:type="dxa"/>
            <w:vAlign w:val="bottom"/>
            <w:gridSpan w:val="2"/>
          </w:tcPr>
          <w:p>
            <w:pPr>
              <w:jc w:val="center"/>
              <w:spacing w:after="0"/>
              <w:rPr>
                <w:sz w:val="20"/>
                <w:szCs w:val="20"/>
                <w:color w:val="auto"/>
              </w:rPr>
            </w:pPr>
            <w:r>
              <w:rPr>
                <w:rFonts w:ascii="Arial" w:cs="Arial" w:eastAsia="Arial" w:hAnsi="Arial"/>
                <w:sz w:val="18"/>
                <w:szCs w:val="18"/>
                <w:color w:val="auto"/>
                <w:w w:val="99"/>
              </w:rPr>
              <w:t>0</w:t>
            </w:r>
          </w:p>
        </w:tc>
        <w:tc>
          <w:tcPr>
            <w:tcW w:w="0" w:type="dxa"/>
            <w:vAlign w:val="bottom"/>
          </w:tcPr>
          <w:p>
            <w:pPr>
              <w:spacing w:after="0"/>
              <w:rPr>
                <w:sz w:val="1"/>
                <w:szCs w:val="1"/>
                <w:color w:val="auto"/>
              </w:rPr>
            </w:pPr>
          </w:p>
        </w:tc>
      </w:tr>
    </w:tbl>
    <w:p>
      <w:pPr>
        <w:spacing w:after="0" w:line="241" w:lineRule="exact"/>
        <w:rPr>
          <w:sz w:val="20"/>
          <w:szCs w:val="20"/>
          <w:color w:val="auto"/>
        </w:rPr>
      </w:pPr>
    </w:p>
    <w:p>
      <w:pPr>
        <w:ind w:left="720" w:hanging="473"/>
        <w:spacing w:after="0"/>
        <w:tabs>
          <w:tab w:leader="none" w:pos="720" w:val="left"/>
        </w:tabs>
        <w:numPr>
          <w:ilvl w:val="0"/>
          <w:numId w:val="31"/>
        </w:numPr>
        <w:rPr>
          <w:rFonts w:ascii="Arial" w:cs="Arial" w:eastAsia="Arial" w:hAnsi="Arial"/>
          <w:sz w:val="18"/>
          <w:szCs w:val="18"/>
          <w:color w:val="auto"/>
        </w:rPr>
      </w:pPr>
      <w:r>
        <w:rPr>
          <w:rFonts w:ascii="Arial" w:cs="Arial" w:eastAsia="Arial" w:hAnsi="Arial"/>
          <w:sz w:val="18"/>
          <w:szCs w:val="18"/>
          <w:color w:val="auto"/>
        </w:rPr>
        <w:t>These options fully vested on the date of grant.</w:t>
      </w:r>
    </w:p>
    <w:p>
      <w:pPr>
        <w:spacing w:after="0" w:line="27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On March 5, 2008, the Board of Directors of the Company approved the issuance of stock options to the above individuals.</w:t>
      </w:r>
    </w:p>
    <w:p>
      <w:pPr>
        <w:spacing w:after="0" w:line="200" w:lineRule="exact"/>
        <w:rPr>
          <w:sz w:val="20"/>
          <w:szCs w:val="20"/>
          <w:color w:val="auto"/>
        </w:rPr>
      </w:pPr>
    </w:p>
    <w:p>
      <w:pPr>
        <w:spacing w:after="0" w:line="32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246620" cy="889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634" w:right="239" w:bottom="1440" w:gutter="0" w:footer="0" w:header="0"/>
        </w:sectPr>
      </w:pPr>
    </w:p>
    <w:bookmarkStart w:id="36" w:name="page37"/>
    <w:bookmarkEnd w:id="36"/>
    <w:p>
      <w:pPr>
        <w:jc w:val="center"/>
        <w:spacing w:after="0"/>
        <w:rPr>
          <w:sz w:val="20"/>
          <w:szCs w:val="20"/>
          <w:color w:val="auto"/>
        </w:rPr>
      </w:pPr>
      <w:r>
        <w:rPr>
          <w:rFonts w:ascii="Arial" w:cs="Arial" w:eastAsia="Arial" w:hAnsi="Arial"/>
          <w:sz w:val="18"/>
          <w:szCs w:val="18"/>
          <w:b w:val="1"/>
          <w:bCs w:val="1"/>
          <w:color w:val="auto"/>
        </w:rPr>
        <w:t>SECURITY OWNERSHIP OF CERTAIN BENEFICIAL OWNERS AND MANAGEMENT</w:t>
      </w:r>
    </w:p>
    <w:p>
      <w:pPr>
        <w:spacing w:after="0" w:line="283"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The following table sets forth the number of shares of common stock beneficially owned as of January 30, 2009 by (i) those persons or groups known to us to beneficially own more than 5% of our common stock; (ii) each director; (iii) each executive officer; and (iv) all directors and executive officers as a group. Except as indicated below, each of the stockholders listed below possesses sole voting and investment power with respect to their shares and the address of each person is c/o OptimizeRx Corp., 407 Sixth Street, Rochester, Michigan 48307.</w:t>
      </w:r>
    </w:p>
    <w:p>
      <w:pPr>
        <w:spacing w:after="0" w:line="21"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20" w:type="dxa"/>
            <w:vAlign w:val="bottom"/>
          </w:tcPr>
          <w:p>
            <w:pPr>
              <w:spacing w:after="0"/>
              <w:rPr>
                <w:sz w:val="18"/>
                <w:szCs w:val="18"/>
                <w:color w:val="auto"/>
              </w:rPr>
            </w:pPr>
          </w:p>
        </w:tc>
        <w:tc>
          <w:tcPr>
            <w:tcW w:w="63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400" w:type="dxa"/>
            <w:vAlign w:val="bottom"/>
          </w:tcPr>
          <w:p>
            <w:pPr>
              <w:jc w:val="center"/>
              <w:spacing w:after="0"/>
              <w:rPr>
                <w:sz w:val="20"/>
                <w:szCs w:val="20"/>
                <w:color w:val="auto"/>
              </w:rPr>
            </w:pPr>
            <w:r>
              <w:rPr>
                <w:rFonts w:ascii="Arial" w:cs="Arial" w:eastAsia="Arial" w:hAnsi="Arial"/>
                <w:sz w:val="18"/>
                <w:szCs w:val="18"/>
                <w:b w:val="1"/>
                <w:bCs w:val="1"/>
                <w:color w:val="auto"/>
                <w:w w:val="89"/>
              </w:rPr>
              <w:t>Common Stock</w:t>
            </w:r>
          </w:p>
        </w:tc>
        <w:tc>
          <w:tcPr>
            <w:tcW w:w="240" w:type="dxa"/>
            <w:vAlign w:val="bottom"/>
          </w:tcPr>
          <w:p>
            <w:pPr>
              <w:spacing w:after="0"/>
              <w:rPr>
                <w:sz w:val="18"/>
                <w:szCs w:val="18"/>
                <w:color w:val="auto"/>
              </w:rPr>
            </w:pPr>
          </w:p>
        </w:tc>
        <w:tc>
          <w:tcPr>
            <w:tcW w:w="2160" w:type="dxa"/>
            <w:vAlign w:val="bottom"/>
            <w:gridSpan w:val="2"/>
          </w:tcPr>
          <w:p>
            <w:pPr>
              <w:jc w:val="center"/>
              <w:ind w:right="120"/>
              <w:spacing w:after="0"/>
              <w:rPr>
                <w:sz w:val="20"/>
                <w:szCs w:val="20"/>
                <w:color w:val="auto"/>
              </w:rPr>
            </w:pPr>
            <w:r>
              <w:rPr>
                <w:rFonts w:ascii="Arial" w:cs="Arial" w:eastAsia="Arial" w:hAnsi="Arial"/>
                <w:sz w:val="18"/>
                <w:szCs w:val="18"/>
                <w:b w:val="1"/>
                <w:bCs w:val="1"/>
                <w:color w:val="auto"/>
                <w:w w:val="87"/>
              </w:rPr>
              <w:t>Percentage of</w:t>
            </w:r>
          </w:p>
        </w:tc>
      </w:tr>
      <w:tr>
        <w:trPr>
          <w:trHeight w:val="241"/>
        </w:trPr>
        <w:tc>
          <w:tcPr>
            <w:tcW w:w="6380" w:type="dxa"/>
            <w:vAlign w:val="bottom"/>
            <w:gridSpan w:val="2"/>
          </w:tcPr>
          <w:p>
            <w:pPr>
              <w:spacing w:after="0"/>
              <w:rPr>
                <w:sz w:val="20"/>
                <w:szCs w:val="20"/>
                <w:color w:val="auto"/>
              </w:rPr>
            </w:pPr>
            <w:r>
              <w:rPr>
                <w:rFonts w:ascii="Arial" w:cs="Arial" w:eastAsia="Arial" w:hAnsi="Arial"/>
                <w:sz w:val="18"/>
                <w:szCs w:val="18"/>
                <w:b w:val="1"/>
                <w:bCs w:val="1"/>
                <w:color w:val="auto"/>
              </w:rPr>
              <w:t>Name of Beneficial Owner</w:t>
            </w:r>
          </w:p>
        </w:tc>
        <w:tc>
          <w:tcPr>
            <w:tcW w:w="240" w:type="dxa"/>
            <w:vAlign w:val="bottom"/>
          </w:tcPr>
          <w:p>
            <w:pPr>
              <w:spacing w:after="0"/>
              <w:rPr>
                <w:sz w:val="20"/>
                <w:szCs w:val="20"/>
                <w:color w:val="auto"/>
              </w:rPr>
            </w:pPr>
          </w:p>
        </w:tc>
        <w:tc>
          <w:tcPr>
            <w:tcW w:w="2400" w:type="dxa"/>
            <w:vAlign w:val="bottom"/>
          </w:tcPr>
          <w:p>
            <w:pPr>
              <w:jc w:val="center"/>
              <w:spacing w:after="0"/>
              <w:rPr>
                <w:sz w:val="20"/>
                <w:szCs w:val="20"/>
                <w:color w:val="auto"/>
              </w:rPr>
            </w:pPr>
            <w:r>
              <w:rPr>
                <w:rFonts w:ascii="Arial" w:cs="Arial" w:eastAsia="Arial" w:hAnsi="Arial"/>
                <w:sz w:val="18"/>
                <w:szCs w:val="18"/>
                <w:b w:val="1"/>
                <w:bCs w:val="1"/>
                <w:color w:val="auto"/>
                <w:w w:val="90"/>
              </w:rPr>
              <w:t>Beneficially Owned (1)</w:t>
            </w:r>
          </w:p>
        </w:tc>
        <w:tc>
          <w:tcPr>
            <w:tcW w:w="240" w:type="dxa"/>
            <w:vAlign w:val="bottom"/>
          </w:tcPr>
          <w:p>
            <w:pPr>
              <w:spacing w:after="0"/>
              <w:rPr>
                <w:sz w:val="20"/>
                <w:szCs w:val="20"/>
                <w:color w:val="auto"/>
              </w:rPr>
            </w:pPr>
          </w:p>
        </w:tc>
        <w:tc>
          <w:tcPr>
            <w:tcW w:w="2160" w:type="dxa"/>
            <w:vAlign w:val="bottom"/>
            <w:gridSpan w:val="2"/>
          </w:tcPr>
          <w:p>
            <w:pPr>
              <w:jc w:val="center"/>
              <w:ind w:right="120"/>
              <w:spacing w:after="0"/>
              <w:rPr>
                <w:sz w:val="20"/>
                <w:szCs w:val="20"/>
                <w:color w:val="auto"/>
              </w:rPr>
            </w:pPr>
            <w:r>
              <w:rPr>
                <w:rFonts w:ascii="Arial" w:cs="Arial" w:eastAsia="Arial" w:hAnsi="Arial"/>
                <w:sz w:val="18"/>
                <w:szCs w:val="18"/>
                <w:b w:val="1"/>
                <w:bCs w:val="1"/>
                <w:color w:val="auto"/>
                <w:w w:val="90"/>
              </w:rPr>
              <w:t>Common Stock (2)</w:t>
            </w:r>
          </w:p>
        </w:tc>
      </w:tr>
      <w:tr>
        <w:trPr>
          <w:trHeight w:val="216"/>
        </w:trPr>
        <w:tc>
          <w:tcPr>
            <w:tcW w:w="20" w:type="dxa"/>
            <w:vAlign w:val="bottom"/>
          </w:tcPr>
          <w:p>
            <w:pPr>
              <w:spacing w:after="0"/>
              <w:rPr>
                <w:sz w:val="18"/>
                <w:szCs w:val="18"/>
                <w:color w:val="auto"/>
              </w:rPr>
            </w:pPr>
          </w:p>
        </w:tc>
        <w:tc>
          <w:tcPr>
            <w:tcW w:w="6360" w:type="dxa"/>
            <w:vAlign w:val="bottom"/>
            <w:tcBorders>
              <w:top w:val="single" w:sz="8" w:color="auto"/>
            </w:tcBorders>
            <w:shd w:val="clear" w:color="auto" w:fill="EEEEEE"/>
          </w:tcPr>
          <w:p>
            <w:pPr>
              <w:spacing w:after="0"/>
              <w:rPr>
                <w:sz w:val="20"/>
                <w:szCs w:val="20"/>
                <w:color w:val="auto"/>
              </w:rPr>
            </w:pPr>
            <w:r>
              <w:rPr>
                <w:rFonts w:ascii="Arial" w:cs="Arial" w:eastAsia="Arial" w:hAnsi="Arial"/>
                <w:sz w:val="18"/>
                <w:szCs w:val="18"/>
                <w:color w:val="auto"/>
              </w:rPr>
              <w:t>Richard J. Kraniak Roth IRA (3)</w:t>
            </w:r>
          </w:p>
        </w:tc>
        <w:tc>
          <w:tcPr>
            <w:tcW w:w="240" w:type="dxa"/>
            <w:vAlign w:val="bottom"/>
            <w:shd w:val="clear" w:color="auto" w:fill="EEEEEE"/>
          </w:tcPr>
          <w:p>
            <w:pPr>
              <w:spacing w:after="0"/>
              <w:rPr>
                <w:sz w:val="18"/>
                <w:szCs w:val="18"/>
                <w:color w:val="auto"/>
              </w:rPr>
            </w:pPr>
          </w:p>
        </w:tc>
        <w:tc>
          <w:tcPr>
            <w:tcW w:w="2400" w:type="dxa"/>
            <w:vAlign w:val="bottom"/>
            <w:tcBorders>
              <w:top w:val="single" w:sz="8" w:color="auto"/>
            </w:tcBorders>
            <w:shd w:val="clear" w:color="auto" w:fill="EEEEEE"/>
          </w:tcPr>
          <w:p>
            <w:pPr>
              <w:jc w:val="center"/>
              <w:spacing w:after="0"/>
              <w:rPr>
                <w:sz w:val="20"/>
                <w:szCs w:val="20"/>
                <w:color w:val="auto"/>
              </w:rPr>
            </w:pPr>
            <w:r>
              <w:rPr>
                <w:rFonts w:ascii="Arial" w:cs="Arial" w:eastAsia="Arial" w:hAnsi="Arial"/>
                <w:sz w:val="18"/>
                <w:szCs w:val="18"/>
                <w:color w:val="auto"/>
                <w:w w:val="89"/>
              </w:rPr>
              <w:t>1,250,000</w:t>
            </w:r>
          </w:p>
        </w:tc>
        <w:tc>
          <w:tcPr>
            <w:tcW w:w="240" w:type="dxa"/>
            <w:vAlign w:val="bottom"/>
            <w:shd w:val="clear" w:color="auto" w:fill="EEEEEE"/>
          </w:tcPr>
          <w:p>
            <w:pPr>
              <w:spacing w:after="0"/>
              <w:rPr>
                <w:sz w:val="18"/>
                <w:szCs w:val="18"/>
                <w:color w:val="auto"/>
              </w:rPr>
            </w:pPr>
          </w:p>
        </w:tc>
        <w:tc>
          <w:tcPr>
            <w:tcW w:w="2040" w:type="dxa"/>
            <w:vAlign w:val="bottom"/>
            <w:tcBorders>
              <w:top w:val="single" w:sz="8" w:color="auto"/>
            </w:tcBorders>
            <w:shd w:val="clear" w:color="auto" w:fill="EEEEEE"/>
          </w:tcPr>
          <w:p>
            <w:pPr>
              <w:jc w:val="center"/>
              <w:spacing w:after="0"/>
              <w:rPr>
                <w:sz w:val="20"/>
                <w:szCs w:val="20"/>
                <w:color w:val="auto"/>
              </w:rPr>
            </w:pPr>
            <w:r>
              <w:rPr>
                <w:rFonts w:ascii="Arial" w:cs="Arial" w:eastAsia="Arial" w:hAnsi="Arial"/>
                <w:sz w:val="18"/>
                <w:szCs w:val="18"/>
                <w:color w:val="auto"/>
                <w:w w:val="88"/>
              </w:rPr>
              <w:t>10.31%</w:t>
            </w:r>
          </w:p>
        </w:tc>
        <w:tc>
          <w:tcPr>
            <w:tcW w:w="120" w:type="dxa"/>
            <w:vAlign w:val="bottom"/>
            <w:shd w:val="clear" w:color="auto" w:fill="EEEEEE"/>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6360" w:type="dxa"/>
            <w:vAlign w:val="bottom"/>
          </w:tcPr>
          <w:p>
            <w:pPr>
              <w:spacing w:after="0"/>
              <w:rPr>
                <w:sz w:val="20"/>
                <w:szCs w:val="20"/>
                <w:color w:val="auto"/>
              </w:rPr>
            </w:pPr>
            <w:r>
              <w:rPr>
                <w:rFonts w:ascii="Arial" w:cs="Arial" w:eastAsia="Arial" w:hAnsi="Arial"/>
                <w:sz w:val="18"/>
                <w:szCs w:val="18"/>
                <w:color w:val="auto"/>
              </w:rPr>
              <w:t>Cypress Trust (4)</w:t>
            </w:r>
          </w:p>
        </w:tc>
        <w:tc>
          <w:tcPr>
            <w:tcW w:w="2640" w:type="dxa"/>
            <w:vAlign w:val="bottom"/>
            <w:gridSpan w:val="2"/>
          </w:tcPr>
          <w:p>
            <w:pPr>
              <w:jc w:val="center"/>
              <w:ind w:left="150"/>
              <w:spacing w:after="0"/>
              <w:rPr>
                <w:sz w:val="20"/>
                <w:szCs w:val="20"/>
                <w:color w:val="auto"/>
              </w:rPr>
            </w:pPr>
            <w:r>
              <w:rPr>
                <w:rFonts w:ascii="Arial" w:cs="Arial" w:eastAsia="Arial" w:hAnsi="Arial"/>
                <w:sz w:val="18"/>
                <w:szCs w:val="18"/>
                <w:color w:val="auto"/>
                <w:w w:val="89"/>
              </w:rPr>
              <w:t>1,150,000</w:t>
            </w:r>
          </w:p>
        </w:tc>
        <w:tc>
          <w:tcPr>
            <w:tcW w:w="2280" w:type="dxa"/>
            <w:vAlign w:val="bottom"/>
            <w:gridSpan w:val="2"/>
          </w:tcPr>
          <w:p>
            <w:pPr>
              <w:jc w:val="center"/>
              <w:ind w:left="130"/>
              <w:spacing w:after="0"/>
              <w:rPr>
                <w:sz w:val="20"/>
                <w:szCs w:val="20"/>
                <w:color w:val="auto"/>
              </w:rPr>
            </w:pPr>
            <w:r>
              <w:rPr>
                <w:rFonts w:ascii="Arial" w:cs="Arial" w:eastAsia="Arial" w:hAnsi="Arial"/>
                <w:sz w:val="18"/>
                <w:szCs w:val="18"/>
                <w:color w:val="auto"/>
                <w:w w:val="90"/>
              </w:rPr>
              <w:t>9.48%</w:t>
            </w:r>
          </w:p>
        </w:tc>
        <w:tc>
          <w:tcPr>
            <w:tcW w:w="12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6360" w:type="dxa"/>
            <w:vAlign w:val="bottom"/>
            <w:shd w:val="clear" w:color="auto" w:fill="EEEEEE"/>
          </w:tcPr>
          <w:p>
            <w:pPr>
              <w:spacing w:after="0"/>
              <w:rPr>
                <w:sz w:val="20"/>
                <w:szCs w:val="20"/>
                <w:color w:val="auto"/>
              </w:rPr>
            </w:pPr>
            <w:r>
              <w:rPr>
                <w:rFonts w:ascii="Arial" w:cs="Arial" w:eastAsia="Arial" w:hAnsi="Arial"/>
                <w:sz w:val="18"/>
                <w:szCs w:val="18"/>
                <w:color w:val="auto"/>
              </w:rPr>
              <w:t>David Harrell (5)</w:t>
            </w:r>
          </w:p>
        </w:tc>
        <w:tc>
          <w:tcPr>
            <w:tcW w:w="2640" w:type="dxa"/>
            <w:vAlign w:val="bottom"/>
            <w:gridSpan w:val="2"/>
            <w:shd w:val="clear" w:color="auto" w:fill="EEEEEE"/>
          </w:tcPr>
          <w:p>
            <w:pPr>
              <w:jc w:val="center"/>
              <w:ind w:left="150"/>
              <w:spacing w:after="0"/>
              <w:rPr>
                <w:sz w:val="20"/>
                <w:szCs w:val="20"/>
                <w:color w:val="auto"/>
              </w:rPr>
            </w:pPr>
            <w:r>
              <w:rPr>
                <w:rFonts w:ascii="Arial" w:cs="Arial" w:eastAsia="Arial" w:hAnsi="Arial"/>
                <w:sz w:val="18"/>
                <w:szCs w:val="18"/>
                <w:color w:val="auto"/>
                <w:w w:val="89"/>
              </w:rPr>
              <w:t>3,612,250</w:t>
            </w:r>
          </w:p>
        </w:tc>
        <w:tc>
          <w:tcPr>
            <w:tcW w:w="2280" w:type="dxa"/>
            <w:vAlign w:val="bottom"/>
            <w:gridSpan w:val="2"/>
            <w:shd w:val="clear" w:color="auto" w:fill="EEEEEE"/>
          </w:tcPr>
          <w:p>
            <w:pPr>
              <w:jc w:val="center"/>
              <w:ind w:left="130"/>
              <w:spacing w:after="0"/>
              <w:rPr>
                <w:sz w:val="20"/>
                <w:szCs w:val="20"/>
                <w:color w:val="auto"/>
              </w:rPr>
            </w:pPr>
            <w:r>
              <w:rPr>
                <w:rFonts w:ascii="Arial" w:cs="Arial" w:eastAsia="Arial" w:hAnsi="Arial"/>
                <w:sz w:val="18"/>
                <w:szCs w:val="18"/>
                <w:color w:val="auto"/>
                <w:w w:val="88"/>
              </w:rPr>
              <w:t>29.55%</w:t>
            </w:r>
          </w:p>
        </w:tc>
        <w:tc>
          <w:tcPr>
            <w:tcW w:w="120" w:type="dxa"/>
            <w:vAlign w:val="bottom"/>
            <w:shd w:val="clear" w:color="auto" w:fill="EEEEEE"/>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6360" w:type="dxa"/>
            <w:vAlign w:val="bottom"/>
          </w:tcPr>
          <w:p>
            <w:pPr>
              <w:spacing w:after="0"/>
              <w:rPr>
                <w:sz w:val="20"/>
                <w:szCs w:val="20"/>
                <w:color w:val="auto"/>
              </w:rPr>
            </w:pPr>
            <w:r>
              <w:rPr>
                <w:rFonts w:ascii="Arial" w:cs="Arial" w:eastAsia="Arial" w:hAnsi="Arial"/>
                <w:sz w:val="18"/>
                <w:szCs w:val="18"/>
                <w:color w:val="auto"/>
              </w:rPr>
              <w:t>Terrance Hamilton (6)</w:t>
            </w:r>
          </w:p>
        </w:tc>
        <w:tc>
          <w:tcPr>
            <w:tcW w:w="2640" w:type="dxa"/>
            <w:vAlign w:val="bottom"/>
            <w:gridSpan w:val="2"/>
          </w:tcPr>
          <w:p>
            <w:pPr>
              <w:jc w:val="center"/>
              <w:ind w:left="130"/>
              <w:spacing w:after="0"/>
              <w:rPr>
                <w:sz w:val="20"/>
                <w:szCs w:val="20"/>
                <w:color w:val="auto"/>
              </w:rPr>
            </w:pPr>
            <w:r>
              <w:rPr>
                <w:rFonts w:ascii="Arial" w:cs="Arial" w:eastAsia="Arial" w:hAnsi="Arial"/>
                <w:sz w:val="18"/>
                <w:szCs w:val="18"/>
                <w:color w:val="auto"/>
                <w:w w:val="89"/>
              </w:rPr>
              <w:t>595,500</w:t>
            </w:r>
          </w:p>
        </w:tc>
        <w:tc>
          <w:tcPr>
            <w:tcW w:w="2280" w:type="dxa"/>
            <w:vAlign w:val="bottom"/>
            <w:gridSpan w:val="2"/>
          </w:tcPr>
          <w:p>
            <w:pPr>
              <w:jc w:val="center"/>
              <w:ind w:left="130"/>
              <w:spacing w:after="0"/>
              <w:rPr>
                <w:sz w:val="20"/>
                <w:szCs w:val="20"/>
                <w:color w:val="auto"/>
              </w:rPr>
            </w:pPr>
            <w:r>
              <w:rPr>
                <w:rFonts w:ascii="Arial" w:cs="Arial" w:eastAsia="Arial" w:hAnsi="Arial"/>
                <w:sz w:val="18"/>
                <w:szCs w:val="18"/>
                <w:color w:val="auto"/>
                <w:w w:val="90"/>
              </w:rPr>
              <w:t>4.85%</w:t>
            </w:r>
          </w:p>
        </w:tc>
        <w:tc>
          <w:tcPr>
            <w:tcW w:w="12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6360" w:type="dxa"/>
            <w:vAlign w:val="bottom"/>
            <w:shd w:val="clear" w:color="auto" w:fill="EEEEEE"/>
          </w:tcPr>
          <w:p>
            <w:pPr>
              <w:spacing w:after="0"/>
              <w:rPr>
                <w:sz w:val="20"/>
                <w:szCs w:val="20"/>
                <w:color w:val="auto"/>
              </w:rPr>
            </w:pPr>
            <w:r>
              <w:rPr>
                <w:rFonts w:ascii="Arial" w:cs="Arial" w:eastAsia="Arial" w:hAnsi="Arial"/>
                <w:sz w:val="18"/>
                <w:szCs w:val="18"/>
                <w:color w:val="auto"/>
              </w:rPr>
              <w:t>Thomas Majerowicz (7)</w:t>
            </w:r>
          </w:p>
        </w:tc>
        <w:tc>
          <w:tcPr>
            <w:tcW w:w="2640" w:type="dxa"/>
            <w:vAlign w:val="bottom"/>
            <w:gridSpan w:val="2"/>
            <w:shd w:val="clear" w:color="auto" w:fill="EEEEEE"/>
          </w:tcPr>
          <w:p>
            <w:pPr>
              <w:jc w:val="right"/>
              <w:ind w:right="850"/>
              <w:spacing w:after="0"/>
              <w:rPr>
                <w:sz w:val="20"/>
                <w:szCs w:val="20"/>
                <w:color w:val="auto"/>
              </w:rPr>
            </w:pPr>
            <w:r>
              <w:rPr>
                <w:rFonts w:ascii="Arial" w:cs="Arial" w:eastAsia="Arial" w:hAnsi="Arial"/>
                <w:sz w:val="18"/>
                <w:szCs w:val="18"/>
                <w:color w:val="auto"/>
              </w:rPr>
              <w:t>242,750</w:t>
            </w:r>
          </w:p>
        </w:tc>
        <w:tc>
          <w:tcPr>
            <w:tcW w:w="2280" w:type="dxa"/>
            <w:vAlign w:val="bottom"/>
            <w:gridSpan w:val="2"/>
            <w:shd w:val="clear" w:color="auto" w:fill="EEEEEE"/>
          </w:tcPr>
          <w:p>
            <w:pPr>
              <w:jc w:val="center"/>
              <w:ind w:left="130"/>
              <w:spacing w:after="0"/>
              <w:rPr>
                <w:sz w:val="20"/>
                <w:szCs w:val="20"/>
                <w:color w:val="auto"/>
              </w:rPr>
            </w:pPr>
            <w:r>
              <w:rPr>
                <w:rFonts w:ascii="Arial" w:cs="Arial" w:eastAsia="Arial" w:hAnsi="Arial"/>
                <w:sz w:val="18"/>
                <w:szCs w:val="18"/>
                <w:color w:val="auto"/>
                <w:w w:val="90"/>
              </w:rPr>
              <w:t>2.00%</w:t>
            </w:r>
          </w:p>
        </w:tc>
        <w:tc>
          <w:tcPr>
            <w:tcW w:w="120" w:type="dxa"/>
            <w:vAlign w:val="bottom"/>
            <w:shd w:val="clear" w:color="auto" w:fill="EEEEEE"/>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6360" w:type="dxa"/>
            <w:vAlign w:val="bottom"/>
          </w:tcPr>
          <w:p>
            <w:pPr>
              <w:spacing w:after="0"/>
              <w:rPr>
                <w:sz w:val="20"/>
                <w:szCs w:val="20"/>
                <w:color w:val="auto"/>
              </w:rPr>
            </w:pPr>
            <w:r>
              <w:rPr>
                <w:rFonts w:ascii="Arial" w:cs="Arial" w:eastAsia="Arial" w:hAnsi="Arial"/>
                <w:sz w:val="18"/>
                <w:szCs w:val="18"/>
                <w:color w:val="auto"/>
              </w:rPr>
              <w:t>Vicis Capital Master Fund (8)</w:t>
            </w:r>
          </w:p>
        </w:tc>
        <w:tc>
          <w:tcPr>
            <w:tcW w:w="2640" w:type="dxa"/>
            <w:vAlign w:val="bottom"/>
            <w:gridSpan w:val="2"/>
          </w:tcPr>
          <w:p>
            <w:pPr>
              <w:jc w:val="center"/>
              <w:ind w:left="150"/>
              <w:spacing w:after="0"/>
              <w:rPr>
                <w:sz w:val="20"/>
                <w:szCs w:val="20"/>
                <w:color w:val="auto"/>
              </w:rPr>
            </w:pPr>
            <w:r>
              <w:rPr>
                <w:rFonts w:ascii="Arial" w:cs="Arial" w:eastAsia="Arial" w:hAnsi="Arial"/>
                <w:sz w:val="18"/>
                <w:szCs w:val="18"/>
                <w:color w:val="auto"/>
                <w:w w:val="89"/>
              </w:rPr>
              <w:t>9,500,000</w:t>
            </w:r>
          </w:p>
        </w:tc>
        <w:tc>
          <w:tcPr>
            <w:tcW w:w="2280" w:type="dxa"/>
            <w:vAlign w:val="bottom"/>
            <w:gridSpan w:val="2"/>
          </w:tcPr>
          <w:p>
            <w:pPr>
              <w:jc w:val="center"/>
              <w:ind w:left="130"/>
              <w:spacing w:after="0"/>
              <w:rPr>
                <w:sz w:val="20"/>
                <w:szCs w:val="20"/>
                <w:color w:val="auto"/>
              </w:rPr>
            </w:pPr>
            <w:r>
              <w:rPr>
                <w:rFonts w:ascii="Arial" w:cs="Arial" w:eastAsia="Arial" w:hAnsi="Arial"/>
                <w:sz w:val="18"/>
                <w:szCs w:val="18"/>
                <w:color w:val="auto"/>
                <w:w w:val="93"/>
              </w:rPr>
              <w:t>43.93% (9)</w:t>
            </w:r>
          </w:p>
        </w:tc>
        <w:tc>
          <w:tcPr>
            <w:tcW w:w="12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6360" w:type="dxa"/>
            <w:vAlign w:val="bottom"/>
            <w:shd w:val="clear" w:color="auto" w:fill="EEEEEE"/>
          </w:tcPr>
          <w:p>
            <w:pPr>
              <w:spacing w:after="0"/>
              <w:rPr>
                <w:sz w:val="20"/>
                <w:szCs w:val="20"/>
                <w:color w:val="auto"/>
              </w:rPr>
            </w:pPr>
            <w:r>
              <w:rPr>
                <w:rFonts w:ascii="Arial" w:cs="Arial" w:eastAsia="Arial" w:hAnsi="Arial"/>
                <w:sz w:val="18"/>
                <w:szCs w:val="18"/>
                <w:color w:val="auto"/>
              </w:rPr>
              <w:t>Cypress Trust i/t/f Jillene Pinella</w:t>
            </w:r>
          </w:p>
        </w:tc>
        <w:tc>
          <w:tcPr>
            <w:tcW w:w="2640" w:type="dxa"/>
            <w:vAlign w:val="bottom"/>
            <w:gridSpan w:val="2"/>
            <w:shd w:val="clear" w:color="auto" w:fill="EEEEEE"/>
          </w:tcPr>
          <w:p>
            <w:pPr>
              <w:jc w:val="center"/>
              <w:ind w:left="150"/>
              <w:spacing w:after="0"/>
              <w:rPr>
                <w:sz w:val="20"/>
                <w:szCs w:val="20"/>
                <w:color w:val="auto"/>
              </w:rPr>
            </w:pPr>
            <w:r>
              <w:rPr>
                <w:rFonts w:ascii="Arial" w:cs="Arial" w:eastAsia="Arial" w:hAnsi="Arial"/>
                <w:sz w:val="18"/>
                <w:szCs w:val="18"/>
                <w:color w:val="auto"/>
                <w:w w:val="89"/>
              </w:rPr>
              <w:t>1,150,000</w:t>
            </w:r>
          </w:p>
        </w:tc>
        <w:tc>
          <w:tcPr>
            <w:tcW w:w="2280" w:type="dxa"/>
            <w:vAlign w:val="bottom"/>
            <w:gridSpan w:val="2"/>
            <w:shd w:val="clear" w:color="auto" w:fill="EEEEEE"/>
          </w:tcPr>
          <w:p>
            <w:pPr>
              <w:jc w:val="center"/>
              <w:ind w:left="130"/>
              <w:spacing w:after="0"/>
              <w:rPr>
                <w:sz w:val="20"/>
                <w:szCs w:val="20"/>
                <w:color w:val="auto"/>
              </w:rPr>
            </w:pPr>
            <w:r>
              <w:rPr>
                <w:rFonts w:ascii="Arial" w:cs="Arial" w:eastAsia="Arial" w:hAnsi="Arial"/>
                <w:sz w:val="18"/>
                <w:szCs w:val="18"/>
                <w:color w:val="auto"/>
                <w:w w:val="90"/>
              </w:rPr>
              <w:t>9.48%</w:t>
            </w:r>
          </w:p>
        </w:tc>
        <w:tc>
          <w:tcPr>
            <w:tcW w:w="120" w:type="dxa"/>
            <w:vAlign w:val="bottom"/>
            <w:shd w:val="clear" w:color="auto" w:fill="EEEEEE"/>
          </w:tcPr>
          <w:p>
            <w:pPr>
              <w:spacing w:after="0"/>
              <w:rPr>
                <w:sz w:val="18"/>
                <w:szCs w:val="18"/>
                <w:color w:val="auto"/>
              </w:rPr>
            </w:pPr>
          </w:p>
        </w:tc>
      </w:tr>
      <w:tr>
        <w:trPr>
          <w:trHeight w:val="230"/>
        </w:trPr>
        <w:tc>
          <w:tcPr>
            <w:tcW w:w="20" w:type="dxa"/>
            <w:vAlign w:val="bottom"/>
          </w:tcPr>
          <w:p>
            <w:pPr>
              <w:spacing w:after="0"/>
              <w:rPr>
                <w:sz w:val="20"/>
                <w:szCs w:val="20"/>
                <w:color w:val="auto"/>
              </w:rPr>
            </w:pPr>
          </w:p>
        </w:tc>
        <w:tc>
          <w:tcPr>
            <w:tcW w:w="6360" w:type="dxa"/>
            <w:vAlign w:val="bottom"/>
          </w:tcPr>
          <w:p>
            <w:pPr>
              <w:spacing w:after="0"/>
              <w:rPr>
                <w:sz w:val="20"/>
                <w:szCs w:val="20"/>
                <w:color w:val="auto"/>
              </w:rPr>
            </w:pPr>
            <w:r>
              <w:rPr>
                <w:rFonts w:ascii="Arial" w:cs="Arial" w:eastAsia="Arial" w:hAnsi="Arial"/>
                <w:sz w:val="18"/>
                <w:szCs w:val="18"/>
                <w:color w:val="auto"/>
              </w:rPr>
              <w:t>All officers and directors as a group (3 persons)</w:t>
            </w:r>
          </w:p>
        </w:tc>
        <w:tc>
          <w:tcPr>
            <w:tcW w:w="2640" w:type="dxa"/>
            <w:vAlign w:val="bottom"/>
            <w:gridSpan w:val="2"/>
          </w:tcPr>
          <w:p>
            <w:pPr>
              <w:jc w:val="center"/>
              <w:ind w:left="150"/>
              <w:spacing w:after="0"/>
              <w:rPr>
                <w:sz w:val="20"/>
                <w:szCs w:val="20"/>
                <w:color w:val="auto"/>
              </w:rPr>
            </w:pPr>
            <w:r>
              <w:rPr>
                <w:rFonts w:ascii="Arial" w:cs="Arial" w:eastAsia="Arial" w:hAnsi="Arial"/>
                <w:sz w:val="18"/>
                <w:szCs w:val="18"/>
                <w:color w:val="auto"/>
                <w:w w:val="89"/>
              </w:rPr>
              <w:t>4,450,500</w:t>
            </w:r>
          </w:p>
        </w:tc>
        <w:tc>
          <w:tcPr>
            <w:tcW w:w="2280" w:type="dxa"/>
            <w:vAlign w:val="bottom"/>
            <w:gridSpan w:val="2"/>
          </w:tcPr>
          <w:p>
            <w:pPr>
              <w:jc w:val="right"/>
              <w:ind w:right="730"/>
              <w:spacing w:after="0"/>
              <w:rPr>
                <w:sz w:val="20"/>
                <w:szCs w:val="20"/>
                <w:color w:val="auto"/>
              </w:rPr>
            </w:pPr>
            <w:r>
              <w:rPr>
                <w:rFonts w:ascii="Arial" w:cs="Arial" w:eastAsia="Arial" w:hAnsi="Arial"/>
                <w:sz w:val="18"/>
                <w:szCs w:val="18"/>
                <w:color w:val="auto"/>
              </w:rPr>
              <w:t>36.7%</w:t>
            </w:r>
          </w:p>
        </w:tc>
        <w:tc>
          <w:tcPr>
            <w:tcW w:w="120" w:type="dxa"/>
            <w:vAlign w:val="bottom"/>
          </w:tcPr>
          <w:p>
            <w:pPr>
              <w:spacing w:after="0"/>
              <w:rPr>
                <w:sz w:val="20"/>
                <w:szCs w:val="20"/>
                <w:color w:val="auto"/>
              </w:rPr>
            </w:pPr>
          </w:p>
        </w:tc>
      </w:tr>
    </w:tbl>
    <w:p>
      <w:pPr>
        <w:spacing w:after="0" w:line="241" w:lineRule="exact"/>
        <w:rPr>
          <w:sz w:val="20"/>
          <w:szCs w:val="20"/>
          <w:color w:val="auto"/>
        </w:rPr>
      </w:pPr>
    </w:p>
    <w:p>
      <w:pPr>
        <w:ind w:left="140" w:hanging="132"/>
        <w:spacing w:after="0"/>
        <w:tabs>
          <w:tab w:leader="none" w:pos="140" w:val="left"/>
        </w:tabs>
        <w:numPr>
          <w:ilvl w:val="0"/>
          <w:numId w:val="32"/>
        </w:numPr>
        <w:rPr>
          <w:rFonts w:ascii="Arial" w:cs="Arial" w:eastAsia="Arial" w:hAnsi="Arial"/>
          <w:sz w:val="18"/>
          <w:szCs w:val="18"/>
          <w:color w:val="auto"/>
        </w:rPr>
      </w:pPr>
      <w:r>
        <w:rPr>
          <w:rFonts w:ascii="Arial" w:cs="Arial" w:eastAsia="Arial" w:hAnsi="Arial"/>
          <w:sz w:val="18"/>
          <w:szCs w:val="18"/>
          <w:color w:val="auto"/>
        </w:rPr>
        <w:t>Less than 1%</w:t>
      </w:r>
    </w:p>
    <w:p>
      <w:pPr>
        <w:spacing w:after="0" w:line="23" w:lineRule="exact"/>
        <w:rPr>
          <w:rFonts w:ascii="Arial" w:cs="Arial" w:eastAsia="Arial" w:hAnsi="Arial"/>
          <w:sz w:val="18"/>
          <w:szCs w:val="18"/>
          <w:color w:val="auto"/>
        </w:rPr>
      </w:pPr>
    </w:p>
    <w:p>
      <w:pPr>
        <w:spacing w:after="0"/>
        <w:rPr>
          <w:rFonts w:ascii="Arial" w:cs="Arial" w:eastAsia="Arial" w:hAnsi="Arial"/>
          <w:sz w:val="18"/>
          <w:szCs w:val="18"/>
          <w:color w:val="auto"/>
        </w:rPr>
      </w:pPr>
      <w:r>
        <w:rPr>
          <w:rFonts w:ascii="Arial" w:cs="Arial" w:eastAsia="Arial" w:hAnsi="Arial"/>
          <w:sz w:val="18"/>
          <w:szCs w:val="18"/>
          <w:color w:val="auto"/>
        </w:rPr>
        <w:t>____________</w:t>
      </w:r>
    </w:p>
    <w:p>
      <w:pPr>
        <w:spacing w:after="0" w:line="9" w:lineRule="exact"/>
        <w:rPr>
          <w:rFonts w:ascii="Arial" w:cs="Arial" w:eastAsia="Arial" w:hAnsi="Arial"/>
          <w:sz w:val="18"/>
          <w:szCs w:val="18"/>
          <w:color w:val="auto"/>
        </w:rPr>
      </w:pPr>
    </w:p>
    <w:p>
      <w:pPr>
        <w:ind w:left="580" w:right="20" w:hanging="423"/>
        <w:spacing w:after="0" w:line="250" w:lineRule="auto"/>
        <w:tabs>
          <w:tab w:leader="none" w:pos="580" w:val="left"/>
        </w:tabs>
        <w:numPr>
          <w:ilvl w:val="1"/>
          <w:numId w:val="32"/>
        </w:numPr>
        <w:rPr>
          <w:rFonts w:ascii="Arial" w:cs="Arial" w:eastAsia="Arial" w:hAnsi="Arial"/>
          <w:sz w:val="18"/>
          <w:szCs w:val="18"/>
          <w:color w:val="auto"/>
        </w:rPr>
      </w:pPr>
      <w:r>
        <w:rPr>
          <w:rFonts w:ascii="Arial" w:cs="Arial" w:eastAsia="Arial" w:hAnsi="Arial"/>
          <w:sz w:val="18"/>
          <w:szCs w:val="18"/>
          <w:color w:val="auto"/>
        </w:rPr>
        <w:t>Includes stock option grants made to officers, directors, employees and/or consultants under the 2008 Company Stock Option Plan. All options listed in this table were granted under the 2008 Stock Option Plan.</w:t>
      </w:r>
    </w:p>
    <w:p>
      <w:pPr>
        <w:jc w:val="both"/>
        <w:ind w:left="580" w:right="20" w:hanging="423"/>
        <w:spacing w:after="0" w:line="250" w:lineRule="auto"/>
        <w:tabs>
          <w:tab w:leader="none" w:pos="580" w:val="left"/>
        </w:tabs>
        <w:numPr>
          <w:ilvl w:val="1"/>
          <w:numId w:val="32"/>
        </w:numPr>
        <w:rPr>
          <w:rFonts w:ascii="Arial" w:cs="Arial" w:eastAsia="Arial" w:hAnsi="Arial"/>
          <w:sz w:val="18"/>
          <w:szCs w:val="18"/>
          <w:color w:val="auto"/>
        </w:rPr>
      </w:pPr>
      <w:r>
        <w:rPr>
          <w:rFonts w:ascii="Arial" w:cs="Arial" w:eastAsia="Arial" w:hAnsi="Arial"/>
          <w:sz w:val="18"/>
          <w:szCs w:val="18"/>
          <w:color w:val="auto"/>
        </w:rPr>
        <w:t>Applicable percentage ownership is based on 12,126,209 shares of common stock outstanding as of January 30, 2009, together with securities exercisable or convertible into shares of common stock within 60 days of January 30, 2009 for each stockholder. Shares of common stock that are currently exercisable or exercisable within 60 days of January 30, 2009 are deemed to be beneficially owned by the person holding such securities for the purpose of computing the percentage of ownership of such person, but are not treated as outstanding for the purpose of computing the percentage ownership of any other person.</w:t>
      </w:r>
    </w:p>
    <w:p>
      <w:pPr>
        <w:spacing w:after="0" w:line="2" w:lineRule="exact"/>
        <w:rPr>
          <w:rFonts w:ascii="Arial" w:cs="Arial" w:eastAsia="Arial" w:hAnsi="Arial"/>
          <w:sz w:val="18"/>
          <w:szCs w:val="18"/>
          <w:color w:val="auto"/>
        </w:rPr>
      </w:pPr>
    </w:p>
    <w:p>
      <w:pPr>
        <w:ind w:left="580" w:right="20" w:hanging="423"/>
        <w:spacing w:after="0" w:line="250" w:lineRule="auto"/>
        <w:tabs>
          <w:tab w:leader="none" w:pos="580" w:val="left"/>
        </w:tabs>
        <w:numPr>
          <w:ilvl w:val="1"/>
          <w:numId w:val="32"/>
        </w:numPr>
        <w:rPr>
          <w:rFonts w:ascii="Arial" w:cs="Arial" w:eastAsia="Arial" w:hAnsi="Arial"/>
          <w:sz w:val="18"/>
          <w:szCs w:val="18"/>
          <w:color w:val="auto"/>
        </w:rPr>
      </w:pPr>
      <w:r>
        <w:rPr>
          <w:rFonts w:ascii="Arial" w:cs="Arial" w:eastAsia="Arial" w:hAnsi="Arial"/>
          <w:sz w:val="18"/>
          <w:szCs w:val="18"/>
          <w:color w:val="auto"/>
        </w:rPr>
        <w:t>Richard J. Kraniak has voting and dispositive control over the shares held by Richard J. Kraniak Roth IRA, which is located at 101 West Long Lake, Bloomfield Hills, Michigan 48304.</w:t>
      </w:r>
    </w:p>
    <w:p>
      <w:pPr>
        <w:ind w:left="580" w:right="20" w:hanging="423"/>
        <w:spacing w:after="0" w:line="250" w:lineRule="auto"/>
        <w:tabs>
          <w:tab w:leader="none" w:pos="580" w:val="left"/>
        </w:tabs>
        <w:numPr>
          <w:ilvl w:val="1"/>
          <w:numId w:val="32"/>
        </w:numPr>
        <w:rPr>
          <w:rFonts w:ascii="Arial" w:cs="Arial" w:eastAsia="Arial" w:hAnsi="Arial"/>
          <w:sz w:val="18"/>
          <w:szCs w:val="18"/>
          <w:color w:val="auto"/>
        </w:rPr>
      </w:pPr>
      <w:r>
        <w:rPr>
          <w:rFonts w:ascii="Arial" w:cs="Arial" w:eastAsia="Arial" w:hAnsi="Arial"/>
          <w:sz w:val="18"/>
          <w:szCs w:val="18"/>
          <w:color w:val="auto"/>
        </w:rPr>
        <w:t>Linwood C. Meehan III has voting and dispositive control over the shares held by Cypress Trust, which is located at 13750 W. Colonial Dr., Ste. 250-317, Winter Garden, Florida 34787.</w:t>
      </w:r>
    </w:p>
    <w:p>
      <w:pPr>
        <w:ind w:left="580" w:hanging="423"/>
        <w:spacing w:after="0"/>
        <w:tabs>
          <w:tab w:leader="none" w:pos="580" w:val="left"/>
        </w:tabs>
        <w:numPr>
          <w:ilvl w:val="1"/>
          <w:numId w:val="32"/>
        </w:numPr>
        <w:rPr>
          <w:rFonts w:ascii="Arial" w:cs="Arial" w:eastAsia="Arial" w:hAnsi="Arial"/>
          <w:sz w:val="18"/>
          <w:szCs w:val="18"/>
          <w:color w:val="auto"/>
        </w:rPr>
      </w:pPr>
      <w:r>
        <w:rPr>
          <w:rFonts w:ascii="Arial" w:cs="Arial" w:eastAsia="Arial" w:hAnsi="Arial"/>
          <w:sz w:val="18"/>
          <w:szCs w:val="18"/>
          <w:color w:val="auto"/>
        </w:rPr>
        <w:t>Includes options to purchase 100,000 shares of common stock at a price of $1.00 per share.</w:t>
      </w:r>
    </w:p>
    <w:p>
      <w:pPr>
        <w:spacing w:after="0" w:line="9" w:lineRule="exact"/>
        <w:rPr>
          <w:rFonts w:ascii="Arial" w:cs="Arial" w:eastAsia="Arial" w:hAnsi="Arial"/>
          <w:sz w:val="18"/>
          <w:szCs w:val="18"/>
          <w:color w:val="auto"/>
        </w:rPr>
      </w:pPr>
    </w:p>
    <w:p>
      <w:pPr>
        <w:ind w:left="580" w:hanging="423"/>
        <w:spacing w:after="0"/>
        <w:tabs>
          <w:tab w:leader="none" w:pos="580" w:val="left"/>
        </w:tabs>
        <w:numPr>
          <w:ilvl w:val="1"/>
          <w:numId w:val="32"/>
        </w:numPr>
        <w:rPr>
          <w:rFonts w:ascii="Arial" w:cs="Arial" w:eastAsia="Arial" w:hAnsi="Arial"/>
          <w:sz w:val="18"/>
          <w:szCs w:val="18"/>
          <w:color w:val="auto"/>
        </w:rPr>
      </w:pPr>
      <w:r>
        <w:rPr>
          <w:rFonts w:ascii="Arial" w:cs="Arial" w:eastAsia="Arial" w:hAnsi="Arial"/>
          <w:sz w:val="18"/>
          <w:szCs w:val="18"/>
          <w:color w:val="auto"/>
        </w:rPr>
        <w:t>Includes options to purchase 150,000 shares of common stock at a price of $1.00 per share.</w:t>
      </w:r>
    </w:p>
    <w:p>
      <w:pPr>
        <w:spacing w:after="0" w:line="9" w:lineRule="exact"/>
        <w:rPr>
          <w:rFonts w:ascii="Arial" w:cs="Arial" w:eastAsia="Arial" w:hAnsi="Arial"/>
          <w:sz w:val="18"/>
          <w:szCs w:val="18"/>
          <w:color w:val="auto"/>
        </w:rPr>
      </w:pPr>
    </w:p>
    <w:p>
      <w:pPr>
        <w:ind w:left="580" w:hanging="423"/>
        <w:spacing w:after="0"/>
        <w:tabs>
          <w:tab w:leader="none" w:pos="580" w:val="left"/>
        </w:tabs>
        <w:numPr>
          <w:ilvl w:val="1"/>
          <w:numId w:val="32"/>
        </w:numPr>
        <w:rPr>
          <w:rFonts w:ascii="Arial" w:cs="Arial" w:eastAsia="Arial" w:hAnsi="Arial"/>
          <w:sz w:val="18"/>
          <w:szCs w:val="18"/>
          <w:color w:val="auto"/>
        </w:rPr>
      </w:pPr>
      <w:r>
        <w:rPr>
          <w:rFonts w:ascii="Arial" w:cs="Arial" w:eastAsia="Arial" w:hAnsi="Arial"/>
          <w:sz w:val="18"/>
          <w:szCs w:val="18"/>
          <w:color w:val="auto"/>
        </w:rPr>
        <w:t>Includes options to purchase 20,000 shares of common stock at a price of $1.00 per share.</w:t>
      </w:r>
    </w:p>
    <w:p>
      <w:pPr>
        <w:spacing w:after="0" w:line="9" w:lineRule="exact"/>
        <w:rPr>
          <w:rFonts w:ascii="Arial" w:cs="Arial" w:eastAsia="Arial" w:hAnsi="Arial"/>
          <w:sz w:val="18"/>
          <w:szCs w:val="18"/>
          <w:color w:val="auto"/>
        </w:rPr>
      </w:pPr>
    </w:p>
    <w:p>
      <w:pPr>
        <w:jc w:val="both"/>
        <w:ind w:left="580" w:right="40" w:hanging="423"/>
        <w:spacing w:after="0" w:line="281" w:lineRule="auto"/>
        <w:tabs>
          <w:tab w:leader="none" w:pos="580" w:val="left"/>
        </w:tabs>
        <w:numPr>
          <w:ilvl w:val="1"/>
          <w:numId w:val="32"/>
        </w:numPr>
        <w:rPr>
          <w:rFonts w:ascii="Arial" w:cs="Arial" w:eastAsia="Arial" w:hAnsi="Arial"/>
          <w:sz w:val="16"/>
          <w:szCs w:val="16"/>
          <w:color w:val="auto"/>
        </w:rPr>
      </w:pPr>
      <w:r>
        <w:rPr>
          <w:rFonts w:ascii="Arial" w:cs="Arial" w:eastAsia="Arial" w:hAnsi="Arial"/>
          <w:sz w:val="16"/>
          <w:szCs w:val="16"/>
          <w:color w:val="auto"/>
        </w:rPr>
        <w:t>Chris Phillips holds investment and dispositive power of the shares held by Vicis Capital Master Fund. Shares beneficially owned represent an aggregate of 9,500,000 shares of Common Stock, consisting of (i) 3,500,000 shares issuable upon the conversion of the Series A Preferred Stock; and</w:t>
      </w:r>
    </w:p>
    <w:p>
      <w:pPr>
        <w:spacing w:after="0" w:line="1" w:lineRule="exact"/>
        <w:rPr>
          <w:rFonts w:ascii="Arial" w:cs="Arial" w:eastAsia="Arial" w:hAnsi="Arial"/>
          <w:sz w:val="16"/>
          <w:szCs w:val="16"/>
          <w:color w:val="auto"/>
        </w:rPr>
      </w:pPr>
    </w:p>
    <w:p>
      <w:pPr>
        <w:ind w:left="580" w:right="40" w:firstLine="9"/>
        <w:spacing w:after="0" w:line="250" w:lineRule="auto"/>
        <w:tabs>
          <w:tab w:leader="none" w:pos="861" w:val="left"/>
        </w:tabs>
        <w:numPr>
          <w:ilvl w:val="2"/>
          <w:numId w:val="32"/>
        </w:numPr>
        <w:rPr>
          <w:rFonts w:ascii="Arial" w:cs="Arial" w:eastAsia="Arial" w:hAnsi="Arial"/>
          <w:sz w:val="18"/>
          <w:szCs w:val="18"/>
          <w:color w:val="auto"/>
        </w:rPr>
      </w:pPr>
      <w:r>
        <w:rPr>
          <w:rFonts w:ascii="Arial" w:cs="Arial" w:eastAsia="Arial" w:hAnsi="Arial"/>
          <w:sz w:val="18"/>
          <w:szCs w:val="18"/>
          <w:color w:val="auto"/>
        </w:rPr>
        <w:t>6,000,000 shares issuable upon the exercise of the Series A Warrants. The selling stockholder has informed us that it is not a broker-dealer or affiliate of a broker-dealer.</w:t>
      </w:r>
    </w:p>
    <w:p>
      <w:pPr>
        <w:jc w:val="both"/>
        <w:ind w:left="580" w:right="20" w:hanging="423"/>
        <w:spacing w:after="0" w:line="287" w:lineRule="auto"/>
        <w:tabs>
          <w:tab w:leader="none" w:pos="580" w:val="left"/>
        </w:tabs>
        <w:numPr>
          <w:ilvl w:val="1"/>
          <w:numId w:val="32"/>
        </w:numPr>
        <w:rPr>
          <w:rFonts w:ascii="Arial" w:cs="Arial" w:eastAsia="Arial" w:hAnsi="Arial"/>
          <w:sz w:val="16"/>
          <w:szCs w:val="16"/>
          <w:color w:val="auto"/>
        </w:rPr>
      </w:pPr>
      <w:r>
        <w:rPr>
          <w:rFonts w:ascii="Arial" w:cs="Arial" w:eastAsia="Arial" w:hAnsi="Arial"/>
          <w:sz w:val="16"/>
          <w:szCs w:val="16"/>
          <w:color w:val="auto"/>
        </w:rPr>
        <w:t>Percentage of outstanding shares assumes full conversion and/or exercise of the Series A Preferred Stock and Series A Warrants, respectively. The selling stockholders purchased the securities which are convertible into the shares being offered in this prospectus in our September 8, 2008 private placement. The selling stockholders have contractually agreed to restrict their ability to convert their shares of Series A Preferred Stock into shares of common stock and to exercise their warrants to purchase shares of common stock such that the number of shares of common stock held by them in the aggregate and their affiliates after such conversion or exercise does not exceed 4.99% of the then issued and outstanding shares of common stock as determined in accordance with Section 13(d) of the Exchange Act. Accordingly, the number of shares of common stock set forth in the table for the selling stockholders exceeds the number of shares of common stock that the selling stockholders could own beneficially at any given time through their ownership of the Series A Preferred Stock and the warrants. In that regard, the beneficial ownership of the common stock by the selling stockholder set forth in the table is not determined in accordance with Rule 13d-3 under the Securities Exchange Act of 1934, as amended.</w:t>
      </w:r>
    </w:p>
    <w:p>
      <w:pPr>
        <w:spacing w:after="0" w:line="200" w:lineRule="exact"/>
        <w:rPr>
          <w:sz w:val="20"/>
          <w:szCs w:val="20"/>
          <w:color w:val="auto"/>
        </w:rPr>
      </w:pPr>
    </w:p>
    <w:p>
      <w:pPr>
        <w:spacing w:after="0" w:line="26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246620" cy="889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634" w:right="239" w:bottom="1440" w:gutter="0" w:footer="0" w:header="0"/>
        </w:sectPr>
      </w:pPr>
    </w:p>
    <w:bookmarkStart w:id="37" w:name="page38"/>
    <w:bookmarkEnd w:id="37"/>
    <w:p>
      <w:pPr>
        <w:jc w:val="center"/>
        <w:spacing w:after="0"/>
        <w:rPr>
          <w:sz w:val="20"/>
          <w:szCs w:val="20"/>
          <w:color w:val="auto"/>
        </w:rPr>
      </w:pPr>
      <w:r>
        <w:rPr>
          <w:rFonts w:ascii="Arial" w:cs="Arial" w:eastAsia="Arial" w:hAnsi="Arial"/>
          <w:sz w:val="18"/>
          <w:szCs w:val="18"/>
          <w:b w:val="1"/>
          <w:bCs w:val="1"/>
          <w:color w:val="auto"/>
        </w:rPr>
        <w:t>2008 STOCK OPTION PLAN INFORMATION</w:t>
      </w:r>
    </w:p>
    <w:p>
      <w:pPr>
        <w:spacing w:after="0" w:line="283"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On March 5, 2008, our Board of Directors adopted the 2008 Company Stock Option Plan. The purpose of this plan is to provide incentives to attract, retain and motivate eligible persons whose present and potential contributions are important to our success, by offering them an opportunity to participate in the our future performance through awards of options, the right to purchase common stock and stock bonuses. We reserved 1,490,000 shares of our Common Stock for awards to be made under the 2008 Plan. The 2008 Plan is administered by a committee of two or more members of the Board of Directors or, if no committee is appointed, then by the Board of Directors. The committee, or the Board of Directors if there is no committee, determines who is eligible to receive awards under the plan, grant awards and interpret the 2007 Plan.</w:t>
      </w:r>
    </w:p>
    <w:p>
      <w:pPr>
        <w:spacing w:after="0" w:line="24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STOCK GRANTS AND STOCK OPTIONS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PURSUANT TO OUR 2008 STOCK OPTION PLAN</w:t>
      </w:r>
    </w:p>
    <w:p>
      <w:pPr>
        <w:spacing w:after="0" w:line="261"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20" w:type="dxa"/>
            <w:vAlign w:val="bottom"/>
          </w:tcPr>
          <w:p>
            <w:pPr>
              <w:spacing w:after="0"/>
              <w:rPr>
                <w:sz w:val="18"/>
                <w:szCs w:val="18"/>
                <w:color w:val="auto"/>
              </w:rPr>
            </w:pPr>
          </w:p>
        </w:tc>
        <w:tc>
          <w:tcPr>
            <w:tcW w:w="54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00" w:type="dxa"/>
            <w:vAlign w:val="bottom"/>
          </w:tcPr>
          <w:p>
            <w:pPr>
              <w:jc w:val="center"/>
              <w:ind w:right="170"/>
              <w:spacing w:after="0"/>
              <w:rPr>
                <w:sz w:val="20"/>
                <w:szCs w:val="20"/>
                <w:color w:val="auto"/>
              </w:rPr>
            </w:pPr>
            <w:r>
              <w:rPr>
                <w:rFonts w:ascii="Arial" w:cs="Arial" w:eastAsia="Arial" w:hAnsi="Arial"/>
                <w:sz w:val="18"/>
                <w:szCs w:val="18"/>
                <w:b w:val="1"/>
                <w:bCs w:val="1"/>
                <w:color w:val="auto"/>
                <w:w w:val="88"/>
              </w:rPr>
              <w:t>Avg</w:t>
            </w:r>
          </w:p>
        </w:tc>
        <w:tc>
          <w:tcPr>
            <w:tcW w:w="100" w:type="dxa"/>
            <w:vAlign w:val="bottom"/>
          </w:tcPr>
          <w:p>
            <w:pPr>
              <w:spacing w:after="0"/>
              <w:rPr>
                <w:sz w:val="18"/>
                <w:szCs w:val="18"/>
                <w:color w:val="auto"/>
              </w:rPr>
            </w:pPr>
          </w:p>
        </w:tc>
        <w:tc>
          <w:tcPr>
            <w:tcW w:w="29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4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00" w:type="dxa"/>
            <w:vAlign w:val="bottom"/>
          </w:tcPr>
          <w:p>
            <w:pPr>
              <w:jc w:val="center"/>
              <w:ind w:right="190"/>
              <w:spacing w:after="0"/>
              <w:rPr>
                <w:sz w:val="20"/>
                <w:szCs w:val="20"/>
                <w:color w:val="auto"/>
              </w:rPr>
            </w:pPr>
            <w:r>
              <w:rPr>
                <w:rFonts w:ascii="Arial" w:cs="Arial" w:eastAsia="Arial" w:hAnsi="Arial"/>
                <w:sz w:val="18"/>
                <w:szCs w:val="18"/>
                <w:b w:val="1"/>
                <w:bCs w:val="1"/>
                <w:color w:val="auto"/>
                <w:w w:val="86"/>
              </w:rPr>
              <w:t>Exercise</w:t>
            </w:r>
          </w:p>
        </w:tc>
        <w:tc>
          <w:tcPr>
            <w:tcW w:w="100" w:type="dxa"/>
            <w:vAlign w:val="bottom"/>
          </w:tcPr>
          <w:p>
            <w:pPr>
              <w:spacing w:after="0"/>
              <w:rPr>
                <w:sz w:val="18"/>
                <w:szCs w:val="18"/>
                <w:color w:val="auto"/>
              </w:rPr>
            </w:pPr>
          </w:p>
        </w:tc>
        <w:tc>
          <w:tcPr>
            <w:tcW w:w="29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41"/>
        </w:trPr>
        <w:tc>
          <w:tcPr>
            <w:tcW w:w="5420" w:type="dxa"/>
            <w:vAlign w:val="bottom"/>
            <w:gridSpan w:val="2"/>
          </w:tcPr>
          <w:p>
            <w:pPr>
              <w:spacing w:after="0"/>
              <w:rPr>
                <w:sz w:val="20"/>
                <w:szCs w:val="20"/>
                <w:color w:val="auto"/>
              </w:rPr>
            </w:pPr>
            <w:r>
              <w:rPr>
                <w:rFonts w:ascii="Arial" w:cs="Arial" w:eastAsia="Arial" w:hAnsi="Arial"/>
                <w:sz w:val="18"/>
                <w:szCs w:val="18"/>
                <w:b w:val="1"/>
                <w:bCs w:val="1"/>
                <w:color w:val="auto"/>
              </w:rPr>
              <w:t>Name</w:t>
            </w:r>
          </w:p>
        </w:tc>
        <w:tc>
          <w:tcPr>
            <w:tcW w:w="120" w:type="dxa"/>
            <w:vAlign w:val="bottom"/>
          </w:tcPr>
          <w:p>
            <w:pPr>
              <w:spacing w:after="0"/>
              <w:rPr>
                <w:sz w:val="20"/>
                <w:szCs w:val="20"/>
                <w:color w:val="auto"/>
              </w:rPr>
            </w:pPr>
          </w:p>
        </w:tc>
        <w:tc>
          <w:tcPr>
            <w:tcW w:w="1180" w:type="dxa"/>
            <w:vAlign w:val="bottom"/>
          </w:tcPr>
          <w:p>
            <w:pPr>
              <w:jc w:val="right"/>
              <w:ind w:right="370"/>
              <w:spacing w:after="0"/>
              <w:rPr>
                <w:sz w:val="20"/>
                <w:szCs w:val="20"/>
                <w:color w:val="auto"/>
              </w:rPr>
            </w:pPr>
            <w:r>
              <w:rPr>
                <w:rFonts w:ascii="Arial" w:cs="Arial" w:eastAsia="Arial" w:hAnsi="Arial"/>
                <w:sz w:val="18"/>
                <w:szCs w:val="18"/>
                <w:b w:val="1"/>
                <w:bCs w:val="1"/>
                <w:color w:val="auto"/>
              </w:rPr>
              <w:t>Qty</w:t>
            </w:r>
          </w:p>
        </w:tc>
        <w:tc>
          <w:tcPr>
            <w:tcW w:w="2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200" w:type="dxa"/>
            <w:vAlign w:val="bottom"/>
          </w:tcPr>
          <w:p>
            <w:pPr>
              <w:jc w:val="center"/>
              <w:ind w:right="170"/>
              <w:spacing w:after="0"/>
              <w:rPr>
                <w:sz w:val="20"/>
                <w:szCs w:val="20"/>
                <w:color w:val="auto"/>
              </w:rPr>
            </w:pPr>
            <w:r>
              <w:rPr>
                <w:rFonts w:ascii="Arial" w:cs="Arial" w:eastAsia="Arial" w:hAnsi="Arial"/>
                <w:sz w:val="18"/>
                <w:szCs w:val="18"/>
                <w:b w:val="1"/>
                <w:bCs w:val="1"/>
                <w:color w:val="auto"/>
                <w:w w:val="91"/>
              </w:rPr>
              <w:t>Price $</w:t>
            </w:r>
          </w:p>
        </w:tc>
        <w:tc>
          <w:tcPr>
            <w:tcW w:w="100" w:type="dxa"/>
            <w:vAlign w:val="bottom"/>
          </w:tcPr>
          <w:p>
            <w:pPr>
              <w:spacing w:after="0"/>
              <w:rPr>
                <w:sz w:val="20"/>
                <w:szCs w:val="20"/>
                <w:color w:val="auto"/>
              </w:rPr>
            </w:pPr>
          </w:p>
        </w:tc>
        <w:tc>
          <w:tcPr>
            <w:tcW w:w="2940" w:type="dxa"/>
            <w:vAlign w:val="bottom"/>
          </w:tcPr>
          <w:p>
            <w:pPr>
              <w:ind w:left="1260"/>
              <w:spacing w:after="0"/>
              <w:rPr>
                <w:sz w:val="20"/>
                <w:szCs w:val="20"/>
                <w:color w:val="auto"/>
              </w:rPr>
            </w:pPr>
            <w:r>
              <w:rPr>
                <w:rFonts w:ascii="Arial" w:cs="Arial" w:eastAsia="Arial" w:hAnsi="Arial"/>
                <w:sz w:val="18"/>
                <w:szCs w:val="18"/>
                <w:b w:val="1"/>
                <w:bCs w:val="1"/>
                <w:color w:val="auto"/>
              </w:rPr>
              <w:t>Notes</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400" w:type="dxa"/>
            <w:vAlign w:val="bottom"/>
            <w:tcBorders>
              <w:top w:val="single" w:sz="8" w:color="auto"/>
            </w:tcBorders>
            <w:shd w:val="clear" w:color="auto" w:fill="EEEEEE"/>
          </w:tcPr>
          <w:p>
            <w:pPr>
              <w:spacing w:after="0"/>
              <w:rPr>
                <w:sz w:val="20"/>
                <w:szCs w:val="20"/>
                <w:color w:val="auto"/>
              </w:rPr>
            </w:pPr>
            <w:r>
              <w:rPr>
                <w:rFonts w:ascii="Arial" w:cs="Arial" w:eastAsia="Arial" w:hAnsi="Arial"/>
                <w:sz w:val="18"/>
                <w:szCs w:val="18"/>
                <w:b w:val="1"/>
                <w:bCs w:val="1"/>
                <w:color w:val="auto"/>
              </w:rPr>
              <w:t>Options Outstanding under 2008 Company Stock Option Plan</w:t>
            </w:r>
          </w:p>
        </w:tc>
        <w:tc>
          <w:tcPr>
            <w:tcW w:w="120" w:type="dxa"/>
            <w:vAlign w:val="bottom"/>
            <w:shd w:val="clear" w:color="auto" w:fill="EEEEEE"/>
          </w:tcPr>
          <w:p>
            <w:pPr>
              <w:spacing w:after="0"/>
              <w:rPr>
                <w:sz w:val="18"/>
                <w:szCs w:val="18"/>
                <w:color w:val="auto"/>
              </w:rPr>
            </w:pPr>
          </w:p>
        </w:tc>
        <w:tc>
          <w:tcPr>
            <w:tcW w:w="1180" w:type="dxa"/>
            <w:vAlign w:val="bottom"/>
            <w:tcBorders>
              <w:top w:val="single" w:sz="8" w:color="auto"/>
            </w:tcBorders>
            <w:shd w:val="clear" w:color="auto" w:fill="EEEEEE"/>
          </w:tcPr>
          <w:p>
            <w:pPr>
              <w:spacing w:after="0"/>
              <w:rPr>
                <w:sz w:val="18"/>
                <w:szCs w:val="18"/>
                <w:color w:val="auto"/>
              </w:rPr>
            </w:pPr>
          </w:p>
        </w:tc>
        <w:tc>
          <w:tcPr>
            <w:tcW w:w="220" w:type="dxa"/>
            <w:vAlign w:val="bottom"/>
            <w:shd w:val="clear" w:color="auto" w:fill="EEEEEE"/>
          </w:tcPr>
          <w:p>
            <w:pPr>
              <w:spacing w:after="0"/>
              <w:rPr>
                <w:sz w:val="18"/>
                <w:szCs w:val="18"/>
                <w:color w:val="auto"/>
              </w:rPr>
            </w:pPr>
          </w:p>
        </w:tc>
        <w:tc>
          <w:tcPr>
            <w:tcW w:w="240" w:type="dxa"/>
            <w:vAlign w:val="bottom"/>
            <w:tcBorders>
              <w:top w:val="single" w:sz="8" w:color="auto"/>
            </w:tcBorders>
            <w:shd w:val="clear" w:color="auto" w:fill="EEEEEE"/>
          </w:tcPr>
          <w:p>
            <w:pPr>
              <w:spacing w:after="0"/>
              <w:rPr>
                <w:sz w:val="18"/>
                <w:szCs w:val="18"/>
                <w:color w:val="auto"/>
              </w:rPr>
            </w:pPr>
          </w:p>
        </w:tc>
        <w:tc>
          <w:tcPr>
            <w:tcW w:w="1200" w:type="dxa"/>
            <w:vAlign w:val="bottom"/>
            <w:tcBorders>
              <w:top w:val="single" w:sz="8" w:color="auto"/>
            </w:tcBorders>
            <w:shd w:val="clear" w:color="auto" w:fill="EEEEEE"/>
          </w:tcPr>
          <w:p>
            <w:pPr>
              <w:spacing w:after="0"/>
              <w:rPr>
                <w:sz w:val="18"/>
                <w:szCs w:val="18"/>
                <w:color w:val="auto"/>
              </w:rPr>
            </w:pPr>
          </w:p>
        </w:tc>
        <w:tc>
          <w:tcPr>
            <w:tcW w:w="100" w:type="dxa"/>
            <w:vAlign w:val="bottom"/>
            <w:shd w:val="clear" w:color="auto" w:fill="EEEEEE"/>
          </w:tcPr>
          <w:p>
            <w:pPr>
              <w:spacing w:after="0"/>
              <w:rPr>
                <w:sz w:val="18"/>
                <w:szCs w:val="18"/>
                <w:color w:val="auto"/>
              </w:rPr>
            </w:pPr>
          </w:p>
        </w:tc>
        <w:tc>
          <w:tcPr>
            <w:tcW w:w="2940" w:type="dxa"/>
            <w:vAlign w:val="bottom"/>
            <w:tcBorders>
              <w:top w:val="single" w:sz="8" w:color="auto"/>
            </w:tcBorders>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400" w:type="dxa"/>
            <w:vAlign w:val="bottom"/>
          </w:tcPr>
          <w:p>
            <w:pPr>
              <w:spacing w:after="0"/>
              <w:rPr>
                <w:sz w:val="20"/>
                <w:szCs w:val="20"/>
                <w:color w:val="auto"/>
              </w:rPr>
            </w:pPr>
            <w:r>
              <w:rPr>
                <w:rFonts w:ascii="Arial" w:cs="Arial" w:eastAsia="Arial" w:hAnsi="Arial"/>
                <w:sz w:val="18"/>
                <w:szCs w:val="18"/>
                <w:color w:val="auto"/>
              </w:rPr>
              <w:t>David Harrell</w:t>
            </w:r>
          </w:p>
        </w:tc>
        <w:tc>
          <w:tcPr>
            <w:tcW w:w="1300" w:type="dxa"/>
            <w:vAlign w:val="bottom"/>
            <w:gridSpan w:val="2"/>
          </w:tcPr>
          <w:p>
            <w:pPr>
              <w:jc w:val="right"/>
              <w:spacing w:after="0"/>
              <w:rPr>
                <w:sz w:val="20"/>
                <w:szCs w:val="20"/>
                <w:color w:val="auto"/>
              </w:rPr>
            </w:pPr>
            <w:r>
              <w:rPr>
                <w:rFonts w:ascii="Arial" w:cs="Arial" w:eastAsia="Arial" w:hAnsi="Arial"/>
                <w:sz w:val="18"/>
                <w:szCs w:val="18"/>
                <w:color w:val="auto"/>
              </w:rPr>
              <w:t>100,000</w:t>
            </w:r>
          </w:p>
        </w:tc>
        <w:tc>
          <w:tcPr>
            <w:tcW w:w="46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200" w:type="dxa"/>
            <w:vAlign w:val="bottom"/>
          </w:tcPr>
          <w:p>
            <w:pPr>
              <w:jc w:val="right"/>
              <w:spacing w:after="0"/>
              <w:rPr>
                <w:sz w:val="20"/>
                <w:szCs w:val="20"/>
                <w:color w:val="auto"/>
              </w:rPr>
            </w:pPr>
            <w:r>
              <w:rPr>
                <w:rFonts w:ascii="Arial" w:cs="Arial" w:eastAsia="Arial" w:hAnsi="Arial"/>
                <w:sz w:val="18"/>
                <w:szCs w:val="18"/>
                <w:color w:val="auto"/>
              </w:rPr>
              <w:t>1.00</w:t>
            </w:r>
          </w:p>
        </w:tc>
        <w:tc>
          <w:tcPr>
            <w:tcW w:w="100" w:type="dxa"/>
            <w:vAlign w:val="bottom"/>
          </w:tcPr>
          <w:p>
            <w:pPr>
              <w:spacing w:after="0"/>
              <w:rPr>
                <w:sz w:val="18"/>
                <w:szCs w:val="18"/>
                <w:color w:val="auto"/>
              </w:rPr>
            </w:pPr>
          </w:p>
        </w:tc>
        <w:tc>
          <w:tcPr>
            <w:tcW w:w="2940" w:type="dxa"/>
            <w:vAlign w:val="bottom"/>
          </w:tcPr>
          <w:p>
            <w:pPr>
              <w:spacing w:after="0"/>
              <w:rPr>
                <w:sz w:val="20"/>
                <w:szCs w:val="20"/>
                <w:color w:val="auto"/>
              </w:rPr>
            </w:pPr>
            <w:r>
              <w:rPr>
                <w:rFonts w:ascii="Arial" w:cs="Arial" w:eastAsia="Arial" w:hAnsi="Arial"/>
                <w:sz w:val="18"/>
                <w:szCs w:val="18"/>
                <w:color w:val="auto"/>
              </w:rPr>
              <w:t>President and CEO</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400" w:type="dxa"/>
            <w:vAlign w:val="bottom"/>
            <w:shd w:val="clear" w:color="auto" w:fill="EEEEEE"/>
          </w:tcPr>
          <w:p>
            <w:pPr>
              <w:spacing w:after="0"/>
              <w:rPr>
                <w:sz w:val="20"/>
                <w:szCs w:val="20"/>
                <w:color w:val="auto"/>
              </w:rPr>
            </w:pPr>
            <w:r>
              <w:rPr>
                <w:rFonts w:ascii="Arial" w:cs="Arial" w:eastAsia="Arial" w:hAnsi="Arial"/>
                <w:sz w:val="18"/>
                <w:szCs w:val="18"/>
                <w:color w:val="auto"/>
              </w:rPr>
              <w:t>Terry Hamilton</w:t>
            </w:r>
          </w:p>
        </w:tc>
        <w:tc>
          <w:tcPr>
            <w:tcW w:w="1300" w:type="dxa"/>
            <w:vAlign w:val="bottom"/>
            <w:gridSpan w:val="2"/>
            <w:shd w:val="clear" w:color="auto" w:fill="EEEEEE"/>
          </w:tcPr>
          <w:p>
            <w:pPr>
              <w:jc w:val="right"/>
              <w:spacing w:after="0"/>
              <w:rPr>
                <w:sz w:val="20"/>
                <w:szCs w:val="20"/>
                <w:color w:val="auto"/>
              </w:rPr>
            </w:pPr>
            <w:r>
              <w:rPr>
                <w:rFonts w:ascii="Arial" w:cs="Arial" w:eastAsia="Arial" w:hAnsi="Arial"/>
                <w:sz w:val="18"/>
                <w:szCs w:val="18"/>
                <w:color w:val="auto"/>
              </w:rPr>
              <w:t>150,000</w:t>
            </w:r>
          </w:p>
        </w:tc>
        <w:tc>
          <w:tcPr>
            <w:tcW w:w="460" w:type="dxa"/>
            <w:vAlign w:val="bottom"/>
            <w:gridSpan w:val="2"/>
            <w:shd w:val="clear" w:color="auto" w:fill="EEEEEE"/>
          </w:tcPr>
          <w:p>
            <w:pPr>
              <w:jc w:val="right"/>
              <w:ind w:right="160"/>
              <w:spacing w:after="0"/>
              <w:rPr>
                <w:sz w:val="20"/>
                <w:szCs w:val="20"/>
                <w:color w:val="auto"/>
              </w:rPr>
            </w:pPr>
            <w:r>
              <w:rPr>
                <w:rFonts w:ascii="Arial" w:cs="Arial" w:eastAsia="Arial" w:hAnsi="Arial"/>
                <w:sz w:val="18"/>
                <w:szCs w:val="18"/>
                <w:color w:val="auto"/>
              </w:rPr>
              <w:t>$</w:t>
            </w:r>
          </w:p>
        </w:tc>
        <w:tc>
          <w:tcPr>
            <w:tcW w:w="1200" w:type="dxa"/>
            <w:vAlign w:val="bottom"/>
            <w:shd w:val="clear" w:color="auto" w:fill="EEEEEE"/>
          </w:tcPr>
          <w:p>
            <w:pPr>
              <w:jc w:val="right"/>
              <w:spacing w:after="0"/>
              <w:rPr>
                <w:sz w:val="20"/>
                <w:szCs w:val="20"/>
                <w:color w:val="auto"/>
              </w:rPr>
            </w:pPr>
            <w:r>
              <w:rPr>
                <w:rFonts w:ascii="Arial" w:cs="Arial" w:eastAsia="Arial" w:hAnsi="Arial"/>
                <w:sz w:val="18"/>
                <w:szCs w:val="18"/>
                <w:color w:val="auto"/>
              </w:rPr>
              <w:t>1.00</w:t>
            </w:r>
          </w:p>
        </w:tc>
        <w:tc>
          <w:tcPr>
            <w:tcW w:w="100" w:type="dxa"/>
            <w:vAlign w:val="bottom"/>
            <w:shd w:val="clear" w:color="auto" w:fill="EEEEEE"/>
          </w:tcPr>
          <w:p>
            <w:pPr>
              <w:spacing w:after="0"/>
              <w:rPr>
                <w:sz w:val="18"/>
                <w:szCs w:val="18"/>
                <w:color w:val="auto"/>
              </w:rPr>
            </w:pPr>
          </w:p>
        </w:tc>
        <w:tc>
          <w:tcPr>
            <w:tcW w:w="2940" w:type="dxa"/>
            <w:vAlign w:val="bottom"/>
            <w:shd w:val="clear" w:color="auto" w:fill="EEEEEE"/>
          </w:tcPr>
          <w:p>
            <w:pPr>
              <w:spacing w:after="0"/>
              <w:rPr>
                <w:sz w:val="20"/>
                <w:szCs w:val="20"/>
                <w:color w:val="auto"/>
              </w:rPr>
            </w:pPr>
            <w:r>
              <w:rPr>
                <w:rFonts w:ascii="Arial" w:cs="Arial" w:eastAsia="Arial" w:hAnsi="Arial"/>
                <w:sz w:val="18"/>
                <w:szCs w:val="18"/>
                <w:color w:val="auto"/>
              </w:rPr>
              <w:t>Sr. Vice President/Director</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400" w:type="dxa"/>
            <w:vAlign w:val="bottom"/>
          </w:tcPr>
          <w:p>
            <w:pPr>
              <w:spacing w:after="0"/>
              <w:rPr>
                <w:sz w:val="20"/>
                <w:szCs w:val="20"/>
                <w:color w:val="auto"/>
              </w:rPr>
            </w:pPr>
            <w:r>
              <w:rPr>
                <w:rFonts w:ascii="Arial" w:cs="Arial" w:eastAsia="Arial" w:hAnsi="Arial"/>
                <w:sz w:val="18"/>
                <w:szCs w:val="18"/>
                <w:color w:val="auto"/>
              </w:rPr>
              <w:t>Vernon Hartman</w:t>
            </w:r>
          </w:p>
        </w:tc>
        <w:tc>
          <w:tcPr>
            <w:tcW w:w="1300" w:type="dxa"/>
            <w:vAlign w:val="bottom"/>
            <w:gridSpan w:val="2"/>
          </w:tcPr>
          <w:p>
            <w:pPr>
              <w:jc w:val="right"/>
              <w:spacing w:after="0"/>
              <w:rPr>
                <w:sz w:val="20"/>
                <w:szCs w:val="20"/>
                <w:color w:val="auto"/>
              </w:rPr>
            </w:pPr>
            <w:r>
              <w:rPr>
                <w:rFonts w:ascii="Arial" w:cs="Arial" w:eastAsia="Arial" w:hAnsi="Arial"/>
                <w:sz w:val="18"/>
                <w:szCs w:val="18"/>
                <w:color w:val="auto"/>
              </w:rPr>
              <w:t>50,000</w:t>
            </w:r>
          </w:p>
        </w:tc>
        <w:tc>
          <w:tcPr>
            <w:tcW w:w="46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200" w:type="dxa"/>
            <w:vAlign w:val="bottom"/>
          </w:tcPr>
          <w:p>
            <w:pPr>
              <w:jc w:val="right"/>
              <w:spacing w:after="0"/>
              <w:rPr>
                <w:sz w:val="20"/>
                <w:szCs w:val="20"/>
                <w:color w:val="auto"/>
              </w:rPr>
            </w:pPr>
            <w:r>
              <w:rPr>
                <w:rFonts w:ascii="Arial" w:cs="Arial" w:eastAsia="Arial" w:hAnsi="Arial"/>
                <w:sz w:val="18"/>
                <w:szCs w:val="18"/>
                <w:color w:val="auto"/>
              </w:rPr>
              <w:t>1.00</w:t>
            </w:r>
          </w:p>
        </w:tc>
        <w:tc>
          <w:tcPr>
            <w:tcW w:w="100" w:type="dxa"/>
            <w:vAlign w:val="bottom"/>
          </w:tcPr>
          <w:p>
            <w:pPr>
              <w:spacing w:after="0"/>
              <w:rPr>
                <w:sz w:val="18"/>
                <w:szCs w:val="18"/>
                <w:color w:val="auto"/>
              </w:rPr>
            </w:pPr>
          </w:p>
        </w:tc>
        <w:tc>
          <w:tcPr>
            <w:tcW w:w="2940" w:type="dxa"/>
            <w:vAlign w:val="bottom"/>
          </w:tcPr>
          <w:p>
            <w:pPr>
              <w:spacing w:after="0"/>
              <w:rPr>
                <w:sz w:val="20"/>
                <w:szCs w:val="20"/>
                <w:color w:val="auto"/>
              </w:rPr>
            </w:pPr>
            <w:r>
              <w:rPr>
                <w:rFonts w:ascii="Arial" w:cs="Arial" w:eastAsia="Arial" w:hAnsi="Arial"/>
                <w:sz w:val="18"/>
                <w:szCs w:val="18"/>
                <w:color w:val="auto"/>
              </w:rPr>
              <w:t>Vice President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400" w:type="dxa"/>
            <w:vAlign w:val="bottom"/>
            <w:shd w:val="clear" w:color="auto" w:fill="EEEEEE"/>
          </w:tcPr>
          <w:p>
            <w:pPr>
              <w:spacing w:after="0"/>
              <w:rPr>
                <w:sz w:val="20"/>
                <w:szCs w:val="20"/>
                <w:color w:val="auto"/>
              </w:rPr>
            </w:pPr>
            <w:r>
              <w:rPr>
                <w:rFonts w:ascii="Arial" w:cs="Arial" w:eastAsia="Arial" w:hAnsi="Arial"/>
                <w:sz w:val="18"/>
                <w:szCs w:val="18"/>
                <w:color w:val="auto"/>
              </w:rPr>
              <w:t>Andrew Dahl</w:t>
            </w:r>
          </w:p>
        </w:tc>
        <w:tc>
          <w:tcPr>
            <w:tcW w:w="1300" w:type="dxa"/>
            <w:vAlign w:val="bottom"/>
            <w:gridSpan w:val="2"/>
            <w:shd w:val="clear" w:color="auto" w:fill="EEEEEE"/>
          </w:tcPr>
          <w:p>
            <w:pPr>
              <w:jc w:val="right"/>
              <w:spacing w:after="0"/>
              <w:rPr>
                <w:sz w:val="20"/>
                <w:szCs w:val="20"/>
                <w:color w:val="auto"/>
              </w:rPr>
            </w:pPr>
            <w:r>
              <w:rPr>
                <w:rFonts w:ascii="Arial" w:cs="Arial" w:eastAsia="Arial" w:hAnsi="Arial"/>
                <w:sz w:val="18"/>
                <w:szCs w:val="18"/>
                <w:color w:val="auto"/>
              </w:rPr>
              <w:t>20,000</w:t>
            </w:r>
          </w:p>
        </w:tc>
        <w:tc>
          <w:tcPr>
            <w:tcW w:w="460" w:type="dxa"/>
            <w:vAlign w:val="bottom"/>
            <w:gridSpan w:val="2"/>
            <w:shd w:val="clear" w:color="auto" w:fill="EEEEEE"/>
          </w:tcPr>
          <w:p>
            <w:pPr>
              <w:jc w:val="right"/>
              <w:ind w:right="160"/>
              <w:spacing w:after="0"/>
              <w:rPr>
                <w:sz w:val="20"/>
                <w:szCs w:val="20"/>
                <w:color w:val="auto"/>
              </w:rPr>
            </w:pPr>
            <w:r>
              <w:rPr>
                <w:rFonts w:ascii="Arial" w:cs="Arial" w:eastAsia="Arial" w:hAnsi="Arial"/>
                <w:sz w:val="18"/>
                <w:szCs w:val="18"/>
                <w:color w:val="auto"/>
              </w:rPr>
              <w:t>$</w:t>
            </w:r>
          </w:p>
        </w:tc>
        <w:tc>
          <w:tcPr>
            <w:tcW w:w="1200" w:type="dxa"/>
            <w:vAlign w:val="bottom"/>
            <w:shd w:val="clear" w:color="auto" w:fill="EEEEEE"/>
          </w:tcPr>
          <w:p>
            <w:pPr>
              <w:jc w:val="right"/>
              <w:spacing w:after="0"/>
              <w:rPr>
                <w:sz w:val="20"/>
                <w:szCs w:val="20"/>
                <w:color w:val="auto"/>
              </w:rPr>
            </w:pPr>
            <w:r>
              <w:rPr>
                <w:rFonts w:ascii="Arial" w:cs="Arial" w:eastAsia="Arial" w:hAnsi="Arial"/>
                <w:sz w:val="18"/>
                <w:szCs w:val="18"/>
                <w:color w:val="auto"/>
              </w:rPr>
              <w:t>1.00</w:t>
            </w:r>
          </w:p>
        </w:tc>
        <w:tc>
          <w:tcPr>
            <w:tcW w:w="100" w:type="dxa"/>
            <w:vAlign w:val="bottom"/>
            <w:shd w:val="clear" w:color="auto" w:fill="EEEEEE"/>
          </w:tcPr>
          <w:p>
            <w:pPr>
              <w:spacing w:after="0"/>
              <w:rPr>
                <w:sz w:val="18"/>
                <w:szCs w:val="18"/>
                <w:color w:val="auto"/>
              </w:rPr>
            </w:pPr>
          </w:p>
        </w:tc>
        <w:tc>
          <w:tcPr>
            <w:tcW w:w="2940" w:type="dxa"/>
            <w:vAlign w:val="bottom"/>
            <w:shd w:val="clear" w:color="auto" w:fill="EEEEEE"/>
          </w:tcPr>
          <w:p>
            <w:pPr>
              <w:spacing w:after="0"/>
              <w:rPr>
                <w:sz w:val="20"/>
                <w:szCs w:val="20"/>
                <w:color w:val="auto"/>
              </w:rPr>
            </w:pPr>
            <w:r>
              <w:rPr>
                <w:rFonts w:ascii="Arial" w:cs="Arial" w:eastAsia="Arial" w:hAnsi="Arial"/>
                <w:sz w:val="18"/>
                <w:szCs w:val="18"/>
                <w:color w:val="auto"/>
              </w:rPr>
              <w:t>Business Advisor</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400" w:type="dxa"/>
            <w:vAlign w:val="bottom"/>
          </w:tcPr>
          <w:p>
            <w:pPr>
              <w:spacing w:after="0"/>
              <w:rPr>
                <w:sz w:val="20"/>
                <w:szCs w:val="20"/>
                <w:color w:val="auto"/>
              </w:rPr>
            </w:pPr>
            <w:r>
              <w:rPr>
                <w:rFonts w:ascii="Arial" w:cs="Arial" w:eastAsia="Arial" w:hAnsi="Arial"/>
                <w:sz w:val="18"/>
                <w:szCs w:val="18"/>
                <w:color w:val="auto"/>
              </w:rPr>
              <w:t>Jay Pinney, MD</w:t>
            </w:r>
          </w:p>
        </w:tc>
        <w:tc>
          <w:tcPr>
            <w:tcW w:w="1300" w:type="dxa"/>
            <w:vAlign w:val="bottom"/>
            <w:gridSpan w:val="2"/>
          </w:tcPr>
          <w:p>
            <w:pPr>
              <w:jc w:val="right"/>
              <w:spacing w:after="0"/>
              <w:rPr>
                <w:sz w:val="20"/>
                <w:szCs w:val="20"/>
                <w:color w:val="auto"/>
              </w:rPr>
            </w:pPr>
            <w:r>
              <w:rPr>
                <w:rFonts w:ascii="Arial" w:cs="Arial" w:eastAsia="Arial" w:hAnsi="Arial"/>
                <w:sz w:val="18"/>
                <w:szCs w:val="18"/>
                <w:color w:val="auto"/>
              </w:rPr>
              <w:t>25,000</w:t>
            </w:r>
          </w:p>
        </w:tc>
        <w:tc>
          <w:tcPr>
            <w:tcW w:w="46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200" w:type="dxa"/>
            <w:vAlign w:val="bottom"/>
          </w:tcPr>
          <w:p>
            <w:pPr>
              <w:jc w:val="right"/>
              <w:spacing w:after="0"/>
              <w:rPr>
                <w:sz w:val="20"/>
                <w:szCs w:val="20"/>
                <w:color w:val="auto"/>
              </w:rPr>
            </w:pPr>
            <w:r>
              <w:rPr>
                <w:rFonts w:ascii="Arial" w:cs="Arial" w:eastAsia="Arial" w:hAnsi="Arial"/>
                <w:sz w:val="18"/>
                <w:szCs w:val="18"/>
                <w:color w:val="auto"/>
              </w:rPr>
              <w:t>1.00</w:t>
            </w:r>
          </w:p>
        </w:tc>
        <w:tc>
          <w:tcPr>
            <w:tcW w:w="100" w:type="dxa"/>
            <w:vAlign w:val="bottom"/>
          </w:tcPr>
          <w:p>
            <w:pPr>
              <w:spacing w:after="0"/>
              <w:rPr>
                <w:sz w:val="18"/>
                <w:szCs w:val="18"/>
                <w:color w:val="auto"/>
              </w:rPr>
            </w:pPr>
          </w:p>
        </w:tc>
        <w:tc>
          <w:tcPr>
            <w:tcW w:w="2940" w:type="dxa"/>
            <w:vAlign w:val="bottom"/>
          </w:tcPr>
          <w:p>
            <w:pPr>
              <w:spacing w:after="0"/>
              <w:rPr>
                <w:sz w:val="20"/>
                <w:szCs w:val="20"/>
                <w:color w:val="auto"/>
              </w:rPr>
            </w:pPr>
            <w:r>
              <w:rPr>
                <w:rFonts w:ascii="Arial" w:cs="Arial" w:eastAsia="Arial" w:hAnsi="Arial"/>
                <w:sz w:val="18"/>
                <w:szCs w:val="18"/>
                <w:color w:val="auto"/>
              </w:rPr>
              <w:t>Medical Advisor</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400" w:type="dxa"/>
            <w:vAlign w:val="bottom"/>
            <w:shd w:val="clear" w:color="auto" w:fill="EEEEEE"/>
          </w:tcPr>
          <w:p>
            <w:pPr>
              <w:spacing w:after="0"/>
              <w:rPr>
                <w:sz w:val="20"/>
                <w:szCs w:val="20"/>
                <w:color w:val="auto"/>
              </w:rPr>
            </w:pPr>
            <w:r>
              <w:rPr>
                <w:rFonts w:ascii="Arial" w:cs="Arial" w:eastAsia="Arial" w:hAnsi="Arial"/>
                <w:sz w:val="18"/>
                <w:szCs w:val="18"/>
                <w:color w:val="auto"/>
              </w:rPr>
              <w:t>Thomas Majerowicz</w:t>
            </w:r>
          </w:p>
        </w:tc>
        <w:tc>
          <w:tcPr>
            <w:tcW w:w="1300" w:type="dxa"/>
            <w:vAlign w:val="bottom"/>
            <w:gridSpan w:val="2"/>
            <w:shd w:val="clear" w:color="auto" w:fill="EEEEEE"/>
          </w:tcPr>
          <w:p>
            <w:pPr>
              <w:jc w:val="right"/>
              <w:spacing w:after="0"/>
              <w:rPr>
                <w:sz w:val="20"/>
                <w:szCs w:val="20"/>
                <w:color w:val="auto"/>
              </w:rPr>
            </w:pPr>
            <w:r>
              <w:rPr>
                <w:rFonts w:ascii="Arial" w:cs="Arial" w:eastAsia="Arial" w:hAnsi="Arial"/>
                <w:sz w:val="18"/>
                <w:szCs w:val="18"/>
                <w:color w:val="auto"/>
              </w:rPr>
              <w:t>20,000</w:t>
            </w:r>
          </w:p>
        </w:tc>
        <w:tc>
          <w:tcPr>
            <w:tcW w:w="460" w:type="dxa"/>
            <w:vAlign w:val="bottom"/>
            <w:gridSpan w:val="2"/>
            <w:shd w:val="clear" w:color="auto" w:fill="EEEEEE"/>
          </w:tcPr>
          <w:p>
            <w:pPr>
              <w:jc w:val="right"/>
              <w:ind w:right="160"/>
              <w:spacing w:after="0"/>
              <w:rPr>
                <w:sz w:val="20"/>
                <w:szCs w:val="20"/>
                <w:color w:val="auto"/>
              </w:rPr>
            </w:pPr>
            <w:r>
              <w:rPr>
                <w:rFonts w:ascii="Arial" w:cs="Arial" w:eastAsia="Arial" w:hAnsi="Arial"/>
                <w:sz w:val="18"/>
                <w:szCs w:val="18"/>
                <w:color w:val="auto"/>
              </w:rPr>
              <w:t>$</w:t>
            </w:r>
          </w:p>
        </w:tc>
        <w:tc>
          <w:tcPr>
            <w:tcW w:w="1200" w:type="dxa"/>
            <w:vAlign w:val="bottom"/>
            <w:shd w:val="clear" w:color="auto" w:fill="EEEEEE"/>
          </w:tcPr>
          <w:p>
            <w:pPr>
              <w:jc w:val="right"/>
              <w:spacing w:after="0"/>
              <w:rPr>
                <w:sz w:val="20"/>
                <w:szCs w:val="20"/>
                <w:color w:val="auto"/>
              </w:rPr>
            </w:pPr>
            <w:r>
              <w:rPr>
                <w:rFonts w:ascii="Arial" w:cs="Arial" w:eastAsia="Arial" w:hAnsi="Arial"/>
                <w:sz w:val="18"/>
                <w:szCs w:val="18"/>
                <w:color w:val="auto"/>
              </w:rPr>
              <w:t>1.00</w:t>
            </w:r>
          </w:p>
        </w:tc>
        <w:tc>
          <w:tcPr>
            <w:tcW w:w="100" w:type="dxa"/>
            <w:vAlign w:val="bottom"/>
            <w:shd w:val="clear" w:color="auto" w:fill="EEEEEE"/>
          </w:tcPr>
          <w:p>
            <w:pPr>
              <w:spacing w:after="0"/>
              <w:rPr>
                <w:sz w:val="18"/>
                <w:szCs w:val="18"/>
                <w:color w:val="auto"/>
              </w:rPr>
            </w:pPr>
          </w:p>
        </w:tc>
        <w:tc>
          <w:tcPr>
            <w:tcW w:w="2940" w:type="dxa"/>
            <w:vAlign w:val="bottom"/>
            <w:shd w:val="clear" w:color="auto" w:fill="EEEEEE"/>
          </w:tcPr>
          <w:p>
            <w:pPr>
              <w:spacing w:after="0"/>
              <w:rPr>
                <w:sz w:val="20"/>
                <w:szCs w:val="20"/>
                <w:color w:val="auto"/>
              </w:rPr>
            </w:pPr>
            <w:r>
              <w:rPr>
                <w:rFonts w:ascii="Arial" w:cs="Arial" w:eastAsia="Arial" w:hAnsi="Arial"/>
                <w:sz w:val="18"/>
                <w:szCs w:val="18"/>
                <w:color w:val="auto"/>
              </w:rPr>
              <w:t>Director and Legal Advisor</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54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9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400" w:type="dxa"/>
            <w:vAlign w:val="bottom"/>
            <w:shd w:val="clear" w:color="auto" w:fill="EEEEEE"/>
          </w:tcPr>
          <w:p>
            <w:pPr>
              <w:spacing w:after="0"/>
              <w:rPr>
                <w:sz w:val="20"/>
                <w:szCs w:val="20"/>
                <w:color w:val="auto"/>
              </w:rPr>
            </w:pPr>
            <w:r>
              <w:rPr>
                <w:rFonts w:ascii="Arial" w:cs="Arial" w:eastAsia="Arial" w:hAnsi="Arial"/>
                <w:sz w:val="18"/>
                <w:szCs w:val="18"/>
                <w:color w:val="auto"/>
              </w:rPr>
              <w:t>Total Issued</w:t>
            </w:r>
          </w:p>
        </w:tc>
        <w:tc>
          <w:tcPr>
            <w:tcW w:w="1300" w:type="dxa"/>
            <w:vAlign w:val="bottom"/>
            <w:gridSpan w:val="2"/>
            <w:shd w:val="clear" w:color="auto" w:fill="EEEEEE"/>
          </w:tcPr>
          <w:p>
            <w:pPr>
              <w:jc w:val="right"/>
              <w:spacing w:after="0"/>
              <w:rPr>
                <w:sz w:val="20"/>
                <w:szCs w:val="20"/>
                <w:color w:val="auto"/>
              </w:rPr>
            </w:pPr>
            <w:r>
              <w:rPr>
                <w:rFonts w:ascii="Arial" w:cs="Arial" w:eastAsia="Arial" w:hAnsi="Arial"/>
                <w:sz w:val="18"/>
                <w:szCs w:val="18"/>
                <w:color w:val="auto"/>
              </w:rPr>
              <w:t>365,000</w:t>
            </w:r>
          </w:p>
        </w:tc>
        <w:tc>
          <w:tcPr>
            <w:tcW w:w="460" w:type="dxa"/>
            <w:vAlign w:val="bottom"/>
            <w:gridSpan w:val="2"/>
            <w:shd w:val="clear" w:color="auto" w:fill="EEEEEE"/>
          </w:tcPr>
          <w:p>
            <w:pPr>
              <w:jc w:val="right"/>
              <w:ind w:right="160"/>
              <w:spacing w:after="0"/>
              <w:rPr>
                <w:sz w:val="20"/>
                <w:szCs w:val="20"/>
                <w:color w:val="auto"/>
              </w:rPr>
            </w:pPr>
            <w:r>
              <w:rPr>
                <w:rFonts w:ascii="Arial" w:cs="Arial" w:eastAsia="Arial" w:hAnsi="Arial"/>
                <w:sz w:val="18"/>
                <w:szCs w:val="18"/>
                <w:color w:val="auto"/>
              </w:rPr>
              <w:t>$</w:t>
            </w:r>
          </w:p>
        </w:tc>
        <w:tc>
          <w:tcPr>
            <w:tcW w:w="1200" w:type="dxa"/>
            <w:vAlign w:val="bottom"/>
            <w:shd w:val="clear" w:color="auto" w:fill="EEEEEE"/>
          </w:tcPr>
          <w:p>
            <w:pPr>
              <w:jc w:val="right"/>
              <w:spacing w:after="0"/>
              <w:rPr>
                <w:sz w:val="20"/>
                <w:szCs w:val="20"/>
                <w:color w:val="auto"/>
              </w:rPr>
            </w:pPr>
            <w:r>
              <w:rPr>
                <w:rFonts w:ascii="Arial" w:cs="Arial" w:eastAsia="Arial" w:hAnsi="Arial"/>
                <w:sz w:val="18"/>
                <w:szCs w:val="18"/>
                <w:color w:val="auto"/>
              </w:rPr>
              <w:t>1.00</w:t>
            </w:r>
          </w:p>
        </w:tc>
        <w:tc>
          <w:tcPr>
            <w:tcW w:w="100" w:type="dxa"/>
            <w:vAlign w:val="bottom"/>
            <w:shd w:val="clear" w:color="auto" w:fill="EEEEEE"/>
          </w:tcPr>
          <w:p>
            <w:pPr>
              <w:spacing w:after="0"/>
              <w:rPr>
                <w:sz w:val="18"/>
                <w:szCs w:val="18"/>
                <w:color w:val="auto"/>
              </w:rPr>
            </w:pPr>
          </w:p>
        </w:tc>
        <w:tc>
          <w:tcPr>
            <w:tcW w:w="2940" w:type="dxa"/>
            <w:vAlign w:val="bottom"/>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54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9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400" w:type="dxa"/>
            <w:vAlign w:val="bottom"/>
            <w:shd w:val="clear" w:color="auto" w:fill="EEEEEE"/>
          </w:tcPr>
          <w:p>
            <w:pPr>
              <w:spacing w:after="0"/>
              <w:rPr>
                <w:sz w:val="20"/>
                <w:szCs w:val="20"/>
                <w:color w:val="auto"/>
              </w:rPr>
            </w:pPr>
            <w:r>
              <w:rPr>
                <w:rFonts w:ascii="Arial" w:cs="Arial" w:eastAsia="Arial" w:hAnsi="Arial"/>
                <w:sz w:val="18"/>
                <w:szCs w:val="18"/>
                <w:color w:val="auto"/>
              </w:rPr>
              <w:t>Total Remaining Stock Options for future use:</w:t>
            </w:r>
          </w:p>
        </w:tc>
        <w:tc>
          <w:tcPr>
            <w:tcW w:w="1300" w:type="dxa"/>
            <w:vAlign w:val="bottom"/>
            <w:gridSpan w:val="2"/>
            <w:shd w:val="clear" w:color="auto" w:fill="EEEEEE"/>
          </w:tcPr>
          <w:p>
            <w:pPr>
              <w:jc w:val="right"/>
              <w:spacing w:after="0"/>
              <w:rPr>
                <w:sz w:val="20"/>
                <w:szCs w:val="20"/>
                <w:color w:val="auto"/>
              </w:rPr>
            </w:pPr>
            <w:r>
              <w:rPr>
                <w:rFonts w:ascii="Arial" w:cs="Arial" w:eastAsia="Arial" w:hAnsi="Arial"/>
                <w:sz w:val="18"/>
                <w:szCs w:val="18"/>
                <w:color w:val="auto"/>
              </w:rPr>
              <w:t>625,000</w:t>
            </w:r>
          </w:p>
        </w:tc>
        <w:tc>
          <w:tcPr>
            <w:tcW w:w="220" w:type="dxa"/>
            <w:vAlign w:val="bottom"/>
            <w:shd w:val="clear" w:color="auto" w:fill="EEEEEE"/>
          </w:tcPr>
          <w:p>
            <w:pPr>
              <w:spacing w:after="0"/>
              <w:rPr>
                <w:sz w:val="18"/>
                <w:szCs w:val="18"/>
                <w:color w:val="auto"/>
              </w:rPr>
            </w:pPr>
          </w:p>
        </w:tc>
        <w:tc>
          <w:tcPr>
            <w:tcW w:w="240" w:type="dxa"/>
            <w:vAlign w:val="bottom"/>
            <w:shd w:val="clear" w:color="auto" w:fill="EEEEEE"/>
          </w:tcPr>
          <w:p>
            <w:pPr>
              <w:spacing w:after="0"/>
              <w:rPr>
                <w:sz w:val="18"/>
                <w:szCs w:val="18"/>
                <w:color w:val="auto"/>
              </w:rPr>
            </w:pPr>
          </w:p>
        </w:tc>
        <w:tc>
          <w:tcPr>
            <w:tcW w:w="1200" w:type="dxa"/>
            <w:vAlign w:val="bottom"/>
            <w:shd w:val="clear" w:color="auto" w:fill="EEEEEE"/>
          </w:tcPr>
          <w:p>
            <w:pPr>
              <w:spacing w:after="0"/>
              <w:rPr>
                <w:sz w:val="18"/>
                <w:szCs w:val="18"/>
                <w:color w:val="auto"/>
              </w:rPr>
            </w:pPr>
          </w:p>
        </w:tc>
        <w:tc>
          <w:tcPr>
            <w:tcW w:w="100" w:type="dxa"/>
            <w:vAlign w:val="bottom"/>
            <w:shd w:val="clear" w:color="auto" w:fill="EEEEEE"/>
          </w:tcPr>
          <w:p>
            <w:pPr>
              <w:spacing w:after="0"/>
              <w:rPr>
                <w:sz w:val="18"/>
                <w:szCs w:val="18"/>
                <w:color w:val="auto"/>
              </w:rPr>
            </w:pPr>
          </w:p>
        </w:tc>
        <w:tc>
          <w:tcPr>
            <w:tcW w:w="2940" w:type="dxa"/>
            <w:vAlign w:val="bottom"/>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400" w:type="dxa"/>
            <w:vAlign w:val="bottom"/>
          </w:tcPr>
          <w:p>
            <w:pPr>
              <w:spacing w:after="0"/>
              <w:rPr>
                <w:sz w:val="20"/>
                <w:szCs w:val="20"/>
                <w:color w:val="auto"/>
              </w:rPr>
            </w:pPr>
            <w:r>
              <w:rPr>
                <w:rFonts w:ascii="Arial" w:cs="Arial" w:eastAsia="Arial" w:hAnsi="Arial"/>
                <w:sz w:val="18"/>
                <w:szCs w:val="18"/>
                <w:color w:val="auto"/>
              </w:rPr>
              <w:t>Total Remaining Stock Grants:</w:t>
            </w:r>
          </w:p>
        </w:tc>
        <w:tc>
          <w:tcPr>
            <w:tcW w:w="1300" w:type="dxa"/>
            <w:vAlign w:val="bottom"/>
            <w:gridSpan w:val="2"/>
          </w:tcPr>
          <w:p>
            <w:pPr>
              <w:jc w:val="right"/>
              <w:spacing w:after="0"/>
              <w:rPr>
                <w:sz w:val="20"/>
                <w:szCs w:val="20"/>
                <w:color w:val="auto"/>
              </w:rPr>
            </w:pPr>
            <w:r>
              <w:rPr>
                <w:rFonts w:ascii="Arial" w:cs="Arial" w:eastAsia="Arial" w:hAnsi="Arial"/>
                <w:sz w:val="18"/>
                <w:szCs w:val="18"/>
                <w:color w:val="auto"/>
              </w:rPr>
              <w:t>500,000</w:t>
            </w: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9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5400" w:type="dxa"/>
            <w:vAlign w:val="bottom"/>
            <w:shd w:val="clear" w:color="auto" w:fill="EEEEEE"/>
          </w:tcPr>
          <w:p>
            <w:pPr>
              <w:spacing w:after="0"/>
              <w:rPr>
                <w:sz w:val="18"/>
                <w:szCs w:val="18"/>
                <w:color w:val="auto"/>
              </w:rPr>
            </w:pPr>
          </w:p>
        </w:tc>
        <w:tc>
          <w:tcPr>
            <w:tcW w:w="120" w:type="dxa"/>
            <w:vAlign w:val="bottom"/>
            <w:shd w:val="clear" w:color="auto" w:fill="EEEEEE"/>
          </w:tcPr>
          <w:p>
            <w:pPr>
              <w:spacing w:after="0"/>
              <w:rPr>
                <w:sz w:val="18"/>
                <w:szCs w:val="18"/>
                <w:color w:val="auto"/>
              </w:rPr>
            </w:pPr>
          </w:p>
        </w:tc>
        <w:tc>
          <w:tcPr>
            <w:tcW w:w="1180" w:type="dxa"/>
            <w:vAlign w:val="bottom"/>
            <w:shd w:val="clear" w:color="auto" w:fill="EEEEEE"/>
          </w:tcPr>
          <w:p>
            <w:pPr>
              <w:spacing w:after="0"/>
              <w:rPr>
                <w:sz w:val="18"/>
                <w:szCs w:val="18"/>
                <w:color w:val="auto"/>
              </w:rPr>
            </w:pPr>
          </w:p>
        </w:tc>
        <w:tc>
          <w:tcPr>
            <w:tcW w:w="220" w:type="dxa"/>
            <w:vAlign w:val="bottom"/>
            <w:shd w:val="clear" w:color="auto" w:fill="EEEEEE"/>
          </w:tcPr>
          <w:p>
            <w:pPr>
              <w:spacing w:after="0"/>
              <w:rPr>
                <w:sz w:val="18"/>
                <w:szCs w:val="18"/>
                <w:color w:val="auto"/>
              </w:rPr>
            </w:pPr>
          </w:p>
        </w:tc>
        <w:tc>
          <w:tcPr>
            <w:tcW w:w="240" w:type="dxa"/>
            <w:vAlign w:val="bottom"/>
            <w:shd w:val="clear" w:color="auto" w:fill="EEEEEE"/>
          </w:tcPr>
          <w:p>
            <w:pPr>
              <w:spacing w:after="0"/>
              <w:rPr>
                <w:sz w:val="18"/>
                <w:szCs w:val="18"/>
                <w:color w:val="auto"/>
              </w:rPr>
            </w:pPr>
          </w:p>
        </w:tc>
        <w:tc>
          <w:tcPr>
            <w:tcW w:w="1200" w:type="dxa"/>
            <w:vAlign w:val="bottom"/>
            <w:shd w:val="clear" w:color="auto" w:fill="EEEEEE"/>
          </w:tcPr>
          <w:p>
            <w:pPr>
              <w:spacing w:after="0"/>
              <w:rPr>
                <w:sz w:val="18"/>
                <w:szCs w:val="18"/>
                <w:color w:val="auto"/>
              </w:rPr>
            </w:pPr>
          </w:p>
        </w:tc>
        <w:tc>
          <w:tcPr>
            <w:tcW w:w="100" w:type="dxa"/>
            <w:vAlign w:val="bottom"/>
            <w:shd w:val="clear" w:color="auto" w:fill="EEEEEE"/>
          </w:tcPr>
          <w:p>
            <w:pPr>
              <w:spacing w:after="0"/>
              <w:rPr>
                <w:sz w:val="18"/>
                <w:szCs w:val="18"/>
                <w:color w:val="auto"/>
              </w:rPr>
            </w:pPr>
          </w:p>
        </w:tc>
        <w:tc>
          <w:tcPr>
            <w:tcW w:w="2940" w:type="dxa"/>
            <w:vAlign w:val="bottom"/>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20" w:type="dxa"/>
            <w:vAlign w:val="bottom"/>
            <w:vMerge w:val="continue"/>
          </w:tcPr>
          <w:p>
            <w:pPr>
              <w:spacing w:after="0"/>
              <w:rPr>
                <w:sz w:val="20"/>
                <w:szCs w:val="20"/>
                <w:color w:val="auto"/>
              </w:rPr>
            </w:pPr>
          </w:p>
        </w:tc>
        <w:tc>
          <w:tcPr>
            <w:tcW w:w="5400" w:type="dxa"/>
            <w:vAlign w:val="bottom"/>
          </w:tcPr>
          <w:p>
            <w:pPr>
              <w:spacing w:after="0"/>
              <w:rPr>
                <w:sz w:val="20"/>
                <w:szCs w:val="20"/>
                <w:color w:val="auto"/>
              </w:rPr>
            </w:pPr>
            <w:r>
              <w:rPr>
                <w:rFonts w:ascii="Arial" w:cs="Arial" w:eastAsia="Arial" w:hAnsi="Arial"/>
                <w:sz w:val="18"/>
                <w:szCs w:val="18"/>
                <w:b w:val="1"/>
                <w:bCs w:val="1"/>
                <w:color w:val="auto"/>
              </w:rPr>
              <w:t>Total Stock Options and Stock Grants</w:t>
            </w:r>
          </w:p>
        </w:tc>
        <w:tc>
          <w:tcPr>
            <w:tcW w:w="1300" w:type="dxa"/>
            <w:vAlign w:val="bottom"/>
            <w:gridSpan w:val="2"/>
          </w:tcPr>
          <w:p>
            <w:pPr>
              <w:jc w:val="right"/>
              <w:spacing w:after="0"/>
              <w:rPr>
                <w:sz w:val="20"/>
                <w:szCs w:val="20"/>
                <w:color w:val="auto"/>
              </w:rPr>
            </w:pPr>
            <w:r>
              <w:rPr>
                <w:rFonts w:ascii="Arial" w:cs="Arial" w:eastAsia="Arial" w:hAnsi="Arial"/>
                <w:sz w:val="18"/>
                <w:szCs w:val="18"/>
                <w:color w:val="auto"/>
              </w:rPr>
              <w:t>1,490,000</w:t>
            </w:r>
          </w:p>
        </w:tc>
        <w:tc>
          <w:tcPr>
            <w:tcW w:w="2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2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9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711"/>
        </w:trPr>
        <w:tc>
          <w:tcPr>
            <w:tcW w:w="20" w:type="dxa"/>
            <w:vAlign w:val="bottom"/>
          </w:tcPr>
          <w:p>
            <w:pPr>
              <w:spacing w:after="0"/>
              <w:rPr>
                <w:sz w:val="24"/>
                <w:szCs w:val="24"/>
                <w:color w:val="auto"/>
              </w:rPr>
            </w:pPr>
          </w:p>
        </w:tc>
        <w:tc>
          <w:tcPr>
            <w:tcW w:w="5400" w:type="dxa"/>
            <w:vAlign w:val="bottom"/>
          </w:tcPr>
          <w:p>
            <w:pPr>
              <w:spacing w:after="0"/>
              <w:rPr>
                <w:sz w:val="24"/>
                <w:szCs w:val="24"/>
                <w:color w:val="auto"/>
              </w:rPr>
            </w:pPr>
          </w:p>
        </w:tc>
        <w:tc>
          <w:tcPr>
            <w:tcW w:w="1300" w:type="dxa"/>
            <w:vAlign w:val="bottom"/>
            <w:gridSpan w:val="2"/>
          </w:tcPr>
          <w:p>
            <w:pPr>
              <w:jc w:val="right"/>
              <w:ind w:right="830"/>
              <w:spacing w:after="0"/>
              <w:rPr>
                <w:sz w:val="20"/>
                <w:szCs w:val="20"/>
                <w:color w:val="auto"/>
              </w:rPr>
            </w:pPr>
            <w:r>
              <w:rPr>
                <w:rFonts w:ascii="Arial" w:cs="Arial" w:eastAsia="Arial" w:hAnsi="Arial"/>
                <w:sz w:val="18"/>
                <w:szCs w:val="18"/>
                <w:color w:val="auto"/>
              </w:rPr>
              <w:t>38</w:t>
            </w:r>
          </w:p>
        </w:tc>
        <w:tc>
          <w:tcPr>
            <w:tcW w:w="2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9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5400" w:type="dxa"/>
            <w:vAlign w:val="bottom"/>
            <w:tcBorders>
              <w:bottom w:val="single" w:sz="8" w:color="808080"/>
            </w:tcBorders>
          </w:tcPr>
          <w:p>
            <w:pPr>
              <w:spacing w:after="0"/>
              <w:rPr>
                <w:sz w:val="9"/>
                <w:szCs w:val="9"/>
                <w:color w:val="auto"/>
              </w:rPr>
            </w:pPr>
          </w:p>
        </w:tc>
        <w:tc>
          <w:tcPr>
            <w:tcW w:w="120" w:type="dxa"/>
            <w:vAlign w:val="bottom"/>
            <w:tcBorders>
              <w:bottom w:val="single" w:sz="8" w:color="808080"/>
            </w:tcBorders>
          </w:tcPr>
          <w:p>
            <w:pPr>
              <w:spacing w:after="0"/>
              <w:rPr>
                <w:sz w:val="9"/>
                <w:szCs w:val="9"/>
                <w:color w:val="auto"/>
              </w:rPr>
            </w:pPr>
          </w:p>
        </w:tc>
        <w:tc>
          <w:tcPr>
            <w:tcW w:w="1180" w:type="dxa"/>
            <w:vAlign w:val="bottom"/>
            <w:tcBorders>
              <w:bottom w:val="single" w:sz="8" w:color="808080"/>
            </w:tcBorders>
          </w:tcPr>
          <w:p>
            <w:pPr>
              <w:spacing w:after="0"/>
              <w:rPr>
                <w:sz w:val="9"/>
                <w:szCs w:val="9"/>
                <w:color w:val="auto"/>
              </w:rPr>
            </w:pPr>
          </w:p>
        </w:tc>
        <w:tc>
          <w:tcPr>
            <w:tcW w:w="220" w:type="dxa"/>
            <w:vAlign w:val="bottom"/>
            <w:tcBorders>
              <w:bottom w:val="single" w:sz="8" w:color="808080"/>
            </w:tcBorders>
          </w:tcPr>
          <w:p>
            <w:pPr>
              <w:spacing w:after="0"/>
              <w:rPr>
                <w:sz w:val="9"/>
                <w:szCs w:val="9"/>
                <w:color w:val="auto"/>
              </w:rPr>
            </w:pPr>
          </w:p>
        </w:tc>
        <w:tc>
          <w:tcPr>
            <w:tcW w:w="240" w:type="dxa"/>
            <w:vAlign w:val="bottom"/>
            <w:tcBorders>
              <w:bottom w:val="single" w:sz="8" w:color="808080"/>
            </w:tcBorders>
          </w:tcPr>
          <w:p>
            <w:pPr>
              <w:spacing w:after="0"/>
              <w:rPr>
                <w:sz w:val="9"/>
                <w:szCs w:val="9"/>
                <w:color w:val="auto"/>
              </w:rPr>
            </w:pPr>
          </w:p>
        </w:tc>
        <w:tc>
          <w:tcPr>
            <w:tcW w:w="1200" w:type="dxa"/>
            <w:vAlign w:val="bottom"/>
            <w:tcBorders>
              <w:bottom w:val="single" w:sz="8" w:color="808080"/>
            </w:tcBorders>
          </w:tcPr>
          <w:p>
            <w:pPr>
              <w:spacing w:after="0"/>
              <w:rPr>
                <w:sz w:val="9"/>
                <w:szCs w:val="9"/>
                <w:color w:val="auto"/>
              </w:rPr>
            </w:pPr>
          </w:p>
        </w:tc>
        <w:tc>
          <w:tcPr>
            <w:tcW w:w="100" w:type="dxa"/>
            <w:vAlign w:val="bottom"/>
            <w:tcBorders>
              <w:bottom w:val="single" w:sz="8" w:color="808080"/>
            </w:tcBorders>
          </w:tcPr>
          <w:p>
            <w:pPr>
              <w:spacing w:after="0"/>
              <w:rPr>
                <w:sz w:val="9"/>
                <w:szCs w:val="9"/>
                <w:color w:val="auto"/>
              </w:rPr>
            </w:pPr>
          </w:p>
        </w:tc>
        <w:tc>
          <w:tcPr>
            <w:tcW w:w="2940" w:type="dxa"/>
            <w:vAlign w:val="bottom"/>
            <w:tcBorders>
              <w:bottom w:val="single" w:sz="8" w:color="808080"/>
            </w:tcBorders>
          </w:tcPr>
          <w:p>
            <w:pPr>
              <w:spacing w:after="0"/>
              <w:rPr>
                <w:sz w:val="9"/>
                <w:szCs w:val="9"/>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634" w:right="239" w:bottom="1440" w:gutter="0" w:footer="0" w:header="0"/>
        </w:sectPr>
      </w:pPr>
    </w:p>
    <w:bookmarkStart w:id="38" w:name="page39"/>
    <w:bookmarkEnd w:id="38"/>
    <w:p>
      <w:pPr>
        <w:jc w:val="center"/>
        <w:spacing w:after="0"/>
        <w:rPr>
          <w:sz w:val="20"/>
          <w:szCs w:val="20"/>
          <w:color w:val="auto"/>
        </w:rPr>
      </w:pPr>
      <w:r>
        <w:rPr>
          <w:rFonts w:ascii="Arial" w:cs="Arial" w:eastAsia="Arial" w:hAnsi="Arial"/>
          <w:sz w:val="18"/>
          <w:szCs w:val="18"/>
          <w:b w:val="1"/>
          <w:bCs w:val="1"/>
          <w:color w:val="auto"/>
        </w:rPr>
        <w:t>MARKET FOR COMMON EQUITY AND RELATED STOCKHOLDER MATTERS</w:t>
      </w:r>
    </w:p>
    <w:p>
      <w:pPr>
        <w:spacing w:after="0" w:line="27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Market Information</w:t>
      </w:r>
    </w:p>
    <w:p>
      <w:pPr>
        <w:spacing w:after="0" w:line="283"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There is currently no trading market for our common stock. Upon completion of this offering we intend to take the steps necessary to have our common stock included for quotation on the Over the Counter Bulletin Board.</w:t>
      </w:r>
    </w:p>
    <w:p>
      <w:pPr>
        <w:spacing w:after="0" w:line="22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Holders</w:t>
      </w:r>
    </w:p>
    <w:p>
      <w:pPr>
        <w:spacing w:after="0" w:line="283" w:lineRule="exact"/>
        <w:rPr>
          <w:sz w:val="20"/>
          <w:szCs w:val="20"/>
          <w:color w:val="auto"/>
        </w:rPr>
      </w:pPr>
    </w:p>
    <w:p>
      <w:pPr>
        <w:spacing w:after="0"/>
        <w:rPr>
          <w:sz w:val="20"/>
          <w:szCs w:val="20"/>
          <w:color w:val="auto"/>
        </w:rPr>
      </w:pPr>
      <w:r>
        <w:rPr>
          <w:rFonts w:ascii="Arial" w:cs="Arial" w:eastAsia="Arial" w:hAnsi="Arial"/>
          <w:sz w:val="18"/>
          <w:szCs w:val="18"/>
          <w:color w:val="auto"/>
        </w:rPr>
        <w:t>As of January 30, 2009, there were 12,126,209 shares of common stock issued and outstanding.</w:t>
      </w:r>
    </w:p>
    <w:p>
      <w:pPr>
        <w:spacing w:after="0" w:line="279" w:lineRule="exact"/>
        <w:rPr>
          <w:sz w:val="20"/>
          <w:szCs w:val="20"/>
          <w:color w:val="auto"/>
        </w:rPr>
      </w:pPr>
    </w:p>
    <w:p>
      <w:pPr>
        <w:spacing w:after="0"/>
        <w:rPr>
          <w:sz w:val="20"/>
          <w:szCs w:val="20"/>
          <w:color w:val="auto"/>
        </w:rPr>
      </w:pPr>
      <w:r>
        <w:rPr>
          <w:rFonts w:ascii="Arial" w:cs="Arial" w:eastAsia="Arial" w:hAnsi="Arial"/>
          <w:sz w:val="18"/>
          <w:szCs w:val="18"/>
          <w:color w:val="auto"/>
        </w:rPr>
        <w:t>As of January 30, 2009, there were approximately 357 holders of record of our common stock.</w:t>
      </w:r>
    </w:p>
    <w:p>
      <w:pPr>
        <w:spacing w:after="0" w:line="279" w:lineRule="exact"/>
        <w:rPr>
          <w:sz w:val="20"/>
          <w:szCs w:val="20"/>
          <w:color w:val="auto"/>
        </w:rPr>
      </w:pPr>
    </w:p>
    <w:p>
      <w:pPr>
        <w:spacing w:after="0"/>
        <w:rPr>
          <w:sz w:val="20"/>
          <w:szCs w:val="20"/>
          <w:color w:val="auto"/>
        </w:rPr>
      </w:pPr>
      <w:r>
        <w:rPr>
          <w:rFonts w:ascii="Arial" w:cs="Arial" w:eastAsia="Arial" w:hAnsi="Arial"/>
          <w:sz w:val="18"/>
          <w:szCs w:val="18"/>
          <w:color w:val="auto"/>
        </w:rPr>
        <w:t>As of January 30, 2009, we had the following shares of common stock reserved for issuance:</w:t>
      </w:r>
    </w:p>
    <w:p>
      <w:pPr>
        <w:spacing w:after="0" w:line="279" w:lineRule="exact"/>
        <w:rPr>
          <w:sz w:val="20"/>
          <w:szCs w:val="20"/>
          <w:color w:val="auto"/>
        </w:rPr>
      </w:pPr>
    </w:p>
    <w:p>
      <w:pPr>
        <w:spacing w:after="0"/>
        <w:rPr>
          <w:sz w:val="20"/>
          <w:szCs w:val="20"/>
          <w:color w:val="auto"/>
        </w:rPr>
      </w:pPr>
      <w:r>
        <w:rPr>
          <w:rFonts w:ascii="Arial" w:cs="Arial" w:eastAsia="Arial" w:hAnsi="Arial"/>
          <w:sz w:val="18"/>
          <w:szCs w:val="18"/>
          <w:color w:val="auto"/>
        </w:rPr>
        <w:t>11,590,000 shares (options, warrants, plans, etc.)</w:t>
      </w:r>
    </w:p>
    <w:p>
      <w:pPr>
        <w:spacing w:after="0" w:line="27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Dividend Policy</w:t>
      </w:r>
    </w:p>
    <w:p>
      <w:pPr>
        <w:spacing w:after="0" w:line="283"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Historically, we have not paid any dividends to the holders of our common stock and we do not expect to pay any such dividends in the foreseeable future as we expect to retain our future earnings for use in the operation and expansion of our business.</w:t>
      </w:r>
    </w:p>
    <w:p>
      <w:pPr>
        <w:spacing w:after="0" w:line="220" w:lineRule="exact"/>
        <w:rPr>
          <w:sz w:val="20"/>
          <w:szCs w:val="20"/>
          <w:color w:val="auto"/>
        </w:rPr>
      </w:pPr>
    </w:p>
    <w:p>
      <w:pPr>
        <w:jc w:val="center"/>
        <w:ind w:right="80"/>
        <w:spacing w:after="0"/>
        <w:rPr>
          <w:sz w:val="20"/>
          <w:szCs w:val="20"/>
          <w:color w:val="auto"/>
        </w:rPr>
      </w:pPr>
      <w:r>
        <w:rPr>
          <w:rFonts w:ascii="Arial" w:cs="Arial" w:eastAsia="Arial" w:hAnsi="Arial"/>
          <w:sz w:val="18"/>
          <w:szCs w:val="18"/>
          <w:b w:val="1"/>
          <w:bCs w:val="1"/>
          <w:color w:val="auto"/>
        </w:rPr>
        <w:t>TRANSACTIONS WITH RELATED PERSONS, PROMOTERS AND CERTAIN CONTROL PERSONS</w:t>
      </w:r>
    </w:p>
    <w:p>
      <w:pPr>
        <w:spacing w:after="0" w:line="283"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The Company ha d personal loans from private investors to Richard Krankiak and Jillene Pinella, each consisting of $160,000, which represent the only debt of the Company. Both Mr. Krankiak and Ms. Pinella are shareholders of the Company, each holding in excess of 5% but less than 10% of the issued and outstanding common stock of the Company. No interest accrued on either loan. The Company paid each loan in full with proceeds from the September 8, 2008 private placement it conducted with Vicis Capital Master Fund, the selling stockholders, as described herein.</w:t>
      </w:r>
    </w:p>
    <w:p>
      <w:pPr>
        <w:spacing w:after="0" w:line="2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BOARD COMMITTEES; DIRECTOR INDEPENDENCE</w:t>
      </w:r>
    </w:p>
    <w:p>
      <w:pPr>
        <w:spacing w:after="0" w:line="283" w:lineRule="exact"/>
        <w:rPr>
          <w:sz w:val="20"/>
          <w:szCs w:val="20"/>
          <w:color w:val="auto"/>
        </w:rPr>
      </w:pPr>
    </w:p>
    <w:p>
      <w:pPr>
        <w:jc w:val="both"/>
        <w:ind w:firstLine="648"/>
        <w:spacing w:after="0" w:line="286" w:lineRule="auto"/>
        <w:rPr>
          <w:sz w:val="20"/>
          <w:szCs w:val="20"/>
          <w:color w:val="auto"/>
        </w:rPr>
      </w:pPr>
      <w:r>
        <w:rPr>
          <w:rFonts w:ascii="Arial" w:cs="Arial" w:eastAsia="Arial" w:hAnsi="Arial"/>
          <w:sz w:val="17"/>
          <w:szCs w:val="17"/>
          <w:color w:val="auto"/>
        </w:rPr>
        <w:t>Currently, all actions that would otherwise be performed by standing committees of the Board, are performed by the Board, including the administration of our 2008 Company Stock Option Plan, the recent hiring of an executive officer and his compensation, the hiring of our independent public accountants and the oversight of the independent auditor relationship, the review of our significant accounting policies and our internal controls.</w:t>
      </w:r>
    </w:p>
    <w:p>
      <w:pPr>
        <w:spacing w:after="0" w:line="220" w:lineRule="exact"/>
        <w:rPr>
          <w:sz w:val="20"/>
          <w:szCs w:val="20"/>
          <w:color w:val="auto"/>
        </w:rPr>
      </w:pPr>
    </w:p>
    <w:p>
      <w:pPr>
        <w:ind w:left="660"/>
        <w:spacing w:after="0"/>
        <w:rPr>
          <w:sz w:val="20"/>
          <w:szCs w:val="20"/>
          <w:color w:val="auto"/>
        </w:rPr>
      </w:pPr>
      <w:r>
        <w:rPr>
          <w:rFonts w:ascii="Arial" w:cs="Arial" w:eastAsia="Arial" w:hAnsi="Arial"/>
          <w:sz w:val="16"/>
          <w:szCs w:val="16"/>
          <w:color w:val="auto"/>
        </w:rPr>
        <w:t>The Board of Directors has analyzed the independence of each director and has determined that Thomas E. Majerowicz is independent under the</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NASDAQ Stock Market LLC rules and has no direct or indirect material relationships with us:</w:t>
      </w:r>
    </w:p>
    <w:p>
      <w:pPr>
        <w:spacing w:after="0" w:line="265" w:lineRule="exact"/>
        <w:rPr>
          <w:sz w:val="20"/>
          <w:szCs w:val="20"/>
          <w:color w:val="auto"/>
        </w:rPr>
      </w:pPr>
    </w:p>
    <w:p>
      <w:pPr>
        <w:jc w:val="both"/>
        <w:ind w:right="20" w:firstLine="648"/>
        <w:spacing w:after="0" w:line="277" w:lineRule="auto"/>
        <w:rPr>
          <w:sz w:val="20"/>
          <w:szCs w:val="20"/>
          <w:color w:val="auto"/>
        </w:rPr>
      </w:pPr>
      <w:r>
        <w:rPr>
          <w:rFonts w:ascii="Arial" w:cs="Arial" w:eastAsia="Arial" w:hAnsi="Arial"/>
          <w:sz w:val="18"/>
          <w:szCs w:val="18"/>
          <w:color w:val="auto"/>
        </w:rPr>
        <w:t>In particular, the Board of Directors has determined that the aforementioned director has no relationships that would cause him or her not to be independent under the specific criteria of Section 4200(a)(15) of the NASDAQ Manual.</w:t>
      </w:r>
    </w:p>
    <w:p>
      <w:pPr>
        <w:spacing w:after="0" w:line="200" w:lineRule="exact"/>
        <w:rPr>
          <w:sz w:val="20"/>
          <w:szCs w:val="20"/>
          <w:color w:val="auto"/>
        </w:rPr>
      </w:pPr>
    </w:p>
    <w:p>
      <w:pPr>
        <w:spacing w:after="0" w:line="26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246620" cy="8890"/>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634" w:right="239" w:bottom="1440" w:gutter="0" w:footer="0" w:header="0"/>
        </w:sectPr>
      </w:pPr>
    </w:p>
    <w:bookmarkStart w:id="39" w:name="page40"/>
    <w:bookmarkEnd w:id="39"/>
    <w:p>
      <w:pPr>
        <w:jc w:val="center"/>
        <w:spacing w:after="0"/>
        <w:rPr>
          <w:sz w:val="20"/>
          <w:szCs w:val="20"/>
          <w:color w:val="auto"/>
        </w:rPr>
      </w:pPr>
      <w:r>
        <w:rPr>
          <w:rFonts w:ascii="Arial" w:cs="Arial" w:eastAsia="Arial" w:hAnsi="Arial"/>
          <w:sz w:val="18"/>
          <w:szCs w:val="18"/>
          <w:b w:val="1"/>
          <w:bCs w:val="1"/>
          <w:color w:val="auto"/>
        </w:rPr>
        <w:t>LEGAL MATTERS</w:t>
      </w:r>
    </w:p>
    <w:p>
      <w:pPr>
        <w:spacing w:after="0" w:line="283"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Sichenzia Ross Friedman Ference LLP, New York, New York will issue an opinion with respect to the validity of the shares of common stock being offered hereby.</w:t>
      </w:r>
    </w:p>
    <w:p>
      <w:pPr>
        <w:spacing w:after="0" w:line="22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EXPERTS</w:t>
      </w:r>
    </w:p>
    <w:p>
      <w:pPr>
        <w:spacing w:after="0" w:line="283"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18"/>
          <w:szCs w:val="18"/>
          <w:color w:val="auto"/>
        </w:rPr>
        <w:t>Our financial statements as of December 31, 2007 and for the period January 31, 2006 (date of inception) through December 31, 2007, have been included herein in reliance upon the report of Maddox, Ungar, Silberstein PLLC, independent registered public accounting firm, appearing elsewhere herein, and upon authority of said firm as experts in accounting and auditing</w:t>
      </w:r>
    </w:p>
    <w:p>
      <w:pPr>
        <w:spacing w:after="0" w:line="23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WHERE YOU CAN FIND ADDITIONAL INFORMATION</w:t>
      </w:r>
    </w:p>
    <w:p>
      <w:pPr>
        <w:spacing w:after="0" w:line="283"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18"/>
          <w:szCs w:val="18"/>
          <w:color w:val="auto"/>
        </w:rPr>
        <w:t>We have filed with the Commission a registration statement on this Form S-1 under the Securities Act, with respect to the common stock offered by this prospectus. This prospectus, filed as part of the registration statement, does not contain all of the information set forth in the registration statement and its exhibits and schedules. For further information regarding us and the shares offered hereby, please refer to the registration statement. You may inspect a copy of the registration statement without charge at the Commission's principal offices, and you may obtain copies of all or any part of the registration statement from such office upon payment of the fees prescribed by the Commission.</w:t>
      </w:r>
    </w:p>
    <w:p>
      <w:pPr>
        <w:spacing w:after="0" w:line="242" w:lineRule="exact"/>
        <w:rPr>
          <w:sz w:val="20"/>
          <w:szCs w:val="20"/>
          <w:color w:val="auto"/>
        </w:rPr>
      </w:pPr>
    </w:p>
    <w:p>
      <w:pPr>
        <w:jc w:val="both"/>
        <w:ind w:firstLine="648"/>
        <w:spacing w:after="0" w:line="273" w:lineRule="auto"/>
        <w:rPr>
          <w:sz w:val="20"/>
          <w:szCs w:val="20"/>
          <w:color w:val="auto"/>
        </w:rPr>
      </w:pPr>
      <w:r>
        <w:rPr>
          <w:rFonts w:ascii="Arial" w:cs="Arial" w:eastAsia="Arial" w:hAnsi="Arial"/>
          <w:sz w:val="17"/>
          <w:szCs w:val="17"/>
          <w:color w:val="auto"/>
        </w:rPr>
        <w:t>We are also required to file periodic reports with the Securities and Exchange Commission, including quarterly reports, annual reports which include our audited financial statements. You may read and copy any reports, statements or other information we file at the Commission’s public reference facility maintained by the Commission at 100 F Street, N.E., Washington, D.C. 20549. You can request copies of these documents, upon payment of a duplicating fee, by writing to the Commission. Please call the Commission at 1-800-SEC-0330 for further information on the operation of the public reference room. Our SEC filings are also available to the public through the Commission Internet site at http\\www.sec.gov. These filings may be inspected and copied (at prescribed rates) at the Commission's Public Reference Room at 100 F Street, N.E., Washington, D.C. 20549.</w:t>
      </w:r>
    </w:p>
    <w:p>
      <w:pPr>
        <w:spacing w:after="0" w:line="22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DISCLOSURE OF COMMISSION POSITION ON INDEMNIFICATION FOR SECURITIES ACT LIABILITIES</w:t>
      </w:r>
    </w:p>
    <w:p>
      <w:pPr>
        <w:spacing w:after="0" w:line="283" w:lineRule="exact"/>
        <w:rPr>
          <w:sz w:val="20"/>
          <w:szCs w:val="20"/>
          <w:color w:val="auto"/>
        </w:rPr>
      </w:pPr>
    </w:p>
    <w:p>
      <w:pPr>
        <w:jc w:val="both"/>
        <w:ind w:firstLine="648"/>
        <w:spacing w:after="0" w:line="255" w:lineRule="auto"/>
        <w:rPr>
          <w:sz w:val="20"/>
          <w:szCs w:val="20"/>
          <w:color w:val="auto"/>
        </w:rPr>
      </w:pPr>
      <w:r>
        <w:rPr>
          <w:rFonts w:ascii="Arial" w:cs="Arial" w:eastAsia="Arial" w:hAnsi="Arial"/>
          <w:sz w:val="18"/>
          <w:szCs w:val="18"/>
          <w:color w:val="auto"/>
        </w:rPr>
        <w:t>We have a provision in our charter, by-laws, or other contracts providing for indemnification of our officers and directors. In the event that a claim for indemnification against such liabilities (other than the payment by us of expenses incurred or paid by a director, officer or controlling person of the registrant in the successful defense of any such action, suit or proceeding) is asserted by such director, officer or controlling person in connection with the securities being registered, we will, unless in the opinion of our counsel the matter has been settled by controlling precedent, submit to a court of appropriate jurisdiction the question whether such indemnification by it is against public policy as expressed in the Securities Act and will be governed by the final adjudication of such issue.</w:t>
      </w:r>
    </w:p>
    <w:p>
      <w:pPr>
        <w:spacing w:after="0" w:line="247"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18"/>
          <w:szCs w:val="18"/>
          <w:color w:val="auto"/>
        </w:rPr>
        <w:t>Insofar as indemnification for liabilities arising under the Securities Act may be permitted to directors, officers or persons controlling us pursuant to the foregoing provisions, or otherwise, we have been advised that in the opinion of the Commission, such indemnification is against public policy as expressed in the Securities Act and is, therefore, unenforceable.</w:t>
      </w:r>
    </w:p>
    <w:p>
      <w:pPr>
        <w:spacing w:after="0" w:line="200" w:lineRule="exact"/>
        <w:rPr>
          <w:sz w:val="20"/>
          <w:szCs w:val="20"/>
          <w:color w:val="auto"/>
        </w:rPr>
      </w:pPr>
    </w:p>
    <w:p>
      <w:pPr>
        <w:spacing w:after="0" w:line="27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246620" cy="8890"/>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634" w:right="239" w:bottom="1440" w:gutter="0" w:footer="0" w:header="0"/>
        </w:sectPr>
      </w:pPr>
    </w:p>
    <w:bookmarkStart w:id="40" w:name="page41"/>
    <w:bookmarkEnd w:id="40"/>
    <w:p>
      <w:pPr>
        <w:jc w:val="center"/>
        <w:spacing w:after="0"/>
        <w:rPr>
          <w:sz w:val="20"/>
          <w:szCs w:val="20"/>
          <w:color w:val="auto"/>
        </w:rPr>
      </w:pPr>
      <w:r>
        <w:rPr>
          <w:rFonts w:ascii="Arial" w:cs="Arial" w:eastAsia="Arial" w:hAnsi="Arial"/>
          <w:sz w:val="18"/>
          <w:szCs w:val="18"/>
          <w:b w:val="1"/>
          <w:bCs w:val="1"/>
          <w:color w:val="auto"/>
        </w:rPr>
        <w:t>OPTIMIZERx CORPORATION</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OPTIMIZER SYSTEMS, LLC</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(A DEVELOPMENT STAGE COMPANY)</w:t>
      </w:r>
    </w:p>
    <w:p>
      <w:pPr>
        <w:spacing w:after="0" w:line="272"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FINANCIAL STATEMENTS</w:t>
      </w:r>
    </w:p>
    <w:p>
      <w:pPr>
        <w:spacing w:after="0" w:line="27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December 31, 2007 and 2006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-756285</wp:posOffset>
            </wp:positionH>
            <wp:positionV relativeFrom="paragraph">
              <wp:posOffset>566420</wp:posOffset>
            </wp:positionV>
            <wp:extent cx="7246620" cy="8890"/>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9019"/>
          </w:cols>
          <w:pgMar w:left="1440" w:top="634" w:right="1440" w:bottom="1440" w:gutter="0" w:footer="0" w:header="0"/>
        </w:sectPr>
      </w:pPr>
    </w:p>
    <w:bookmarkStart w:id="41" w:name="page42"/>
    <w:bookmarkEnd w:id="41"/>
    <w:p>
      <w:pPr>
        <w:jc w:val="center"/>
        <w:ind w:left="1340"/>
        <w:spacing w:after="0"/>
        <w:rPr>
          <w:sz w:val="20"/>
          <w:szCs w:val="20"/>
          <w:color w:val="auto"/>
        </w:rPr>
      </w:pPr>
      <w:r>
        <w:rPr>
          <w:rFonts w:ascii="Arial" w:cs="Arial" w:eastAsia="Arial" w:hAnsi="Arial"/>
          <w:sz w:val="18"/>
          <w:szCs w:val="18"/>
          <w:b w:val="1"/>
          <w:bCs w:val="1"/>
          <w:color w:val="auto"/>
        </w:rPr>
        <w:t>OPTIMIZERx CORPORATION</w:t>
      </w:r>
    </w:p>
    <w:p>
      <w:pPr>
        <w:spacing w:after="0" w:line="27" w:lineRule="exact"/>
        <w:rPr>
          <w:sz w:val="20"/>
          <w:szCs w:val="20"/>
          <w:color w:val="auto"/>
        </w:rPr>
      </w:pPr>
    </w:p>
    <w:p>
      <w:pPr>
        <w:jc w:val="center"/>
        <w:ind w:left="1340"/>
        <w:spacing w:after="0"/>
        <w:rPr>
          <w:sz w:val="20"/>
          <w:szCs w:val="20"/>
          <w:color w:val="auto"/>
        </w:rPr>
      </w:pPr>
      <w:r>
        <w:rPr>
          <w:rFonts w:ascii="Arial" w:cs="Arial" w:eastAsia="Arial" w:hAnsi="Arial"/>
          <w:sz w:val="18"/>
          <w:szCs w:val="18"/>
          <w:b w:val="1"/>
          <w:bCs w:val="1"/>
          <w:color w:val="auto"/>
        </w:rPr>
        <w:t>OPTIMIZER SYSTEMS, LLC</w:t>
      </w:r>
    </w:p>
    <w:p>
      <w:pPr>
        <w:spacing w:after="0" w:line="9" w:lineRule="exact"/>
        <w:rPr>
          <w:sz w:val="20"/>
          <w:szCs w:val="20"/>
          <w:color w:val="auto"/>
        </w:rPr>
      </w:pPr>
    </w:p>
    <w:p>
      <w:pPr>
        <w:jc w:val="center"/>
        <w:ind w:left="1340"/>
        <w:spacing w:after="0"/>
        <w:rPr>
          <w:sz w:val="20"/>
          <w:szCs w:val="20"/>
          <w:color w:val="auto"/>
        </w:rPr>
      </w:pPr>
      <w:r>
        <w:rPr>
          <w:rFonts w:ascii="Arial" w:cs="Arial" w:eastAsia="Arial" w:hAnsi="Arial"/>
          <w:sz w:val="18"/>
          <w:szCs w:val="18"/>
          <w:b w:val="1"/>
          <w:bCs w:val="1"/>
          <w:color w:val="auto"/>
        </w:rPr>
        <w:t>(A DEVELOPMENT STAGE COMPANY)</w:t>
      </w:r>
    </w:p>
    <w:p>
      <w:pPr>
        <w:spacing w:after="0" w:line="261" w:lineRule="exact"/>
        <w:rPr>
          <w:sz w:val="20"/>
          <w:szCs w:val="20"/>
          <w:color w:val="auto"/>
        </w:rPr>
      </w:pPr>
    </w:p>
    <w:p>
      <w:pPr>
        <w:ind w:left="4760"/>
        <w:spacing w:after="0"/>
        <w:rPr>
          <w:sz w:val="20"/>
          <w:szCs w:val="20"/>
          <w:color w:val="auto"/>
        </w:rPr>
      </w:pPr>
      <w:r>
        <w:rPr>
          <w:rFonts w:ascii="Arial" w:cs="Arial" w:eastAsia="Arial" w:hAnsi="Arial"/>
          <w:sz w:val="18"/>
          <w:szCs w:val="18"/>
          <w:b w:val="1"/>
          <w:bCs w:val="1"/>
          <w:color w:val="auto"/>
        </w:rPr>
        <w:t>TABLE OF CONTENTS</w:t>
      </w:r>
    </w:p>
    <w:p>
      <w:pPr>
        <w:spacing w:after="0" w:line="279" w:lineRule="exact"/>
        <w:rPr>
          <w:sz w:val="20"/>
          <w:szCs w:val="20"/>
          <w:color w:val="auto"/>
        </w:rPr>
      </w:pPr>
    </w:p>
    <w:p>
      <w:pPr>
        <w:ind w:left="4480"/>
        <w:spacing w:after="0"/>
        <w:rPr>
          <w:sz w:val="20"/>
          <w:szCs w:val="20"/>
          <w:color w:val="auto"/>
        </w:rPr>
      </w:pPr>
      <w:r>
        <w:rPr>
          <w:rFonts w:ascii="Arial" w:cs="Arial" w:eastAsia="Arial" w:hAnsi="Arial"/>
          <w:sz w:val="18"/>
          <w:szCs w:val="18"/>
          <w:b w:val="1"/>
          <w:bCs w:val="1"/>
          <w:color w:val="auto"/>
        </w:rPr>
        <w:t>DECEMBER 31, 2007 and 2006</w:t>
      </w:r>
    </w:p>
    <w:p>
      <w:pPr>
        <w:spacing w:after="0" w:line="200" w:lineRule="exact"/>
        <w:rPr>
          <w:sz w:val="20"/>
          <w:szCs w:val="20"/>
          <w:color w:val="auto"/>
        </w:rPr>
      </w:pPr>
    </w:p>
    <w:p>
      <w:pPr>
        <w:spacing w:after="0" w:line="34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Report of Independent Registered Public Accounting Firm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-119380</wp:posOffset>
            </wp:positionV>
            <wp:extent cx="7246620" cy="137160"/>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246620" cy="137160"/>
                    </a:xfrm>
                    <a:prstGeom prst="rect">
                      <a:avLst/>
                    </a:prstGeom>
                    <a:noFill/>
                  </pic:spPr>
                </pic:pic>
              </a:graphicData>
            </a:graphic>
          </wp:anchor>
        </w:drawing>
      </w:r>
    </w:p>
    <w:p>
      <w:pPr>
        <w:spacing w:after="0" w:line="20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Balance Sheets as of December 31, 2007 and 2006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-119380</wp:posOffset>
            </wp:positionV>
            <wp:extent cx="7246620" cy="137160"/>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246620" cy="137160"/>
                    </a:xfrm>
                    <a:prstGeom prst="rect">
                      <a:avLst/>
                    </a:prstGeom>
                    <a:noFill/>
                  </pic:spPr>
                </pic:pic>
              </a:graphicData>
            </a:graphic>
          </wp:anchor>
        </w:drawing>
      </w:r>
    </w:p>
    <w:p>
      <w:pPr>
        <w:spacing w:after="0" w:line="205" w:lineRule="exact"/>
        <w:rPr>
          <w:sz w:val="20"/>
          <w:szCs w:val="20"/>
          <w:color w:val="auto"/>
        </w:rPr>
      </w:pPr>
    </w:p>
    <w:p>
      <w:pPr>
        <w:spacing w:after="0" w:line="282" w:lineRule="auto"/>
        <w:rPr>
          <w:sz w:val="20"/>
          <w:szCs w:val="20"/>
          <w:color w:val="auto"/>
        </w:rPr>
      </w:pPr>
      <w:r>
        <w:rPr>
          <w:rFonts w:ascii="Arial" w:cs="Arial" w:eastAsia="Arial" w:hAnsi="Arial"/>
          <w:sz w:val="18"/>
          <w:szCs w:val="18"/>
          <w:b w:val="1"/>
          <w:bCs w:val="1"/>
          <w:color w:val="auto"/>
        </w:rPr>
        <w:t>Statements of Operations for the Years Ended December 31, 2007 and 2006 and for the Period from January 31, 2006 (inception) to December 31, 2007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-296545</wp:posOffset>
            </wp:positionV>
            <wp:extent cx="7246620" cy="274320"/>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246620" cy="274320"/>
                    </a:xfrm>
                    <a:prstGeom prst="rect">
                      <a:avLst/>
                    </a:prstGeom>
                    <a:noFill/>
                  </pic:spPr>
                </pic:pic>
              </a:graphicData>
            </a:graphic>
          </wp:anchor>
        </w:drawing>
      </w:r>
    </w:p>
    <w:p>
      <w:pPr>
        <w:spacing w:after="0" w:line="14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Statement of Stockholders’ Equity (Deficit) as of December 31, 2007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-119380</wp:posOffset>
            </wp:positionV>
            <wp:extent cx="7246620" cy="137160"/>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246620" cy="137160"/>
                    </a:xfrm>
                    <a:prstGeom prst="rect">
                      <a:avLst/>
                    </a:prstGeom>
                    <a:noFill/>
                  </pic:spPr>
                </pic:pic>
              </a:graphicData>
            </a:graphic>
          </wp:anchor>
        </w:drawing>
      </w:r>
    </w:p>
    <w:p>
      <w:pPr>
        <w:spacing w:after="0" w:line="205" w:lineRule="exact"/>
        <w:rPr>
          <w:sz w:val="20"/>
          <w:szCs w:val="20"/>
          <w:color w:val="auto"/>
        </w:rPr>
      </w:pPr>
    </w:p>
    <w:p>
      <w:pPr>
        <w:ind w:right="280"/>
        <w:spacing w:after="0" w:line="282" w:lineRule="auto"/>
        <w:rPr>
          <w:sz w:val="20"/>
          <w:szCs w:val="20"/>
          <w:color w:val="auto"/>
        </w:rPr>
      </w:pPr>
      <w:r>
        <w:rPr>
          <w:rFonts w:ascii="Arial" w:cs="Arial" w:eastAsia="Arial" w:hAnsi="Arial"/>
          <w:sz w:val="18"/>
          <w:szCs w:val="18"/>
          <w:b w:val="1"/>
          <w:bCs w:val="1"/>
          <w:color w:val="auto"/>
        </w:rPr>
        <w:t>Statements of Cash Flows for the Years Ended December 31, 2007 and 2006 and for the Period from Inception January 31, 2006 (inception) to December 31, 2007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-296545</wp:posOffset>
            </wp:positionV>
            <wp:extent cx="7246620" cy="274320"/>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246620" cy="274320"/>
                    </a:xfrm>
                    <a:prstGeom prst="rect">
                      <a:avLst/>
                    </a:prstGeom>
                    <a:noFill/>
                  </pic:spPr>
                </pic:pic>
              </a:graphicData>
            </a:graphic>
          </wp:anchor>
        </w:drawing>
      </w:r>
    </w:p>
    <w:p>
      <w:pPr>
        <w:spacing w:after="0" w:line="14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Notes to Financial Statements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-119380</wp:posOffset>
            </wp:positionV>
            <wp:extent cx="7246620" cy="137160"/>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246620" cy="13716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566420</wp:posOffset>
            </wp:positionV>
            <wp:extent cx="7246620" cy="8890"/>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1" w:lineRule="exact"/>
        <w:rPr>
          <w:sz w:val="20"/>
          <w:szCs w:val="20"/>
          <w:color w:val="auto"/>
        </w:rPr>
      </w:pPr>
    </w:p>
    <w:p>
      <w:pPr>
        <w:ind w:left="240"/>
        <w:spacing w:after="0"/>
        <w:rPr>
          <w:sz w:val="20"/>
          <w:szCs w:val="20"/>
          <w:color w:val="auto"/>
        </w:rPr>
      </w:pPr>
      <w:r>
        <w:rPr>
          <w:rFonts w:ascii="Arial" w:cs="Arial" w:eastAsia="Arial" w:hAnsi="Arial"/>
          <w:sz w:val="18"/>
          <w:szCs w:val="18"/>
          <w:b w:val="1"/>
          <w:bCs w:val="1"/>
          <w:color w:val="auto"/>
        </w:rPr>
        <w:t>F-1</w:t>
      </w:r>
    </w:p>
    <w:p>
      <w:pPr>
        <w:spacing w:after="0" w:line="225" w:lineRule="exact"/>
        <w:rPr>
          <w:sz w:val="20"/>
          <w:szCs w:val="20"/>
          <w:color w:val="auto"/>
        </w:rPr>
      </w:pPr>
    </w:p>
    <w:p>
      <w:pPr>
        <w:ind w:left="240"/>
        <w:spacing w:after="0"/>
        <w:rPr>
          <w:sz w:val="20"/>
          <w:szCs w:val="20"/>
          <w:color w:val="auto"/>
        </w:rPr>
      </w:pPr>
      <w:r>
        <w:rPr>
          <w:rFonts w:ascii="Arial" w:cs="Arial" w:eastAsia="Arial" w:hAnsi="Arial"/>
          <w:sz w:val="18"/>
          <w:szCs w:val="18"/>
          <w:b w:val="1"/>
          <w:bCs w:val="1"/>
          <w:color w:val="auto"/>
        </w:rPr>
        <w:t>F-2</w:t>
      </w:r>
    </w:p>
    <w:p>
      <w:pPr>
        <w:spacing w:after="0" w:line="333" w:lineRule="exact"/>
        <w:rPr>
          <w:sz w:val="20"/>
          <w:szCs w:val="20"/>
          <w:color w:val="auto"/>
        </w:rPr>
      </w:pPr>
    </w:p>
    <w:p>
      <w:pPr>
        <w:ind w:left="240"/>
        <w:spacing w:after="0"/>
        <w:rPr>
          <w:sz w:val="20"/>
          <w:szCs w:val="20"/>
          <w:color w:val="auto"/>
        </w:rPr>
      </w:pPr>
      <w:r>
        <w:rPr>
          <w:rFonts w:ascii="Arial" w:cs="Arial" w:eastAsia="Arial" w:hAnsi="Arial"/>
          <w:sz w:val="18"/>
          <w:szCs w:val="18"/>
          <w:b w:val="1"/>
          <w:bCs w:val="1"/>
          <w:color w:val="auto"/>
        </w:rPr>
        <w:t>F-3</w:t>
      </w:r>
    </w:p>
    <w:p>
      <w:pPr>
        <w:spacing w:after="0" w:line="333" w:lineRule="exact"/>
        <w:rPr>
          <w:sz w:val="20"/>
          <w:szCs w:val="20"/>
          <w:color w:val="auto"/>
        </w:rPr>
      </w:pPr>
    </w:p>
    <w:p>
      <w:pPr>
        <w:ind w:left="240"/>
        <w:spacing w:after="0"/>
        <w:rPr>
          <w:sz w:val="20"/>
          <w:szCs w:val="20"/>
          <w:color w:val="auto"/>
        </w:rPr>
      </w:pPr>
      <w:r>
        <w:rPr>
          <w:rFonts w:ascii="Arial" w:cs="Arial" w:eastAsia="Arial" w:hAnsi="Arial"/>
          <w:sz w:val="18"/>
          <w:szCs w:val="18"/>
          <w:b w:val="1"/>
          <w:bCs w:val="1"/>
          <w:color w:val="auto"/>
        </w:rPr>
        <w:t>F-4</w:t>
      </w:r>
    </w:p>
    <w:p>
      <w:pPr>
        <w:spacing w:after="0" w:line="333" w:lineRule="exact"/>
        <w:rPr>
          <w:sz w:val="20"/>
          <w:szCs w:val="20"/>
          <w:color w:val="auto"/>
        </w:rPr>
      </w:pPr>
    </w:p>
    <w:p>
      <w:pPr>
        <w:ind w:left="240"/>
        <w:spacing w:after="0"/>
        <w:rPr>
          <w:sz w:val="20"/>
          <w:szCs w:val="20"/>
          <w:color w:val="auto"/>
        </w:rPr>
      </w:pPr>
      <w:r>
        <w:rPr>
          <w:rFonts w:ascii="Arial" w:cs="Arial" w:eastAsia="Arial" w:hAnsi="Arial"/>
          <w:sz w:val="18"/>
          <w:szCs w:val="18"/>
          <w:b w:val="1"/>
          <w:bCs w:val="1"/>
          <w:color w:val="auto"/>
        </w:rPr>
        <w:t>F-5</w:t>
      </w:r>
    </w:p>
    <w:p>
      <w:pPr>
        <w:spacing w:after="0" w:line="333"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F-6 - F-11</w:t>
      </w:r>
    </w:p>
    <w:p>
      <w:pPr>
        <w:sectPr>
          <w:pgSz w:w="11900" w:h="16838" w:orient="portrait"/>
          <w:cols w:equalWidth="0" w:num="2">
            <w:col w:w="10080" w:space="480"/>
            <w:col w:w="740"/>
          </w:cols>
          <w:pgMar w:left="240" w:top="607" w:right="359" w:bottom="1440" w:gutter="0" w:footer="0" w:header="0"/>
        </w:sectPr>
      </w:pPr>
    </w:p>
    <w:bookmarkStart w:id="42" w:name="page43"/>
    <w:bookmarkEnd w:id="42"/>
    <w:p>
      <w:pPr>
        <w:spacing w:after="0"/>
        <w:rPr>
          <w:sz w:val="20"/>
          <w:szCs w:val="20"/>
          <w:color w:val="auto"/>
        </w:rPr>
      </w:pPr>
      <w:r>
        <w:rPr>
          <w:rFonts w:ascii="Arial" w:cs="Arial" w:eastAsia="Arial" w:hAnsi="Arial"/>
          <w:sz w:val="18"/>
          <w:szCs w:val="18"/>
          <w:color w:val="FF0000"/>
        </w:rPr>
        <w:t>Maddox Ungar Silberstein, PLLC</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FF0000"/>
        </w:rPr>
        <w:t>CPAs and Business Advisors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74295</wp:posOffset>
            </wp:positionV>
            <wp:extent cx="7263765" cy="8890"/>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263765" cy="8890"/>
                    </a:xfrm>
                    <a:prstGeom prst="rect">
                      <a:avLst/>
                    </a:prstGeom>
                    <a:noFill/>
                  </pic:spPr>
                </pic:pic>
              </a:graphicData>
            </a:graphic>
          </wp:anchor>
        </w:drawing>
      </w:r>
    </w:p>
    <w:p>
      <w:pPr>
        <w:spacing w:after="0" w:line="204" w:lineRule="exact"/>
        <w:rPr>
          <w:sz w:val="20"/>
          <w:szCs w:val="20"/>
          <w:color w:val="auto"/>
        </w:rPr>
      </w:pPr>
    </w:p>
    <w:p>
      <w:pPr>
        <w:jc w:val="right"/>
        <w:spacing w:after="0"/>
        <w:rPr>
          <w:sz w:val="20"/>
          <w:szCs w:val="20"/>
          <w:color w:val="auto"/>
        </w:rPr>
      </w:pPr>
      <w:r>
        <w:rPr>
          <w:rFonts w:ascii="Arial" w:cs="Arial" w:eastAsia="Arial" w:hAnsi="Arial"/>
          <w:sz w:val="18"/>
          <w:szCs w:val="18"/>
          <w:color w:val="FF0000"/>
        </w:rPr>
        <w:t>Phone (248) 203-0080</w:t>
      </w:r>
    </w:p>
    <w:p>
      <w:pPr>
        <w:spacing w:after="0" w:line="23" w:lineRule="exact"/>
        <w:rPr>
          <w:sz w:val="20"/>
          <w:szCs w:val="20"/>
          <w:color w:val="auto"/>
        </w:rPr>
      </w:pPr>
    </w:p>
    <w:p>
      <w:pPr>
        <w:jc w:val="right"/>
        <w:spacing w:after="0"/>
        <w:rPr>
          <w:sz w:val="20"/>
          <w:szCs w:val="20"/>
          <w:color w:val="auto"/>
        </w:rPr>
      </w:pPr>
      <w:r>
        <w:rPr>
          <w:rFonts w:ascii="Arial" w:cs="Arial" w:eastAsia="Arial" w:hAnsi="Arial"/>
          <w:sz w:val="18"/>
          <w:szCs w:val="18"/>
          <w:color w:val="auto"/>
        </w:rPr>
        <w:t>Fax (248) 281-0940</w:t>
      </w:r>
    </w:p>
    <w:p>
      <w:pPr>
        <w:spacing w:after="0" w:line="9" w:lineRule="exact"/>
        <w:rPr>
          <w:sz w:val="20"/>
          <w:szCs w:val="20"/>
          <w:color w:val="auto"/>
        </w:rPr>
      </w:pPr>
    </w:p>
    <w:p>
      <w:pPr>
        <w:jc w:val="right"/>
        <w:spacing w:after="0"/>
        <w:rPr>
          <w:sz w:val="20"/>
          <w:szCs w:val="20"/>
          <w:color w:val="auto"/>
        </w:rPr>
      </w:pPr>
      <w:r>
        <w:rPr>
          <w:rFonts w:ascii="Arial" w:cs="Arial" w:eastAsia="Arial" w:hAnsi="Arial"/>
          <w:sz w:val="18"/>
          <w:szCs w:val="18"/>
          <w:color w:val="auto"/>
        </w:rPr>
        <w:t>30600 Telegraph Road, Suite 2175</w:t>
      </w:r>
    </w:p>
    <w:p>
      <w:pPr>
        <w:spacing w:after="0" w:line="9" w:lineRule="exact"/>
        <w:rPr>
          <w:sz w:val="20"/>
          <w:szCs w:val="20"/>
          <w:color w:val="auto"/>
        </w:rPr>
      </w:pPr>
    </w:p>
    <w:p>
      <w:pPr>
        <w:jc w:val="right"/>
        <w:spacing w:after="0"/>
        <w:rPr>
          <w:sz w:val="20"/>
          <w:szCs w:val="20"/>
          <w:color w:val="auto"/>
        </w:rPr>
      </w:pPr>
      <w:r>
        <w:rPr>
          <w:rFonts w:ascii="Arial" w:cs="Arial" w:eastAsia="Arial" w:hAnsi="Arial"/>
          <w:sz w:val="18"/>
          <w:szCs w:val="18"/>
          <w:color w:val="auto"/>
        </w:rPr>
        <w:t>Bingham Farms, MI 48025-4586</w:t>
      </w:r>
    </w:p>
    <w:p>
      <w:pPr>
        <w:spacing w:after="0" w:line="9" w:lineRule="exact"/>
        <w:rPr>
          <w:sz w:val="20"/>
          <w:szCs w:val="20"/>
          <w:color w:val="auto"/>
        </w:rPr>
      </w:pPr>
    </w:p>
    <w:p>
      <w:pPr>
        <w:jc w:val="right"/>
        <w:spacing w:after="0"/>
        <w:rPr>
          <w:sz w:val="20"/>
          <w:szCs w:val="20"/>
          <w:color w:val="auto"/>
        </w:rPr>
      </w:pPr>
      <w:r>
        <w:rPr>
          <w:rFonts w:ascii="Arial" w:cs="Arial" w:eastAsia="Arial" w:hAnsi="Arial"/>
          <w:sz w:val="18"/>
          <w:szCs w:val="18"/>
          <w:color w:val="FF0000"/>
        </w:rPr>
        <w:t>www.maddoxungar.com</w:t>
      </w:r>
    </w:p>
    <w:p>
      <w:pPr>
        <w:spacing w:after="0" w:line="26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REPORT OF INDEPENDENT REGISTERED PUBLIC ACCOUNTING FIRM</w:t>
      </w:r>
    </w:p>
    <w:p>
      <w:pPr>
        <w:spacing w:after="0" w:line="283" w:lineRule="exact"/>
        <w:rPr>
          <w:sz w:val="20"/>
          <w:szCs w:val="20"/>
          <w:color w:val="auto"/>
        </w:rPr>
      </w:pPr>
    </w:p>
    <w:p>
      <w:pPr>
        <w:spacing w:after="0"/>
        <w:rPr>
          <w:sz w:val="20"/>
          <w:szCs w:val="20"/>
          <w:color w:val="auto"/>
        </w:rPr>
      </w:pPr>
      <w:r>
        <w:rPr>
          <w:rFonts w:ascii="Arial" w:cs="Arial" w:eastAsia="Arial" w:hAnsi="Arial"/>
          <w:sz w:val="18"/>
          <w:szCs w:val="18"/>
          <w:color w:val="auto"/>
        </w:rPr>
        <w:t>To the Boards of Directors</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OptimizeRx Corporation</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Rochester, Michigan</w:t>
      </w:r>
    </w:p>
    <w:p>
      <w:pPr>
        <w:spacing w:after="0" w:line="265"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We have audited the accompanying balance sheets of OptimizeRx Corporation and Optimizer Systems, LLC, as of December 31, 2007 and Optimizer Systems, LLC as of December 31, 2006, and the related statements of operations, stockholders’ equity (deficit), and cash flows for the years then ended and for the period from January 31, 2006 (inception) to December 31, 2007. These financial statements are the responsibility of the Companies management. Our responsibility is to express an opinion on these financial statements based on our audits.</w:t>
      </w:r>
    </w:p>
    <w:p>
      <w:pPr>
        <w:spacing w:after="0" w:line="241" w:lineRule="exact"/>
        <w:rPr>
          <w:sz w:val="20"/>
          <w:szCs w:val="20"/>
          <w:color w:val="auto"/>
        </w:rPr>
      </w:pPr>
    </w:p>
    <w:p>
      <w:pPr>
        <w:jc w:val="both"/>
        <w:spacing w:after="0" w:line="271" w:lineRule="auto"/>
        <w:rPr>
          <w:sz w:val="20"/>
          <w:szCs w:val="20"/>
          <w:color w:val="auto"/>
        </w:rPr>
      </w:pPr>
      <w:r>
        <w:rPr>
          <w:rFonts w:ascii="Arial" w:cs="Arial" w:eastAsia="Arial" w:hAnsi="Arial"/>
          <w:sz w:val="17"/>
          <w:szCs w:val="17"/>
          <w:color w:val="auto"/>
        </w:rPr>
        <w:t>We conducted our audits in accordance with the standards of the Public Company Accounting Oversight Board (United States). Those standards require that we plan and perform the audits to obtain reasonable assurance about whether the financial statements are free of material misstatement. The Company has determined that it is not required to have, nor were we engaged to perform, an audit of its internal control over financial reporting. Our audits included consideration of internal control over financial reporting as a basis for designing audit procedures that are appropriate in the circumstances, but not for the purpose of expressing an opinion on the effectiveness of the Company’s internal control over financial reporting. Accordingly, we express no such opinion. An audit includes examining on a test basis, evidence supporting the amounts and disclosures in the financial statements. An audit also includes assessing the accounting principles used and significant estimates made by management, as well as evaluating the overall financial statement presentation. We believe that our audits provide a reasonable basis for our opinion.</w:t>
      </w:r>
    </w:p>
    <w:p>
      <w:pPr>
        <w:spacing w:after="0" w:line="233"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In our opinion, the financial statements referred to above present fairly, in all material respects, the financial position of OptimizeRx Corporation and Optimizer Systems, LLC, as of December 31, 2007 and Optimizer Systems, LLC as of December 31, 2006 and the results of their operations and cash flows for the years then ended and for the period from January 31, 2006 (inception) to December 31, 2007, in conformity with accounting principles generally accepted in the United States.</w:t>
      </w:r>
    </w:p>
    <w:p>
      <w:pPr>
        <w:spacing w:after="0" w:line="200" w:lineRule="exact"/>
        <w:rPr>
          <w:sz w:val="20"/>
          <w:szCs w:val="20"/>
          <w:color w:val="auto"/>
        </w:rPr>
      </w:pPr>
    </w:p>
    <w:p>
      <w:pPr>
        <w:spacing w:after="0" w:line="200" w:lineRule="exact"/>
        <w:rPr>
          <w:sz w:val="20"/>
          <w:szCs w:val="20"/>
          <w:color w:val="auto"/>
        </w:rPr>
      </w:pPr>
    </w:p>
    <w:p>
      <w:pPr>
        <w:spacing w:after="0" w:line="381"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/s/ Maddox Ungar Silberstein, PLLC</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Maddox Ungar Silberstein, PLLC</w:t>
      </w:r>
    </w:p>
    <w:p>
      <w:pPr>
        <w:spacing w:after="0" w:line="265" w:lineRule="exact"/>
        <w:rPr>
          <w:sz w:val="20"/>
          <w:szCs w:val="20"/>
          <w:color w:val="auto"/>
        </w:rPr>
      </w:pPr>
    </w:p>
    <w:p>
      <w:pPr>
        <w:spacing w:after="0"/>
        <w:rPr>
          <w:sz w:val="20"/>
          <w:szCs w:val="20"/>
          <w:color w:val="auto"/>
        </w:rPr>
      </w:pPr>
      <w:r>
        <w:rPr>
          <w:rFonts w:ascii="Arial" w:cs="Arial" w:eastAsia="Arial" w:hAnsi="Arial"/>
          <w:sz w:val="18"/>
          <w:szCs w:val="18"/>
          <w:color w:val="auto"/>
        </w:rPr>
        <w:t>Bingham Farms, Michigan</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January 30, 2009</w:t>
      </w:r>
    </w:p>
    <w:p>
      <w:pPr>
        <w:spacing w:after="0" w:line="200" w:lineRule="exact"/>
        <w:rPr>
          <w:sz w:val="20"/>
          <w:szCs w:val="20"/>
          <w:color w:val="auto"/>
        </w:rPr>
      </w:pPr>
    </w:p>
    <w:p>
      <w:pPr>
        <w:spacing w:after="0" w:line="30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246620" cy="8890"/>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611" w:right="239" w:bottom="1440" w:gutter="0" w:footer="0" w:header="0"/>
        </w:sectPr>
      </w:pPr>
    </w:p>
    <w:bookmarkStart w:id="43" w:name="page44"/>
    <w:bookmarkEnd w:id="43"/>
    <w:p>
      <w:pPr>
        <w:jc w:val="center"/>
        <w:spacing w:after="0"/>
        <w:rPr>
          <w:sz w:val="20"/>
          <w:szCs w:val="20"/>
          <w:color w:val="auto"/>
        </w:rPr>
      </w:pPr>
      <w:r>
        <w:rPr>
          <w:rFonts w:ascii="Arial" w:cs="Arial" w:eastAsia="Arial" w:hAnsi="Arial"/>
          <w:sz w:val="18"/>
          <w:szCs w:val="18"/>
          <w:b w:val="1"/>
          <w:bCs w:val="1"/>
          <w:color w:val="auto"/>
        </w:rPr>
        <w:t>OPTIMIZERx CORPORATION</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OPTIMIZER SYSTEMS, LLC</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 DEVELOPMENT STAGE COMPANY)</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BALANCE SHEETS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AS OF DECEMBER 31, 2007 AND 2006</w:t>
      </w:r>
    </w:p>
    <w:p>
      <w:pPr>
        <w:spacing w:after="0" w:line="200" w:lineRule="exact"/>
        <w:rPr>
          <w:sz w:val="20"/>
          <w:szCs w:val="20"/>
          <w:color w:val="auto"/>
        </w:rPr>
      </w:pPr>
    </w:p>
    <w:p>
      <w:pPr>
        <w:spacing w:after="0" w:line="331" w:lineRule="exact"/>
        <w:rPr>
          <w:sz w:val="20"/>
          <w:szCs w:val="20"/>
          <w:color w:val="auto"/>
        </w:rPr>
      </w:pPr>
    </w:p>
    <w:tbl>
      <w:tblPr>
        <w:tblLayout w:type="fixed"/>
        <w:tblInd w:w="0" w:type="dxa"/>
        <w:tblCellMar>
          <w:top w:w="0" w:type="dxa"/>
          <w:left w:w="0" w:type="dxa"/>
          <w:bottom w:w="0" w:type="dxa"/>
          <w:right w:w="0" w:type="dxa"/>
        </w:tblCellMar>
      </w:tblPr>
      <w:tr>
        <w:trPr>
          <w:trHeight w:val="241"/>
        </w:trPr>
        <w:tc>
          <w:tcPr>
            <w:tcW w:w="20" w:type="dxa"/>
            <w:vAlign w:val="bottom"/>
          </w:tcPr>
          <w:p>
            <w:pPr>
              <w:spacing w:after="0"/>
              <w:rPr>
                <w:sz w:val="20"/>
                <w:szCs w:val="20"/>
                <w:color w:val="auto"/>
              </w:rPr>
            </w:pPr>
          </w:p>
        </w:tc>
        <w:tc>
          <w:tcPr>
            <w:tcW w:w="776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300" w:type="dxa"/>
            <w:vAlign w:val="bottom"/>
            <w:tcBorders>
              <w:bottom w:val="single" w:sz="8" w:color="auto"/>
            </w:tcBorders>
          </w:tcPr>
          <w:p>
            <w:pPr>
              <w:spacing w:after="0"/>
              <w:rPr>
                <w:sz w:val="20"/>
                <w:szCs w:val="20"/>
                <w:color w:val="auto"/>
              </w:rPr>
            </w:pPr>
          </w:p>
        </w:tc>
        <w:tc>
          <w:tcPr>
            <w:tcW w:w="1200" w:type="dxa"/>
            <w:vAlign w:val="bottom"/>
            <w:tcBorders>
              <w:bottom w:val="single" w:sz="8" w:color="auto"/>
            </w:tcBorders>
          </w:tcPr>
          <w:p>
            <w:pPr>
              <w:jc w:val="right"/>
              <w:ind w:right="530"/>
              <w:spacing w:after="0"/>
              <w:rPr>
                <w:sz w:val="20"/>
                <w:szCs w:val="20"/>
                <w:color w:val="auto"/>
              </w:rPr>
            </w:pPr>
            <w:r>
              <w:rPr>
                <w:rFonts w:ascii="Arial" w:cs="Arial" w:eastAsia="Arial" w:hAnsi="Arial"/>
                <w:sz w:val="18"/>
                <w:szCs w:val="18"/>
                <w:b w:val="1"/>
                <w:bCs w:val="1"/>
                <w:color w:val="auto"/>
              </w:rPr>
              <w:t>2007</w:t>
            </w:r>
          </w:p>
        </w:tc>
        <w:tc>
          <w:tcPr>
            <w:tcW w:w="1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80" w:type="dxa"/>
            <w:vAlign w:val="bottom"/>
            <w:tcBorders>
              <w:bottom w:val="single" w:sz="8" w:color="auto"/>
            </w:tcBorders>
          </w:tcPr>
          <w:p>
            <w:pPr>
              <w:spacing w:after="0"/>
              <w:rPr>
                <w:sz w:val="20"/>
                <w:szCs w:val="20"/>
                <w:color w:val="auto"/>
              </w:rPr>
            </w:pPr>
          </w:p>
        </w:tc>
        <w:tc>
          <w:tcPr>
            <w:tcW w:w="1220" w:type="dxa"/>
            <w:vAlign w:val="bottom"/>
            <w:tcBorders>
              <w:bottom w:val="single" w:sz="8" w:color="auto"/>
            </w:tcBorders>
          </w:tcPr>
          <w:p>
            <w:pPr>
              <w:jc w:val="right"/>
              <w:ind w:right="570"/>
              <w:spacing w:after="0"/>
              <w:rPr>
                <w:sz w:val="20"/>
                <w:szCs w:val="20"/>
                <w:color w:val="auto"/>
              </w:rPr>
            </w:pPr>
            <w:r>
              <w:rPr>
                <w:rFonts w:ascii="Arial" w:cs="Arial" w:eastAsia="Arial" w:hAnsi="Arial"/>
                <w:sz w:val="18"/>
                <w:szCs w:val="18"/>
                <w:b w:val="1"/>
                <w:bCs w:val="1"/>
                <w:color w:val="auto"/>
              </w:rPr>
              <w:t>2006</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760" w:type="dxa"/>
            <w:vAlign w:val="bottom"/>
            <w:shd w:val="clear" w:color="auto" w:fill="EEEEEE"/>
          </w:tcPr>
          <w:p>
            <w:pPr>
              <w:spacing w:after="0"/>
              <w:rPr>
                <w:sz w:val="20"/>
                <w:szCs w:val="20"/>
                <w:color w:val="auto"/>
              </w:rPr>
            </w:pPr>
            <w:r>
              <w:rPr>
                <w:rFonts w:ascii="Arial" w:cs="Arial" w:eastAsia="Arial" w:hAnsi="Arial"/>
                <w:sz w:val="18"/>
                <w:szCs w:val="18"/>
                <w:b w:val="1"/>
                <w:bCs w:val="1"/>
                <w:color w:val="auto"/>
              </w:rPr>
              <w:t>ASSETS</w:t>
            </w:r>
          </w:p>
        </w:tc>
        <w:tc>
          <w:tcPr>
            <w:tcW w:w="320" w:type="dxa"/>
            <w:vAlign w:val="bottom"/>
            <w:shd w:val="clear" w:color="auto" w:fill="EEEEEE"/>
          </w:tcPr>
          <w:p>
            <w:pPr>
              <w:spacing w:after="0"/>
              <w:rPr>
                <w:sz w:val="18"/>
                <w:szCs w:val="18"/>
                <w:color w:val="auto"/>
              </w:rPr>
            </w:pPr>
          </w:p>
        </w:tc>
        <w:tc>
          <w:tcPr>
            <w:tcW w:w="300" w:type="dxa"/>
            <w:vAlign w:val="bottom"/>
            <w:shd w:val="clear" w:color="auto" w:fill="EEEEEE"/>
          </w:tcPr>
          <w:p>
            <w:pPr>
              <w:spacing w:after="0"/>
              <w:rPr>
                <w:sz w:val="18"/>
                <w:szCs w:val="18"/>
                <w:color w:val="auto"/>
              </w:rPr>
            </w:pPr>
          </w:p>
        </w:tc>
        <w:tc>
          <w:tcPr>
            <w:tcW w:w="1200" w:type="dxa"/>
            <w:vAlign w:val="bottom"/>
            <w:shd w:val="clear" w:color="auto" w:fill="EEEEEE"/>
          </w:tcPr>
          <w:p>
            <w:pPr>
              <w:spacing w:after="0"/>
              <w:rPr>
                <w:sz w:val="18"/>
                <w:szCs w:val="18"/>
                <w:color w:val="auto"/>
              </w:rPr>
            </w:pPr>
          </w:p>
        </w:tc>
        <w:tc>
          <w:tcPr>
            <w:tcW w:w="140" w:type="dxa"/>
            <w:vAlign w:val="bottom"/>
            <w:shd w:val="clear" w:color="auto" w:fill="EEEEEE"/>
          </w:tcPr>
          <w:p>
            <w:pPr>
              <w:spacing w:after="0"/>
              <w:rPr>
                <w:sz w:val="18"/>
                <w:szCs w:val="18"/>
                <w:color w:val="auto"/>
              </w:rPr>
            </w:pPr>
          </w:p>
        </w:tc>
        <w:tc>
          <w:tcPr>
            <w:tcW w:w="80" w:type="dxa"/>
            <w:vAlign w:val="bottom"/>
            <w:shd w:val="clear" w:color="auto" w:fill="EEEEEE"/>
          </w:tcPr>
          <w:p>
            <w:pPr>
              <w:spacing w:after="0"/>
              <w:rPr>
                <w:sz w:val="18"/>
                <w:szCs w:val="18"/>
                <w:color w:val="auto"/>
              </w:rPr>
            </w:pPr>
          </w:p>
        </w:tc>
        <w:tc>
          <w:tcPr>
            <w:tcW w:w="280" w:type="dxa"/>
            <w:vAlign w:val="bottom"/>
            <w:shd w:val="clear" w:color="auto" w:fill="EEEEEE"/>
          </w:tcPr>
          <w:p>
            <w:pPr>
              <w:spacing w:after="0"/>
              <w:rPr>
                <w:sz w:val="18"/>
                <w:szCs w:val="18"/>
                <w:color w:val="auto"/>
              </w:rPr>
            </w:pPr>
          </w:p>
        </w:tc>
        <w:tc>
          <w:tcPr>
            <w:tcW w:w="1220" w:type="dxa"/>
            <w:vAlign w:val="bottom"/>
            <w:shd w:val="clear" w:color="auto" w:fill="EEEEEE"/>
          </w:tcPr>
          <w:p>
            <w:pPr>
              <w:spacing w:after="0"/>
              <w:rPr>
                <w:sz w:val="18"/>
                <w:szCs w:val="18"/>
                <w:color w:val="auto"/>
              </w:rPr>
            </w:pPr>
          </w:p>
        </w:tc>
        <w:tc>
          <w:tcPr>
            <w:tcW w:w="100" w:type="dxa"/>
            <w:vAlign w:val="bottom"/>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760" w:type="dxa"/>
            <w:vAlign w:val="bottom"/>
          </w:tcPr>
          <w:p>
            <w:pPr>
              <w:spacing w:after="0"/>
              <w:rPr>
                <w:sz w:val="20"/>
                <w:szCs w:val="20"/>
                <w:color w:val="auto"/>
              </w:rPr>
            </w:pPr>
            <w:r>
              <w:rPr>
                <w:rFonts w:ascii="Arial" w:cs="Arial" w:eastAsia="Arial" w:hAnsi="Arial"/>
                <w:sz w:val="18"/>
                <w:szCs w:val="18"/>
                <w:b w:val="1"/>
                <w:bCs w:val="1"/>
                <w:color w:val="auto"/>
              </w:rPr>
              <w:t>Current Assets</w:t>
            </w:r>
          </w:p>
        </w:tc>
        <w:tc>
          <w:tcPr>
            <w:tcW w:w="3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760" w:type="dxa"/>
            <w:vAlign w:val="bottom"/>
            <w:shd w:val="clear" w:color="auto" w:fill="EEEEEE"/>
          </w:tcPr>
          <w:p>
            <w:pPr>
              <w:ind w:left="320"/>
              <w:spacing w:after="0"/>
              <w:rPr>
                <w:sz w:val="20"/>
                <w:szCs w:val="20"/>
                <w:color w:val="auto"/>
              </w:rPr>
            </w:pPr>
            <w:r>
              <w:rPr>
                <w:rFonts w:ascii="Arial" w:cs="Arial" w:eastAsia="Arial" w:hAnsi="Arial"/>
                <w:sz w:val="18"/>
                <w:szCs w:val="18"/>
                <w:color w:val="auto"/>
              </w:rPr>
              <w:t>Cash and cash equivalents</w:t>
            </w:r>
          </w:p>
        </w:tc>
        <w:tc>
          <w:tcPr>
            <w:tcW w:w="620" w:type="dxa"/>
            <w:vAlign w:val="bottom"/>
            <w:gridSpan w:val="2"/>
            <w:shd w:val="clear" w:color="auto" w:fill="EEEEEE"/>
          </w:tcPr>
          <w:p>
            <w:pPr>
              <w:jc w:val="right"/>
              <w:ind w:right="220"/>
              <w:spacing w:after="0"/>
              <w:rPr>
                <w:sz w:val="20"/>
                <w:szCs w:val="20"/>
                <w:color w:val="auto"/>
              </w:rPr>
            </w:pPr>
            <w:r>
              <w:rPr>
                <w:rFonts w:ascii="Arial" w:cs="Arial" w:eastAsia="Arial" w:hAnsi="Arial"/>
                <w:sz w:val="18"/>
                <w:szCs w:val="18"/>
                <w:color w:val="auto"/>
              </w:rPr>
              <w:t>$</w:t>
            </w:r>
          </w:p>
        </w:tc>
        <w:tc>
          <w:tcPr>
            <w:tcW w:w="1200" w:type="dxa"/>
            <w:vAlign w:val="bottom"/>
            <w:shd w:val="clear" w:color="auto" w:fill="EEEEEE"/>
          </w:tcPr>
          <w:p>
            <w:pPr>
              <w:jc w:val="right"/>
              <w:spacing w:after="0"/>
              <w:rPr>
                <w:sz w:val="20"/>
                <w:szCs w:val="20"/>
                <w:color w:val="auto"/>
              </w:rPr>
            </w:pPr>
            <w:r>
              <w:rPr>
                <w:rFonts w:ascii="Arial" w:cs="Arial" w:eastAsia="Arial" w:hAnsi="Arial"/>
                <w:sz w:val="18"/>
                <w:szCs w:val="18"/>
                <w:color w:val="auto"/>
              </w:rPr>
              <w:t>135,429</w:t>
            </w:r>
          </w:p>
        </w:tc>
        <w:tc>
          <w:tcPr>
            <w:tcW w:w="140" w:type="dxa"/>
            <w:vAlign w:val="bottom"/>
            <w:shd w:val="clear" w:color="auto" w:fill="EEEEEE"/>
          </w:tcPr>
          <w:p>
            <w:pPr>
              <w:spacing w:after="0"/>
              <w:rPr>
                <w:sz w:val="18"/>
                <w:szCs w:val="18"/>
                <w:color w:val="auto"/>
              </w:rPr>
            </w:pPr>
          </w:p>
        </w:tc>
        <w:tc>
          <w:tcPr>
            <w:tcW w:w="360" w:type="dxa"/>
            <w:vAlign w:val="bottom"/>
            <w:gridSpan w:val="2"/>
            <w:shd w:val="clear" w:color="auto" w:fill="EEEEEE"/>
          </w:tcPr>
          <w:p>
            <w:pPr>
              <w:jc w:val="right"/>
              <w:ind w:right="200"/>
              <w:spacing w:after="0"/>
              <w:rPr>
                <w:sz w:val="20"/>
                <w:szCs w:val="20"/>
                <w:color w:val="auto"/>
              </w:rPr>
            </w:pPr>
            <w:r>
              <w:rPr>
                <w:rFonts w:ascii="Arial" w:cs="Arial" w:eastAsia="Arial" w:hAnsi="Arial"/>
                <w:sz w:val="18"/>
                <w:szCs w:val="18"/>
                <w:color w:val="auto"/>
              </w:rPr>
              <w:t>$</w:t>
            </w:r>
          </w:p>
        </w:tc>
        <w:tc>
          <w:tcPr>
            <w:tcW w:w="1220" w:type="dxa"/>
            <w:vAlign w:val="bottom"/>
            <w:shd w:val="clear" w:color="auto" w:fill="EEEEEE"/>
          </w:tcPr>
          <w:p>
            <w:pPr>
              <w:jc w:val="right"/>
              <w:spacing w:after="0"/>
              <w:rPr>
                <w:sz w:val="20"/>
                <w:szCs w:val="20"/>
                <w:color w:val="auto"/>
              </w:rPr>
            </w:pPr>
            <w:r>
              <w:rPr>
                <w:rFonts w:ascii="Arial" w:cs="Arial" w:eastAsia="Arial" w:hAnsi="Arial"/>
                <w:sz w:val="18"/>
                <w:szCs w:val="18"/>
                <w:color w:val="auto"/>
              </w:rPr>
              <w:t>14,643</w:t>
            </w:r>
          </w:p>
        </w:tc>
        <w:tc>
          <w:tcPr>
            <w:tcW w:w="100" w:type="dxa"/>
            <w:vAlign w:val="bottom"/>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7760" w:type="dxa"/>
            <w:vAlign w:val="bottom"/>
          </w:tcPr>
          <w:p>
            <w:pPr>
              <w:ind w:left="320"/>
              <w:spacing w:after="0"/>
              <w:rPr>
                <w:sz w:val="20"/>
                <w:szCs w:val="20"/>
                <w:color w:val="auto"/>
              </w:rPr>
            </w:pPr>
            <w:r>
              <w:rPr>
                <w:rFonts w:ascii="Arial" w:cs="Arial" w:eastAsia="Arial" w:hAnsi="Arial"/>
                <w:sz w:val="18"/>
                <w:szCs w:val="18"/>
                <w:color w:val="auto"/>
              </w:rPr>
              <w:t>Prepaid rent</w:t>
            </w:r>
          </w:p>
        </w:tc>
        <w:tc>
          <w:tcPr>
            <w:tcW w:w="320" w:type="dxa"/>
            <w:vAlign w:val="bottom"/>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2,000</w:t>
            </w: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760" w:type="dxa"/>
            <w:vAlign w:val="bottom"/>
            <w:shd w:val="clear" w:color="auto" w:fill="EEEEEE"/>
          </w:tcPr>
          <w:p>
            <w:pPr>
              <w:spacing w:after="0"/>
              <w:rPr>
                <w:sz w:val="20"/>
                <w:szCs w:val="20"/>
                <w:color w:val="auto"/>
              </w:rPr>
            </w:pPr>
            <w:r>
              <w:rPr>
                <w:rFonts w:ascii="Arial" w:cs="Arial" w:eastAsia="Arial" w:hAnsi="Arial"/>
                <w:sz w:val="18"/>
                <w:szCs w:val="18"/>
                <w:b w:val="1"/>
                <w:bCs w:val="1"/>
                <w:color w:val="auto"/>
              </w:rPr>
              <w:t>Total Current Assets</w:t>
            </w:r>
          </w:p>
        </w:tc>
        <w:tc>
          <w:tcPr>
            <w:tcW w:w="320" w:type="dxa"/>
            <w:vAlign w:val="bottom"/>
            <w:shd w:val="clear" w:color="auto" w:fill="EEEEEE"/>
          </w:tcPr>
          <w:p>
            <w:pPr>
              <w:spacing w:after="0"/>
              <w:rPr>
                <w:sz w:val="18"/>
                <w:szCs w:val="18"/>
                <w:color w:val="auto"/>
              </w:rPr>
            </w:pPr>
          </w:p>
        </w:tc>
        <w:tc>
          <w:tcPr>
            <w:tcW w:w="300" w:type="dxa"/>
            <w:vAlign w:val="bottom"/>
            <w:shd w:val="clear" w:color="auto" w:fill="EEEEEE"/>
          </w:tcPr>
          <w:p>
            <w:pPr>
              <w:spacing w:after="0"/>
              <w:rPr>
                <w:sz w:val="18"/>
                <w:szCs w:val="18"/>
                <w:color w:val="auto"/>
              </w:rPr>
            </w:pPr>
          </w:p>
        </w:tc>
        <w:tc>
          <w:tcPr>
            <w:tcW w:w="1200" w:type="dxa"/>
            <w:vAlign w:val="bottom"/>
            <w:shd w:val="clear" w:color="auto" w:fill="EEEEEE"/>
          </w:tcPr>
          <w:p>
            <w:pPr>
              <w:jc w:val="right"/>
              <w:spacing w:after="0"/>
              <w:rPr>
                <w:sz w:val="20"/>
                <w:szCs w:val="20"/>
                <w:color w:val="auto"/>
              </w:rPr>
            </w:pPr>
            <w:r>
              <w:rPr>
                <w:rFonts w:ascii="Arial" w:cs="Arial" w:eastAsia="Arial" w:hAnsi="Arial"/>
                <w:sz w:val="18"/>
                <w:szCs w:val="18"/>
                <w:color w:val="auto"/>
              </w:rPr>
              <w:t>137,429</w:t>
            </w:r>
          </w:p>
        </w:tc>
        <w:tc>
          <w:tcPr>
            <w:tcW w:w="140" w:type="dxa"/>
            <w:vAlign w:val="bottom"/>
            <w:shd w:val="clear" w:color="auto" w:fill="EEEEEE"/>
          </w:tcPr>
          <w:p>
            <w:pPr>
              <w:spacing w:after="0"/>
              <w:rPr>
                <w:sz w:val="18"/>
                <w:szCs w:val="18"/>
                <w:color w:val="auto"/>
              </w:rPr>
            </w:pPr>
          </w:p>
        </w:tc>
        <w:tc>
          <w:tcPr>
            <w:tcW w:w="80" w:type="dxa"/>
            <w:vAlign w:val="bottom"/>
            <w:shd w:val="clear" w:color="auto" w:fill="EEEEEE"/>
          </w:tcPr>
          <w:p>
            <w:pPr>
              <w:spacing w:after="0"/>
              <w:rPr>
                <w:sz w:val="18"/>
                <w:szCs w:val="18"/>
                <w:color w:val="auto"/>
              </w:rPr>
            </w:pPr>
          </w:p>
        </w:tc>
        <w:tc>
          <w:tcPr>
            <w:tcW w:w="280" w:type="dxa"/>
            <w:vAlign w:val="bottom"/>
            <w:shd w:val="clear" w:color="auto" w:fill="EEEEEE"/>
          </w:tcPr>
          <w:p>
            <w:pPr>
              <w:spacing w:after="0"/>
              <w:rPr>
                <w:sz w:val="18"/>
                <w:szCs w:val="18"/>
                <w:color w:val="auto"/>
              </w:rPr>
            </w:pPr>
          </w:p>
        </w:tc>
        <w:tc>
          <w:tcPr>
            <w:tcW w:w="1220" w:type="dxa"/>
            <w:vAlign w:val="bottom"/>
            <w:shd w:val="clear" w:color="auto" w:fill="EEEEEE"/>
          </w:tcPr>
          <w:p>
            <w:pPr>
              <w:jc w:val="right"/>
              <w:spacing w:after="0"/>
              <w:rPr>
                <w:sz w:val="20"/>
                <w:szCs w:val="20"/>
                <w:color w:val="auto"/>
              </w:rPr>
            </w:pPr>
            <w:r>
              <w:rPr>
                <w:rFonts w:ascii="Arial" w:cs="Arial" w:eastAsia="Arial" w:hAnsi="Arial"/>
                <w:sz w:val="18"/>
                <w:szCs w:val="18"/>
                <w:color w:val="auto"/>
              </w:rPr>
              <w:t>14,643</w:t>
            </w:r>
          </w:p>
        </w:tc>
        <w:tc>
          <w:tcPr>
            <w:tcW w:w="100" w:type="dxa"/>
            <w:vAlign w:val="bottom"/>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77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7760" w:type="dxa"/>
            <w:vAlign w:val="bottom"/>
            <w:shd w:val="clear" w:color="auto" w:fill="EEEEEE"/>
          </w:tcPr>
          <w:p>
            <w:pPr>
              <w:spacing w:after="0"/>
              <w:rPr>
                <w:sz w:val="20"/>
                <w:szCs w:val="20"/>
                <w:color w:val="auto"/>
              </w:rPr>
            </w:pPr>
            <w:r>
              <w:rPr>
                <w:rFonts w:ascii="Arial" w:cs="Arial" w:eastAsia="Arial" w:hAnsi="Arial"/>
                <w:sz w:val="18"/>
                <w:szCs w:val="18"/>
                <w:b w:val="1"/>
                <w:bCs w:val="1"/>
                <w:color w:val="auto"/>
              </w:rPr>
              <w:t>Property and Equipment, net</w:t>
            </w:r>
          </w:p>
        </w:tc>
        <w:tc>
          <w:tcPr>
            <w:tcW w:w="320" w:type="dxa"/>
            <w:vAlign w:val="bottom"/>
            <w:shd w:val="clear" w:color="auto" w:fill="EEEEEE"/>
          </w:tcPr>
          <w:p>
            <w:pPr>
              <w:spacing w:after="0"/>
              <w:rPr>
                <w:sz w:val="18"/>
                <w:szCs w:val="18"/>
                <w:color w:val="auto"/>
              </w:rPr>
            </w:pPr>
          </w:p>
        </w:tc>
        <w:tc>
          <w:tcPr>
            <w:tcW w:w="300" w:type="dxa"/>
            <w:vAlign w:val="bottom"/>
            <w:shd w:val="clear" w:color="auto" w:fill="EEEEEE"/>
          </w:tcPr>
          <w:p>
            <w:pPr>
              <w:spacing w:after="0"/>
              <w:rPr>
                <w:sz w:val="18"/>
                <w:szCs w:val="18"/>
                <w:color w:val="auto"/>
              </w:rPr>
            </w:pPr>
          </w:p>
        </w:tc>
        <w:tc>
          <w:tcPr>
            <w:tcW w:w="1200" w:type="dxa"/>
            <w:vAlign w:val="bottom"/>
            <w:shd w:val="clear" w:color="auto" w:fill="EEEEEE"/>
          </w:tcPr>
          <w:p>
            <w:pPr>
              <w:jc w:val="right"/>
              <w:spacing w:after="0"/>
              <w:rPr>
                <w:sz w:val="20"/>
                <w:szCs w:val="20"/>
                <w:color w:val="auto"/>
              </w:rPr>
            </w:pPr>
            <w:r>
              <w:rPr>
                <w:rFonts w:ascii="Arial" w:cs="Arial" w:eastAsia="Arial" w:hAnsi="Arial"/>
                <w:sz w:val="18"/>
                <w:szCs w:val="18"/>
                <w:color w:val="auto"/>
              </w:rPr>
              <w:t>5,972</w:t>
            </w:r>
          </w:p>
        </w:tc>
        <w:tc>
          <w:tcPr>
            <w:tcW w:w="140" w:type="dxa"/>
            <w:vAlign w:val="bottom"/>
            <w:shd w:val="clear" w:color="auto" w:fill="EEEEEE"/>
          </w:tcPr>
          <w:p>
            <w:pPr>
              <w:spacing w:after="0"/>
              <w:rPr>
                <w:sz w:val="18"/>
                <w:szCs w:val="18"/>
                <w:color w:val="auto"/>
              </w:rPr>
            </w:pPr>
          </w:p>
        </w:tc>
        <w:tc>
          <w:tcPr>
            <w:tcW w:w="80" w:type="dxa"/>
            <w:vAlign w:val="bottom"/>
            <w:shd w:val="clear" w:color="auto" w:fill="EEEEEE"/>
          </w:tcPr>
          <w:p>
            <w:pPr>
              <w:spacing w:after="0"/>
              <w:rPr>
                <w:sz w:val="18"/>
                <w:szCs w:val="18"/>
                <w:color w:val="auto"/>
              </w:rPr>
            </w:pPr>
          </w:p>
        </w:tc>
        <w:tc>
          <w:tcPr>
            <w:tcW w:w="280" w:type="dxa"/>
            <w:vAlign w:val="bottom"/>
            <w:shd w:val="clear" w:color="auto" w:fill="EEEEEE"/>
          </w:tcPr>
          <w:p>
            <w:pPr>
              <w:spacing w:after="0"/>
              <w:rPr>
                <w:sz w:val="18"/>
                <w:szCs w:val="18"/>
                <w:color w:val="auto"/>
              </w:rPr>
            </w:pPr>
          </w:p>
        </w:tc>
        <w:tc>
          <w:tcPr>
            <w:tcW w:w="1220" w:type="dxa"/>
            <w:vAlign w:val="bottom"/>
            <w:shd w:val="clear" w:color="auto" w:fill="EEEEEE"/>
          </w:tcPr>
          <w:p>
            <w:pPr>
              <w:jc w:val="right"/>
              <w:spacing w:after="0"/>
              <w:rPr>
                <w:sz w:val="20"/>
                <w:szCs w:val="20"/>
                <w:color w:val="auto"/>
              </w:rPr>
            </w:pPr>
            <w:r>
              <w:rPr>
                <w:rFonts w:ascii="Arial" w:cs="Arial" w:eastAsia="Arial" w:hAnsi="Arial"/>
                <w:sz w:val="18"/>
                <w:szCs w:val="18"/>
                <w:color w:val="auto"/>
              </w:rPr>
              <w:t>735</w:t>
            </w:r>
          </w:p>
        </w:tc>
        <w:tc>
          <w:tcPr>
            <w:tcW w:w="100" w:type="dxa"/>
            <w:vAlign w:val="bottom"/>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77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vMerge w:val="continue"/>
          </w:tcPr>
          <w:p>
            <w:pPr>
              <w:spacing w:after="0"/>
              <w:rPr>
                <w:sz w:val="19"/>
                <w:szCs w:val="19"/>
                <w:color w:val="auto"/>
              </w:rPr>
            </w:pPr>
          </w:p>
        </w:tc>
        <w:tc>
          <w:tcPr>
            <w:tcW w:w="7760" w:type="dxa"/>
            <w:vAlign w:val="bottom"/>
            <w:tcBorders>
              <w:bottom w:val="single" w:sz="8" w:color="EEEEEE"/>
            </w:tcBorders>
            <w:shd w:val="clear" w:color="auto" w:fill="EEEEEE"/>
          </w:tcPr>
          <w:p>
            <w:pPr>
              <w:spacing w:after="0"/>
              <w:rPr>
                <w:sz w:val="20"/>
                <w:szCs w:val="20"/>
                <w:color w:val="auto"/>
              </w:rPr>
            </w:pPr>
            <w:r>
              <w:rPr>
                <w:rFonts w:ascii="Arial" w:cs="Arial" w:eastAsia="Arial" w:hAnsi="Arial"/>
                <w:sz w:val="18"/>
                <w:szCs w:val="18"/>
                <w:b w:val="1"/>
                <w:bCs w:val="1"/>
                <w:color w:val="auto"/>
              </w:rPr>
              <w:t>Website Development Costs, net</w:t>
            </w:r>
          </w:p>
        </w:tc>
        <w:tc>
          <w:tcPr>
            <w:tcW w:w="320" w:type="dxa"/>
            <w:vAlign w:val="bottom"/>
            <w:tcBorders>
              <w:bottom w:val="single" w:sz="8" w:color="EEEEEE"/>
            </w:tcBorders>
            <w:shd w:val="clear" w:color="auto" w:fill="EEEEEE"/>
          </w:tcPr>
          <w:p>
            <w:pPr>
              <w:spacing w:after="0"/>
              <w:rPr>
                <w:sz w:val="19"/>
                <w:szCs w:val="19"/>
                <w:color w:val="auto"/>
              </w:rPr>
            </w:pPr>
          </w:p>
        </w:tc>
        <w:tc>
          <w:tcPr>
            <w:tcW w:w="300" w:type="dxa"/>
            <w:vAlign w:val="bottom"/>
            <w:tcBorders>
              <w:bottom w:val="single" w:sz="8" w:color="auto"/>
            </w:tcBorders>
            <w:shd w:val="clear" w:color="auto" w:fill="EEEEEE"/>
          </w:tcPr>
          <w:p>
            <w:pPr>
              <w:spacing w:after="0"/>
              <w:rPr>
                <w:sz w:val="19"/>
                <w:szCs w:val="19"/>
                <w:color w:val="auto"/>
              </w:rPr>
            </w:pPr>
          </w:p>
        </w:tc>
        <w:tc>
          <w:tcPr>
            <w:tcW w:w="1200" w:type="dxa"/>
            <w:vAlign w:val="bottom"/>
            <w:tcBorders>
              <w:bottom w:val="single" w:sz="8" w:color="auto"/>
            </w:tcBorders>
            <w:shd w:val="clear" w:color="auto" w:fill="EEEEEE"/>
          </w:tcPr>
          <w:p>
            <w:pPr>
              <w:jc w:val="right"/>
              <w:spacing w:after="0"/>
              <w:rPr>
                <w:sz w:val="20"/>
                <w:szCs w:val="20"/>
                <w:color w:val="auto"/>
              </w:rPr>
            </w:pPr>
            <w:r>
              <w:rPr>
                <w:rFonts w:ascii="Arial" w:cs="Arial" w:eastAsia="Arial" w:hAnsi="Arial"/>
                <w:sz w:val="18"/>
                <w:szCs w:val="18"/>
                <w:color w:val="auto"/>
              </w:rPr>
              <w:t>151,564</w:t>
            </w:r>
          </w:p>
        </w:tc>
        <w:tc>
          <w:tcPr>
            <w:tcW w:w="140" w:type="dxa"/>
            <w:vAlign w:val="bottom"/>
            <w:tcBorders>
              <w:bottom w:val="single" w:sz="8" w:color="EEEEEE"/>
            </w:tcBorders>
            <w:shd w:val="clear" w:color="auto" w:fill="EEEEEE"/>
          </w:tcPr>
          <w:p>
            <w:pPr>
              <w:spacing w:after="0"/>
              <w:rPr>
                <w:sz w:val="19"/>
                <w:szCs w:val="19"/>
                <w:color w:val="auto"/>
              </w:rPr>
            </w:pPr>
          </w:p>
        </w:tc>
        <w:tc>
          <w:tcPr>
            <w:tcW w:w="80" w:type="dxa"/>
            <w:vAlign w:val="bottom"/>
            <w:tcBorders>
              <w:bottom w:val="single" w:sz="8" w:color="EEEEEE"/>
            </w:tcBorders>
            <w:shd w:val="clear" w:color="auto" w:fill="EEEEEE"/>
          </w:tcPr>
          <w:p>
            <w:pPr>
              <w:spacing w:after="0"/>
              <w:rPr>
                <w:sz w:val="19"/>
                <w:szCs w:val="19"/>
                <w:color w:val="auto"/>
              </w:rPr>
            </w:pPr>
          </w:p>
        </w:tc>
        <w:tc>
          <w:tcPr>
            <w:tcW w:w="280" w:type="dxa"/>
            <w:vAlign w:val="bottom"/>
            <w:tcBorders>
              <w:bottom w:val="single" w:sz="8" w:color="auto"/>
            </w:tcBorders>
            <w:shd w:val="clear" w:color="auto" w:fill="EEEEEE"/>
          </w:tcPr>
          <w:p>
            <w:pPr>
              <w:spacing w:after="0"/>
              <w:rPr>
                <w:sz w:val="19"/>
                <w:szCs w:val="19"/>
                <w:color w:val="auto"/>
              </w:rPr>
            </w:pPr>
          </w:p>
        </w:tc>
        <w:tc>
          <w:tcPr>
            <w:tcW w:w="1220" w:type="dxa"/>
            <w:vAlign w:val="bottom"/>
            <w:tcBorders>
              <w:bottom w:val="single" w:sz="8" w:color="auto"/>
            </w:tcBorders>
            <w:shd w:val="clear" w:color="auto" w:fill="EEEEEE"/>
          </w:tcPr>
          <w:p>
            <w:pPr>
              <w:jc w:val="right"/>
              <w:spacing w:after="0"/>
              <w:rPr>
                <w:sz w:val="20"/>
                <w:szCs w:val="20"/>
                <w:color w:val="auto"/>
              </w:rPr>
            </w:pPr>
            <w:r>
              <w:rPr>
                <w:rFonts w:ascii="Arial" w:cs="Arial" w:eastAsia="Arial" w:hAnsi="Arial"/>
                <w:sz w:val="18"/>
                <w:szCs w:val="18"/>
                <w:color w:val="auto"/>
              </w:rPr>
              <w:t>34,044</w:t>
            </w:r>
          </w:p>
        </w:tc>
        <w:tc>
          <w:tcPr>
            <w:tcW w:w="100" w:type="dxa"/>
            <w:vAlign w:val="bottom"/>
            <w:tcBorders>
              <w:bottom w:val="single" w:sz="8" w:color="EEEEEE"/>
            </w:tcBorders>
            <w:shd w:val="clear" w:color="auto" w:fill="EEEEEE"/>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77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57"/>
        </w:trPr>
        <w:tc>
          <w:tcPr>
            <w:tcW w:w="20" w:type="dxa"/>
            <w:vAlign w:val="bottom"/>
            <w:vMerge w:val="continue"/>
          </w:tcPr>
          <w:p>
            <w:pPr>
              <w:spacing w:after="0"/>
              <w:rPr>
                <w:sz w:val="22"/>
                <w:szCs w:val="22"/>
                <w:color w:val="auto"/>
              </w:rPr>
            </w:pPr>
          </w:p>
        </w:tc>
        <w:tc>
          <w:tcPr>
            <w:tcW w:w="7760" w:type="dxa"/>
            <w:vAlign w:val="bottom"/>
            <w:shd w:val="clear" w:color="auto" w:fill="EEEEEE"/>
          </w:tcPr>
          <w:p>
            <w:pPr>
              <w:spacing w:after="0"/>
              <w:rPr>
                <w:sz w:val="20"/>
                <w:szCs w:val="20"/>
                <w:color w:val="auto"/>
              </w:rPr>
            </w:pPr>
            <w:r>
              <w:rPr>
                <w:rFonts w:ascii="Arial" w:cs="Arial" w:eastAsia="Arial" w:hAnsi="Arial"/>
                <w:sz w:val="18"/>
                <w:szCs w:val="18"/>
                <w:b w:val="1"/>
                <w:bCs w:val="1"/>
                <w:color w:val="auto"/>
              </w:rPr>
              <w:t>TOTAL ASSETS</w:t>
            </w:r>
          </w:p>
        </w:tc>
        <w:tc>
          <w:tcPr>
            <w:tcW w:w="620" w:type="dxa"/>
            <w:vAlign w:val="bottom"/>
            <w:gridSpan w:val="2"/>
            <w:shd w:val="clear" w:color="auto" w:fill="EEEEEE"/>
          </w:tcPr>
          <w:p>
            <w:pPr>
              <w:jc w:val="right"/>
              <w:ind w:right="220"/>
              <w:spacing w:after="0"/>
              <w:rPr>
                <w:sz w:val="20"/>
                <w:szCs w:val="20"/>
                <w:color w:val="auto"/>
              </w:rPr>
            </w:pPr>
            <w:r>
              <w:rPr>
                <w:rFonts w:ascii="Arial" w:cs="Arial" w:eastAsia="Arial" w:hAnsi="Arial"/>
                <w:sz w:val="18"/>
                <w:szCs w:val="18"/>
                <w:color w:val="auto"/>
              </w:rPr>
              <w:t>$</w:t>
            </w:r>
          </w:p>
        </w:tc>
        <w:tc>
          <w:tcPr>
            <w:tcW w:w="1200" w:type="dxa"/>
            <w:vAlign w:val="bottom"/>
            <w:shd w:val="clear" w:color="auto" w:fill="EEEEEE"/>
          </w:tcPr>
          <w:p>
            <w:pPr>
              <w:jc w:val="right"/>
              <w:spacing w:after="0"/>
              <w:rPr>
                <w:sz w:val="20"/>
                <w:szCs w:val="20"/>
                <w:color w:val="auto"/>
              </w:rPr>
            </w:pPr>
            <w:r>
              <w:rPr>
                <w:rFonts w:ascii="Arial" w:cs="Arial" w:eastAsia="Arial" w:hAnsi="Arial"/>
                <w:sz w:val="18"/>
                <w:szCs w:val="18"/>
                <w:color w:val="auto"/>
              </w:rPr>
              <w:t>294,965</w:t>
            </w:r>
          </w:p>
        </w:tc>
        <w:tc>
          <w:tcPr>
            <w:tcW w:w="140" w:type="dxa"/>
            <w:vAlign w:val="bottom"/>
            <w:shd w:val="clear" w:color="auto" w:fill="EEEEEE"/>
          </w:tcPr>
          <w:p>
            <w:pPr>
              <w:spacing w:after="0"/>
              <w:rPr>
                <w:sz w:val="22"/>
                <w:szCs w:val="22"/>
                <w:color w:val="auto"/>
              </w:rPr>
            </w:pPr>
          </w:p>
        </w:tc>
        <w:tc>
          <w:tcPr>
            <w:tcW w:w="360" w:type="dxa"/>
            <w:vAlign w:val="bottom"/>
            <w:gridSpan w:val="2"/>
            <w:shd w:val="clear" w:color="auto" w:fill="EEEEEE"/>
          </w:tcPr>
          <w:p>
            <w:pPr>
              <w:jc w:val="right"/>
              <w:ind w:right="200"/>
              <w:spacing w:after="0"/>
              <w:rPr>
                <w:sz w:val="20"/>
                <w:szCs w:val="20"/>
                <w:color w:val="auto"/>
              </w:rPr>
            </w:pPr>
            <w:r>
              <w:rPr>
                <w:rFonts w:ascii="Arial" w:cs="Arial" w:eastAsia="Arial" w:hAnsi="Arial"/>
                <w:sz w:val="18"/>
                <w:szCs w:val="18"/>
                <w:color w:val="auto"/>
              </w:rPr>
              <w:t>$</w:t>
            </w:r>
          </w:p>
        </w:tc>
        <w:tc>
          <w:tcPr>
            <w:tcW w:w="1220" w:type="dxa"/>
            <w:vAlign w:val="bottom"/>
            <w:shd w:val="clear" w:color="auto" w:fill="EEEEEE"/>
          </w:tcPr>
          <w:p>
            <w:pPr>
              <w:jc w:val="right"/>
              <w:spacing w:after="0"/>
              <w:rPr>
                <w:sz w:val="20"/>
                <w:szCs w:val="20"/>
                <w:color w:val="auto"/>
              </w:rPr>
            </w:pPr>
            <w:r>
              <w:rPr>
                <w:rFonts w:ascii="Arial" w:cs="Arial" w:eastAsia="Arial" w:hAnsi="Arial"/>
                <w:sz w:val="18"/>
                <w:szCs w:val="18"/>
                <w:color w:val="auto"/>
              </w:rPr>
              <w:t>49,422</w:t>
            </w:r>
          </w:p>
        </w:tc>
        <w:tc>
          <w:tcPr>
            <w:tcW w:w="100" w:type="dxa"/>
            <w:vAlign w:val="bottom"/>
            <w:shd w:val="clear" w:color="auto" w:fill="EEEEEE"/>
          </w:tcPr>
          <w:p>
            <w:pPr>
              <w:spacing w:after="0"/>
              <w:rPr>
                <w:sz w:val="22"/>
                <w:szCs w:val="22"/>
                <w:color w:val="auto"/>
              </w:rPr>
            </w:pP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7760" w:type="dxa"/>
            <w:vAlign w:val="bottom"/>
            <w:tcBorders>
              <w:top w:val="single" w:sz="8" w:color="EEEEEE"/>
            </w:tcBorders>
          </w:tcPr>
          <w:p>
            <w:pPr>
              <w:spacing w:after="0"/>
              <w:rPr>
                <w:sz w:val="18"/>
                <w:szCs w:val="18"/>
                <w:color w:val="auto"/>
              </w:rPr>
            </w:pPr>
          </w:p>
        </w:tc>
        <w:tc>
          <w:tcPr>
            <w:tcW w:w="320" w:type="dxa"/>
            <w:vAlign w:val="bottom"/>
            <w:tcBorders>
              <w:top w:val="single" w:sz="8" w:color="EEEEEE"/>
            </w:tcBorders>
          </w:tcPr>
          <w:p>
            <w:pPr>
              <w:spacing w:after="0"/>
              <w:rPr>
                <w:sz w:val="18"/>
                <w:szCs w:val="18"/>
                <w:color w:val="auto"/>
              </w:rPr>
            </w:pPr>
          </w:p>
        </w:tc>
        <w:tc>
          <w:tcPr>
            <w:tcW w:w="300" w:type="dxa"/>
            <w:vAlign w:val="bottom"/>
            <w:tcBorders>
              <w:top w:val="single" w:sz="8" w:color="auto"/>
            </w:tcBorders>
          </w:tcPr>
          <w:p>
            <w:pPr>
              <w:spacing w:after="0"/>
              <w:rPr>
                <w:sz w:val="18"/>
                <w:szCs w:val="18"/>
                <w:color w:val="auto"/>
              </w:rPr>
            </w:pPr>
          </w:p>
        </w:tc>
        <w:tc>
          <w:tcPr>
            <w:tcW w:w="1200" w:type="dxa"/>
            <w:vAlign w:val="bottom"/>
            <w:tcBorders>
              <w:top w:val="single" w:sz="8" w:color="auto"/>
            </w:tcBorders>
          </w:tcPr>
          <w:p>
            <w:pPr>
              <w:spacing w:after="0"/>
              <w:rPr>
                <w:sz w:val="18"/>
                <w:szCs w:val="18"/>
                <w:color w:val="auto"/>
              </w:rPr>
            </w:pPr>
          </w:p>
        </w:tc>
        <w:tc>
          <w:tcPr>
            <w:tcW w:w="140" w:type="dxa"/>
            <w:vAlign w:val="bottom"/>
            <w:tcBorders>
              <w:top w:val="single" w:sz="8" w:color="EEEEEE"/>
            </w:tcBorders>
          </w:tcPr>
          <w:p>
            <w:pPr>
              <w:spacing w:after="0"/>
              <w:rPr>
                <w:sz w:val="18"/>
                <w:szCs w:val="18"/>
                <w:color w:val="auto"/>
              </w:rPr>
            </w:pPr>
          </w:p>
        </w:tc>
        <w:tc>
          <w:tcPr>
            <w:tcW w:w="80" w:type="dxa"/>
            <w:vAlign w:val="bottom"/>
            <w:tcBorders>
              <w:top w:val="single" w:sz="8" w:color="EEEEEE"/>
            </w:tcBorders>
          </w:tcPr>
          <w:p>
            <w:pPr>
              <w:spacing w:after="0"/>
              <w:rPr>
                <w:sz w:val="18"/>
                <w:szCs w:val="18"/>
                <w:color w:val="auto"/>
              </w:rPr>
            </w:pPr>
          </w:p>
        </w:tc>
        <w:tc>
          <w:tcPr>
            <w:tcW w:w="280" w:type="dxa"/>
            <w:vAlign w:val="bottom"/>
            <w:tcBorders>
              <w:top w:val="single" w:sz="8" w:color="auto"/>
            </w:tcBorders>
          </w:tcPr>
          <w:p>
            <w:pPr>
              <w:spacing w:after="0"/>
              <w:rPr>
                <w:sz w:val="18"/>
                <w:szCs w:val="18"/>
                <w:color w:val="auto"/>
              </w:rPr>
            </w:pPr>
          </w:p>
        </w:tc>
        <w:tc>
          <w:tcPr>
            <w:tcW w:w="1220" w:type="dxa"/>
            <w:vAlign w:val="bottom"/>
            <w:tcBorders>
              <w:top w:val="single" w:sz="8" w:color="auto"/>
            </w:tcBorders>
          </w:tcPr>
          <w:p>
            <w:pPr>
              <w:spacing w:after="0"/>
              <w:rPr>
                <w:sz w:val="18"/>
                <w:szCs w:val="18"/>
                <w:color w:val="auto"/>
              </w:rPr>
            </w:pPr>
          </w:p>
        </w:tc>
        <w:tc>
          <w:tcPr>
            <w:tcW w:w="100" w:type="dxa"/>
            <w:vAlign w:val="bottom"/>
            <w:tcBorders>
              <w:top w:val="single" w:sz="8" w:color="EEEEEE"/>
            </w:tcBorders>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7760" w:type="dxa"/>
            <w:vAlign w:val="bottom"/>
            <w:shd w:val="clear" w:color="auto" w:fill="EEEEEE"/>
          </w:tcPr>
          <w:p>
            <w:pPr>
              <w:spacing w:after="0"/>
              <w:rPr>
                <w:sz w:val="20"/>
                <w:szCs w:val="20"/>
                <w:color w:val="auto"/>
              </w:rPr>
            </w:pPr>
            <w:r>
              <w:rPr>
                <w:rFonts w:ascii="Arial" w:cs="Arial" w:eastAsia="Arial" w:hAnsi="Arial"/>
                <w:sz w:val="18"/>
                <w:szCs w:val="18"/>
                <w:b w:val="1"/>
                <w:bCs w:val="1"/>
                <w:color w:val="auto"/>
              </w:rPr>
              <w:t>LIABILITIES AND STOCKHOLDERS’ EQUITY (DEFICIT)</w:t>
            </w:r>
          </w:p>
        </w:tc>
        <w:tc>
          <w:tcPr>
            <w:tcW w:w="320" w:type="dxa"/>
            <w:vAlign w:val="bottom"/>
            <w:shd w:val="clear" w:color="auto" w:fill="EEEEEE"/>
          </w:tcPr>
          <w:p>
            <w:pPr>
              <w:spacing w:after="0"/>
              <w:rPr>
                <w:sz w:val="18"/>
                <w:szCs w:val="18"/>
                <w:color w:val="auto"/>
              </w:rPr>
            </w:pPr>
          </w:p>
        </w:tc>
        <w:tc>
          <w:tcPr>
            <w:tcW w:w="300" w:type="dxa"/>
            <w:vAlign w:val="bottom"/>
            <w:shd w:val="clear" w:color="auto" w:fill="EEEEEE"/>
          </w:tcPr>
          <w:p>
            <w:pPr>
              <w:spacing w:after="0"/>
              <w:rPr>
                <w:sz w:val="18"/>
                <w:szCs w:val="18"/>
                <w:color w:val="auto"/>
              </w:rPr>
            </w:pPr>
          </w:p>
        </w:tc>
        <w:tc>
          <w:tcPr>
            <w:tcW w:w="1200" w:type="dxa"/>
            <w:vAlign w:val="bottom"/>
            <w:shd w:val="clear" w:color="auto" w:fill="EEEEEE"/>
          </w:tcPr>
          <w:p>
            <w:pPr>
              <w:spacing w:after="0"/>
              <w:rPr>
                <w:sz w:val="18"/>
                <w:szCs w:val="18"/>
                <w:color w:val="auto"/>
              </w:rPr>
            </w:pPr>
          </w:p>
        </w:tc>
        <w:tc>
          <w:tcPr>
            <w:tcW w:w="140" w:type="dxa"/>
            <w:vAlign w:val="bottom"/>
            <w:shd w:val="clear" w:color="auto" w:fill="EEEEEE"/>
          </w:tcPr>
          <w:p>
            <w:pPr>
              <w:spacing w:after="0"/>
              <w:rPr>
                <w:sz w:val="18"/>
                <w:szCs w:val="18"/>
                <w:color w:val="auto"/>
              </w:rPr>
            </w:pPr>
          </w:p>
        </w:tc>
        <w:tc>
          <w:tcPr>
            <w:tcW w:w="80" w:type="dxa"/>
            <w:vAlign w:val="bottom"/>
            <w:shd w:val="clear" w:color="auto" w:fill="EEEEEE"/>
          </w:tcPr>
          <w:p>
            <w:pPr>
              <w:spacing w:after="0"/>
              <w:rPr>
                <w:sz w:val="18"/>
                <w:szCs w:val="18"/>
                <w:color w:val="auto"/>
              </w:rPr>
            </w:pPr>
          </w:p>
        </w:tc>
        <w:tc>
          <w:tcPr>
            <w:tcW w:w="280" w:type="dxa"/>
            <w:vAlign w:val="bottom"/>
            <w:shd w:val="clear" w:color="auto" w:fill="EEEEEE"/>
          </w:tcPr>
          <w:p>
            <w:pPr>
              <w:spacing w:after="0"/>
              <w:rPr>
                <w:sz w:val="18"/>
                <w:szCs w:val="18"/>
                <w:color w:val="auto"/>
              </w:rPr>
            </w:pPr>
          </w:p>
        </w:tc>
        <w:tc>
          <w:tcPr>
            <w:tcW w:w="1220" w:type="dxa"/>
            <w:vAlign w:val="bottom"/>
            <w:shd w:val="clear" w:color="auto" w:fill="EEEEEE"/>
          </w:tcPr>
          <w:p>
            <w:pPr>
              <w:spacing w:after="0"/>
              <w:rPr>
                <w:sz w:val="18"/>
                <w:szCs w:val="18"/>
                <w:color w:val="auto"/>
              </w:rPr>
            </w:pPr>
          </w:p>
        </w:tc>
        <w:tc>
          <w:tcPr>
            <w:tcW w:w="100" w:type="dxa"/>
            <w:vAlign w:val="bottom"/>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760" w:type="dxa"/>
            <w:vAlign w:val="bottom"/>
          </w:tcPr>
          <w:p>
            <w:pPr>
              <w:spacing w:after="0"/>
              <w:rPr>
                <w:sz w:val="20"/>
                <w:szCs w:val="20"/>
                <w:color w:val="auto"/>
              </w:rPr>
            </w:pPr>
            <w:r>
              <w:rPr>
                <w:rFonts w:ascii="Arial" w:cs="Arial" w:eastAsia="Arial" w:hAnsi="Arial"/>
                <w:sz w:val="18"/>
                <w:szCs w:val="18"/>
                <w:b w:val="1"/>
                <w:bCs w:val="1"/>
                <w:color w:val="auto"/>
              </w:rPr>
              <w:t>Current Liabilities</w:t>
            </w:r>
          </w:p>
        </w:tc>
        <w:tc>
          <w:tcPr>
            <w:tcW w:w="3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760" w:type="dxa"/>
            <w:vAlign w:val="bottom"/>
            <w:shd w:val="clear" w:color="auto" w:fill="EEEEEE"/>
          </w:tcPr>
          <w:p>
            <w:pPr>
              <w:ind w:left="320"/>
              <w:spacing w:after="0"/>
              <w:rPr>
                <w:sz w:val="20"/>
                <w:szCs w:val="20"/>
                <w:color w:val="auto"/>
              </w:rPr>
            </w:pPr>
            <w:r>
              <w:rPr>
                <w:rFonts w:ascii="Arial" w:cs="Arial" w:eastAsia="Arial" w:hAnsi="Arial"/>
                <w:sz w:val="18"/>
                <w:szCs w:val="18"/>
                <w:color w:val="auto"/>
              </w:rPr>
              <w:t>Accounts payable</w:t>
            </w:r>
          </w:p>
        </w:tc>
        <w:tc>
          <w:tcPr>
            <w:tcW w:w="620" w:type="dxa"/>
            <w:vAlign w:val="bottom"/>
            <w:gridSpan w:val="2"/>
            <w:shd w:val="clear" w:color="auto" w:fill="EEEEEE"/>
          </w:tcPr>
          <w:p>
            <w:pPr>
              <w:jc w:val="right"/>
              <w:ind w:right="220"/>
              <w:spacing w:after="0"/>
              <w:rPr>
                <w:sz w:val="20"/>
                <w:szCs w:val="20"/>
                <w:color w:val="auto"/>
              </w:rPr>
            </w:pPr>
            <w:r>
              <w:rPr>
                <w:rFonts w:ascii="Arial" w:cs="Arial" w:eastAsia="Arial" w:hAnsi="Arial"/>
                <w:sz w:val="18"/>
                <w:szCs w:val="18"/>
                <w:color w:val="auto"/>
              </w:rPr>
              <w:t>$</w:t>
            </w:r>
          </w:p>
        </w:tc>
        <w:tc>
          <w:tcPr>
            <w:tcW w:w="1200" w:type="dxa"/>
            <w:vAlign w:val="bottom"/>
            <w:shd w:val="clear" w:color="auto" w:fill="EEEEEE"/>
          </w:tcPr>
          <w:p>
            <w:pPr>
              <w:jc w:val="right"/>
              <w:spacing w:after="0"/>
              <w:rPr>
                <w:sz w:val="20"/>
                <w:szCs w:val="20"/>
                <w:color w:val="auto"/>
              </w:rPr>
            </w:pPr>
            <w:r>
              <w:rPr>
                <w:rFonts w:ascii="Arial" w:cs="Arial" w:eastAsia="Arial" w:hAnsi="Arial"/>
                <w:sz w:val="18"/>
                <w:szCs w:val="18"/>
                <w:color w:val="auto"/>
              </w:rPr>
              <w:t>43,216</w:t>
            </w:r>
          </w:p>
        </w:tc>
        <w:tc>
          <w:tcPr>
            <w:tcW w:w="140" w:type="dxa"/>
            <w:vAlign w:val="bottom"/>
            <w:shd w:val="clear" w:color="auto" w:fill="EEEEEE"/>
          </w:tcPr>
          <w:p>
            <w:pPr>
              <w:spacing w:after="0"/>
              <w:rPr>
                <w:sz w:val="18"/>
                <w:szCs w:val="18"/>
                <w:color w:val="auto"/>
              </w:rPr>
            </w:pPr>
          </w:p>
        </w:tc>
        <w:tc>
          <w:tcPr>
            <w:tcW w:w="360" w:type="dxa"/>
            <w:vAlign w:val="bottom"/>
            <w:gridSpan w:val="2"/>
            <w:shd w:val="clear" w:color="auto" w:fill="EEEEEE"/>
          </w:tcPr>
          <w:p>
            <w:pPr>
              <w:jc w:val="right"/>
              <w:ind w:right="200"/>
              <w:spacing w:after="0"/>
              <w:rPr>
                <w:sz w:val="20"/>
                <w:szCs w:val="20"/>
                <w:color w:val="auto"/>
              </w:rPr>
            </w:pPr>
            <w:r>
              <w:rPr>
                <w:rFonts w:ascii="Arial" w:cs="Arial" w:eastAsia="Arial" w:hAnsi="Arial"/>
                <w:sz w:val="18"/>
                <w:szCs w:val="18"/>
                <w:color w:val="auto"/>
              </w:rPr>
              <w:t>$</w:t>
            </w:r>
          </w:p>
        </w:tc>
        <w:tc>
          <w:tcPr>
            <w:tcW w:w="1220" w:type="dxa"/>
            <w:vAlign w:val="bottom"/>
            <w:shd w:val="clear" w:color="auto" w:fill="EEEEEE"/>
          </w:tcPr>
          <w:p>
            <w:pPr>
              <w:jc w:val="right"/>
              <w:spacing w:after="0"/>
              <w:rPr>
                <w:sz w:val="20"/>
                <w:szCs w:val="20"/>
                <w:color w:val="auto"/>
              </w:rPr>
            </w:pPr>
            <w:r>
              <w:rPr>
                <w:rFonts w:ascii="Arial" w:cs="Arial" w:eastAsia="Arial" w:hAnsi="Arial"/>
                <w:sz w:val="18"/>
                <w:szCs w:val="18"/>
                <w:color w:val="auto"/>
              </w:rPr>
              <w:t>-0-</w:t>
            </w:r>
          </w:p>
        </w:tc>
        <w:tc>
          <w:tcPr>
            <w:tcW w:w="100" w:type="dxa"/>
            <w:vAlign w:val="bottom"/>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760" w:type="dxa"/>
            <w:vAlign w:val="bottom"/>
          </w:tcPr>
          <w:p>
            <w:pPr>
              <w:ind w:left="320"/>
              <w:spacing w:after="0"/>
              <w:rPr>
                <w:sz w:val="20"/>
                <w:szCs w:val="20"/>
                <w:color w:val="auto"/>
              </w:rPr>
            </w:pPr>
            <w:r>
              <w:rPr>
                <w:rFonts w:ascii="Arial" w:cs="Arial" w:eastAsia="Arial" w:hAnsi="Arial"/>
                <w:sz w:val="18"/>
                <w:szCs w:val="18"/>
                <w:color w:val="auto"/>
              </w:rPr>
              <w:t>Accrued expenses</w:t>
            </w:r>
          </w:p>
        </w:tc>
        <w:tc>
          <w:tcPr>
            <w:tcW w:w="3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18,926</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5,133</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7760" w:type="dxa"/>
            <w:vAlign w:val="bottom"/>
            <w:tcBorders>
              <w:bottom w:val="single" w:sz="8" w:color="EEEEEE"/>
            </w:tcBorders>
            <w:shd w:val="clear" w:color="auto" w:fill="EEEEEE"/>
          </w:tcPr>
          <w:p>
            <w:pPr>
              <w:ind w:left="320"/>
              <w:spacing w:after="0"/>
              <w:rPr>
                <w:sz w:val="20"/>
                <w:szCs w:val="20"/>
                <w:color w:val="auto"/>
              </w:rPr>
            </w:pPr>
            <w:r>
              <w:rPr>
                <w:rFonts w:ascii="Arial" w:cs="Arial" w:eastAsia="Arial" w:hAnsi="Arial"/>
                <w:sz w:val="18"/>
                <w:szCs w:val="18"/>
                <w:color w:val="auto"/>
              </w:rPr>
              <w:t>Notes payable – related parties</w:t>
            </w:r>
          </w:p>
        </w:tc>
        <w:tc>
          <w:tcPr>
            <w:tcW w:w="320" w:type="dxa"/>
            <w:vAlign w:val="bottom"/>
            <w:tcBorders>
              <w:bottom w:val="single" w:sz="8" w:color="EEEEEE"/>
            </w:tcBorders>
            <w:shd w:val="clear" w:color="auto" w:fill="EEEEEE"/>
          </w:tcPr>
          <w:p>
            <w:pPr>
              <w:spacing w:after="0"/>
              <w:rPr>
                <w:sz w:val="19"/>
                <w:szCs w:val="19"/>
                <w:color w:val="auto"/>
              </w:rPr>
            </w:pPr>
          </w:p>
        </w:tc>
        <w:tc>
          <w:tcPr>
            <w:tcW w:w="300" w:type="dxa"/>
            <w:vAlign w:val="bottom"/>
            <w:tcBorders>
              <w:bottom w:val="single" w:sz="8" w:color="auto"/>
            </w:tcBorders>
            <w:shd w:val="clear" w:color="auto" w:fill="EEEEEE"/>
          </w:tcPr>
          <w:p>
            <w:pPr>
              <w:spacing w:after="0"/>
              <w:rPr>
                <w:sz w:val="19"/>
                <w:szCs w:val="19"/>
                <w:color w:val="auto"/>
              </w:rPr>
            </w:pPr>
          </w:p>
        </w:tc>
        <w:tc>
          <w:tcPr>
            <w:tcW w:w="1200" w:type="dxa"/>
            <w:vAlign w:val="bottom"/>
            <w:tcBorders>
              <w:bottom w:val="single" w:sz="8" w:color="auto"/>
            </w:tcBorders>
            <w:shd w:val="clear" w:color="auto" w:fill="EEEEEE"/>
          </w:tcPr>
          <w:p>
            <w:pPr>
              <w:jc w:val="right"/>
              <w:spacing w:after="0"/>
              <w:rPr>
                <w:sz w:val="20"/>
                <w:szCs w:val="20"/>
                <w:color w:val="auto"/>
              </w:rPr>
            </w:pPr>
            <w:r>
              <w:rPr>
                <w:rFonts w:ascii="Arial" w:cs="Arial" w:eastAsia="Arial" w:hAnsi="Arial"/>
                <w:sz w:val="18"/>
                <w:szCs w:val="18"/>
                <w:color w:val="auto"/>
              </w:rPr>
              <w:t>277,750</w:t>
            </w:r>
          </w:p>
        </w:tc>
        <w:tc>
          <w:tcPr>
            <w:tcW w:w="140" w:type="dxa"/>
            <w:vAlign w:val="bottom"/>
            <w:tcBorders>
              <w:bottom w:val="single" w:sz="8" w:color="EEEEEE"/>
            </w:tcBorders>
            <w:shd w:val="clear" w:color="auto" w:fill="EEEEEE"/>
          </w:tcPr>
          <w:p>
            <w:pPr>
              <w:spacing w:after="0"/>
              <w:rPr>
                <w:sz w:val="19"/>
                <w:szCs w:val="19"/>
                <w:color w:val="auto"/>
              </w:rPr>
            </w:pPr>
          </w:p>
        </w:tc>
        <w:tc>
          <w:tcPr>
            <w:tcW w:w="80" w:type="dxa"/>
            <w:vAlign w:val="bottom"/>
            <w:tcBorders>
              <w:bottom w:val="single" w:sz="8" w:color="EEEEEE"/>
            </w:tcBorders>
            <w:shd w:val="clear" w:color="auto" w:fill="EEEEEE"/>
          </w:tcPr>
          <w:p>
            <w:pPr>
              <w:spacing w:after="0"/>
              <w:rPr>
                <w:sz w:val="19"/>
                <w:szCs w:val="19"/>
                <w:color w:val="auto"/>
              </w:rPr>
            </w:pPr>
          </w:p>
        </w:tc>
        <w:tc>
          <w:tcPr>
            <w:tcW w:w="280" w:type="dxa"/>
            <w:vAlign w:val="bottom"/>
            <w:tcBorders>
              <w:bottom w:val="single" w:sz="8" w:color="auto"/>
            </w:tcBorders>
            <w:shd w:val="clear" w:color="auto" w:fill="EEEEEE"/>
          </w:tcPr>
          <w:p>
            <w:pPr>
              <w:spacing w:after="0"/>
              <w:rPr>
                <w:sz w:val="19"/>
                <w:szCs w:val="19"/>
                <w:color w:val="auto"/>
              </w:rPr>
            </w:pPr>
          </w:p>
        </w:tc>
        <w:tc>
          <w:tcPr>
            <w:tcW w:w="1220" w:type="dxa"/>
            <w:vAlign w:val="bottom"/>
            <w:tcBorders>
              <w:bottom w:val="single" w:sz="8" w:color="auto"/>
            </w:tcBorders>
            <w:shd w:val="clear" w:color="auto" w:fill="EEEEEE"/>
          </w:tcPr>
          <w:p>
            <w:pPr>
              <w:jc w:val="right"/>
              <w:spacing w:after="0"/>
              <w:rPr>
                <w:sz w:val="20"/>
                <w:szCs w:val="20"/>
                <w:color w:val="auto"/>
              </w:rPr>
            </w:pPr>
            <w:r>
              <w:rPr>
                <w:rFonts w:ascii="Arial" w:cs="Arial" w:eastAsia="Arial" w:hAnsi="Arial"/>
                <w:sz w:val="18"/>
                <w:szCs w:val="18"/>
                <w:color w:val="auto"/>
              </w:rPr>
              <w:t>-0-</w:t>
            </w:r>
          </w:p>
        </w:tc>
        <w:tc>
          <w:tcPr>
            <w:tcW w:w="100" w:type="dxa"/>
            <w:vAlign w:val="bottom"/>
            <w:tcBorders>
              <w:bottom w:val="single" w:sz="8" w:color="EEEEEE"/>
            </w:tcBorders>
            <w:shd w:val="clear" w:color="auto" w:fill="EEEEEE"/>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760" w:type="dxa"/>
            <w:vAlign w:val="bottom"/>
          </w:tcPr>
          <w:p>
            <w:pPr>
              <w:spacing w:after="0"/>
              <w:rPr>
                <w:sz w:val="20"/>
                <w:szCs w:val="20"/>
                <w:color w:val="auto"/>
              </w:rPr>
            </w:pPr>
            <w:r>
              <w:rPr>
                <w:rFonts w:ascii="Arial" w:cs="Arial" w:eastAsia="Arial" w:hAnsi="Arial"/>
                <w:sz w:val="18"/>
                <w:szCs w:val="18"/>
                <w:b w:val="1"/>
                <w:bCs w:val="1"/>
                <w:color w:val="auto"/>
              </w:rPr>
              <w:t>Total Current Liabilities</w:t>
            </w:r>
          </w:p>
        </w:tc>
        <w:tc>
          <w:tcPr>
            <w:tcW w:w="3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339,892</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5,133</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7760" w:type="dxa"/>
            <w:vAlign w:val="bottom"/>
            <w:shd w:val="clear" w:color="auto" w:fill="EEEEEE"/>
          </w:tcPr>
          <w:p>
            <w:pPr>
              <w:spacing w:after="0"/>
              <w:rPr>
                <w:sz w:val="18"/>
                <w:szCs w:val="18"/>
                <w:color w:val="auto"/>
              </w:rPr>
            </w:pPr>
          </w:p>
        </w:tc>
        <w:tc>
          <w:tcPr>
            <w:tcW w:w="320" w:type="dxa"/>
            <w:vAlign w:val="bottom"/>
            <w:shd w:val="clear" w:color="auto" w:fill="EEEEEE"/>
          </w:tcPr>
          <w:p>
            <w:pPr>
              <w:spacing w:after="0"/>
              <w:rPr>
                <w:sz w:val="18"/>
                <w:szCs w:val="18"/>
                <w:color w:val="auto"/>
              </w:rPr>
            </w:pPr>
          </w:p>
        </w:tc>
        <w:tc>
          <w:tcPr>
            <w:tcW w:w="300" w:type="dxa"/>
            <w:vAlign w:val="bottom"/>
            <w:shd w:val="clear" w:color="auto" w:fill="EEEEEE"/>
          </w:tcPr>
          <w:p>
            <w:pPr>
              <w:spacing w:after="0"/>
              <w:rPr>
                <w:sz w:val="18"/>
                <w:szCs w:val="18"/>
                <w:color w:val="auto"/>
              </w:rPr>
            </w:pPr>
          </w:p>
        </w:tc>
        <w:tc>
          <w:tcPr>
            <w:tcW w:w="1200" w:type="dxa"/>
            <w:vAlign w:val="bottom"/>
            <w:shd w:val="clear" w:color="auto" w:fill="EEEEEE"/>
          </w:tcPr>
          <w:p>
            <w:pPr>
              <w:spacing w:after="0"/>
              <w:rPr>
                <w:sz w:val="18"/>
                <w:szCs w:val="18"/>
                <w:color w:val="auto"/>
              </w:rPr>
            </w:pPr>
          </w:p>
        </w:tc>
        <w:tc>
          <w:tcPr>
            <w:tcW w:w="140" w:type="dxa"/>
            <w:vAlign w:val="bottom"/>
            <w:shd w:val="clear" w:color="auto" w:fill="EEEEEE"/>
          </w:tcPr>
          <w:p>
            <w:pPr>
              <w:spacing w:after="0"/>
              <w:rPr>
                <w:sz w:val="18"/>
                <w:szCs w:val="18"/>
                <w:color w:val="auto"/>
              </w:rPr>
            </w:pPr>
          </w:p>
        </w:tc>
        <w:tc>
          <w:tcPr>
            <w:tcW w:w="80" w:type="dxa"/>
            <w:vAlign w:val="bottom"/>
            <w:shd w:val="clear" w:color="auto" w:fill="EEEEEE"/>
          </w:tcPr>
          <w:p>
            <w:pPr>
              <w:spacing w:after="0"/>
              <w:rPr>
                <w:sz w:val="18"/>
                <w:szCs w:val="18"/>
                <w:color w:val="auto"/>
              </w:rPr>
            </w:pPr>
          </w:p>
        </w:tc>
        <w:tc>
          <w:tcPr>
            <w:tcW w:w="280" w:type="dxa"/>
            <w:vAlign w:val="bottom"/>
            <w:shd w:val="clear" w:color="auto" w:fill="EEEEEE"/>
          </w:tcPr>
          <w:p>
            <w:pPr>
              <w:spacing w:after="0"/>
              <w:rPr>
                <w:sz w:val="18"/>
                <w:szCs w:val="18"/>
                <w:color w:val="auto"/>
              </w:rPr>
            </w:pPr>
          </w:p>
        </w:tc>
        <w:tc>
          <w:tcPr>
            <w:tcW w:w="1220" w:type="dxa"/>
            <w:vAlign w:val="bottom"/>
            <w:shd w:val="clear" w:color="auto" w:fill="EEEEEE"/>
          </w:tcPr>
          <w:p>
            <w:pPr>
              <w:spacing w:after="0"/>
              <w:rPr>
                <w:sz w:val="18"/>
                <w:szCs w:val="18"/>
                <w:color w:val="auto"/>
              </w:rPr>
            </w:pPr>
          </w:p>
        </w:tc>
        <w:tc>
          <w:tcPr>
            <w:tcW w:w="100" w:type="dxa"/>
            <w:vAlign w:val="bottom"/>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7760" w:type="dxa"/>
            <w:vAlign w:val="bottom"/>
          </w:tcPr>
          <w:p>
            <w:pPr>
              <w:spacing w:after="0"/>
              <w:rPr>
                <w:sz w:val="20"/>
                <w:szCs w:val="20"/>
                <w:color w:val="auto"/>
              </w:rPr>
            </w:pPr>
            <w:r>
              <w:rPr>
                <w:rFonts w:ascii="Arial" w:cs="Arial" w:eastAsia="Arial" w:hAnsi="Arial"/>
                <w:sz w:val="18"/>
                <w:szCs w:val="18"/>
                <w:b w:val="1"/>
                <w:bCs w:val="1"/>
                <w:color w:val="auto"/>
              </w:rPr>
              <w:t>Long - term Debt</w:t>
            </w:r>
          </w:p>
        </w:tc>
        <w:tc>
          <w:tcPr>
            <w:tcW w:w="3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7760" w:type="dxa"/>
            <w:vAlign w:val="bottom"/>
            <w:tcBorders>
              <w:bottom w:val="single" w:sz="8" w:color="EEEEEE"/>
            </w:tcBorders>
            <w:shd w:val="clear" w:color="auto" w:fill="EEEEEE"/>
          </w:tcPr>
          <w:p>
            <w:pPr>
              <w:ind w:left="320"/>
              <w:spacing w:after="0"/>
              <w:rPr>
                <w:sz w:val="20"/>
                <w:szCs w:val="20"/>
                <w:color w:val="auto"/>
              </w:rPr>
            </w:pPr>
            <w:r>
              <w:rPr>
                <w:rFonts w:ascii="Arial" w:cs="Arial" w:eastAsia="Arial" w:hAnsi="Arial"/>
                <w:sz w:val="18"/>
                <w:szCs w:val="18"/>
                <w:color w:val="auto"/>
              </w:rPr>
              <w:t>Notes payable – related party</w:t>
            </w:r>
          </w:p>
        </w:tc>
        <w:tc>
          <w:tcPr>
            <w:tcW w:w="320" w:type="dxa"/>
            <w:vAlign w:val="bottom"/>
            <w:tcBorders>
              <w:bottom w:val="single" w:sz="8" w:color="EEEEEE"/>
            </w:tcBorders>
            <w:shd w:val="clear" w:color="auto" w:fill="EEEEEE"/>
          </w:tcPr>
          <w:p>
            <w:pPr>
              <w:spacing w:after="0"/>
              <w:rPr>
                <w:sz w:val="19"/>
                <w:szCs w:val="19"/>
                <w:color w:val="auto"/>
              </w:rPr>
            </w:pPr>
          </w:p>
        </w:tc>
        <w:tc>
          <w:tcPr>
            <w:tcW w:w="300" w:type="dxa"/>
            <w:vAlign w:val="bottom"/>
            <w:tcBorders>
              <w:bottom w:val="single" w:sz="8" w:color="auto"/>
            </w:tcBorders>
            <w:shd w:val="clear" w:color="auto" w:fill="EEEEEE"/>
          </w:tcPr>
          <w:p>
            <w:pPr>
              <w:spacing w:after="0"/>
              <w:rPr>
                <w:sz w:val="19"/>
                <w:szCs w:val="19"/>
                <w:color w:val="auto"/>
              </w:rPr>
            </w:pPr>
          </w:p>
        </w:tc>
        <w:tc>
          <w:tcPr>
            <w:tcW w:w="1200" w:type="dxa"/>
            <w:vAlign w:val="bottom"/>
            <w:tcBorders>
              <w:bottom w:val="single" w:sz="8" w:color="auto"/>
            </w:tcBorders>
            <w:shd w:val="clear" w:color="auto" w:fill="EEEEEE"/>
          </w:tcPr>
          <w:p>
            <w:pPr>
              <w:jc w:val="right"/>
              <w:spacing w:after="0"/>
              <w:rPr>
                <w:sz w:val="20"/>
                <w:szCs w:val="20"/>
                <w:color w:val="auto"/>
              </w:rPr>
            </w:pPr>
            <w:r>
              <w:rPr>
                <w:rFonts w:ascii="Arial" w:cs="Arial" w:eastAsia="Arial" w:hAnsi="Arial"/>
                <w:sz w:val="18"/>
                <w:szCs w:val="18"/>
                <w:color w:val="auto"/>
              </w:rPr>
              <w:t>50,000</w:t>
            </w:r>
          </w:p>
        </w:tc>
        <w:tc>
          <w:tcPr>
            <w:tcW w:w="140" w:type="dxa"/>
            <w:vAlign w:val="bottom"/>
            <w:tcBorders>
              <w:bottom w:val="single" w:sz="8" w:color="EEEEEE"/>
            </w:tcBorders>
            <w:shd w:val="clear" w:color="auto" w:fill="EEEEEE"/>
          </w:tcPr>
          <w:p>
            <w:pPr>
              <w:spacing w:after="0"/>
              <w:rPr>
                <w:sz w:val="19"/>
                <w:szCs w:val="19"/>
                <w:color w:val="auto"/>
              </w:rPr>
            </w:pPr>
          </w:p>
        </w:tc>
        <w:tc>
          <w:tcPr>
            <w:tcW w:w="80" w:type="dxa"/>
            <w:vAlign w:val="bottom"/>
            <w:tcBorders>
              <w:bottom w:val="single" w:sz="8" w:color="EEEEEE"/>
            </w:tcBorders>
            <w:shd w:val="clear" w:color="auto" w:fill="EEEEEE"/>
          </w:tcPr>
          <w:p>
            <w:pPr>
              <w:spacing w:after="0"/>
              <w:rPr>
                <w:sz w:val="19"/>
                <w:szCs w:val="19"/>
                <w:color w:val="auto"/>
              </w:rPr>
            </w:pPr>
          </w:p>
        </w:tc>
        <w:tc>
          <w:tcPr>
            <w:tcW w:w="280" w:type="dxa"/>
            <w:vAlign w:val="bottom"/>
            <w:tcBorders>
              <w:bottom w:val="single" w:sz="8" w:color="auto"/>
            </w:tcBorders>
            <w:shd w:val="clear" w:color="auto" w:fill="EEEEEE"/>
          </w:tcPr>
          <w:p>
            <w:pPr>
              <w:spacing w:after="0"/>
              <w:rPr>
                <w:sz w:val="19"/>
                <w:szCs w:val="19"/>
                <w:color w:val="auto"/>
              </w:rPr>
            </w:pPr>
          </w:p>
        </w:tc>
        <w:tc>
          <w:tcPr>
            <w:tcW w:w="1220" w:type="dxa"/>
            <w:vAlign w:val="bottom"/>
            <w:tcBorders>
              <w:bottom w:val="single" w:sz="8" w:color="auto"/>
            </w:tcBorders>
            <w:shd w:val="clear" w:color="auto" w:fill="EEEEEE"/>
          </w:tcPr>
          <w:p>
            <w:pPr>
              <w:jc w:val="right"/>
              <w:spacing w:after="0"/>
              <w:rPr>
                <w:sz w:val="20"/>
                <w:szCs w:val="20"/>
                <w:color w:val="auto"/>
              </w:rPr>
            </w:pPr>
            <w:r>
              <w:rPr>
                <w:rFonts w:ascii="Arial" w:cs="Arial" w:eastAsia="Arial" w:hAnsi="Arial"/>
                <w:sz w:val="18"/>
                <w:szCs w:val="18"/>
                <w:color w:val="auto"/>
              </w:rPr>
              <w:t>4,000</w:t>
            </w:r>
          </w:p>
        </w:tc>
        <w:tc>
          <w:tcPr>
            <w:tcW w:w="100" w:type="dxa"/>
            <w:vAlign w:val="bottom"/>
            <w:tcBorders>
              <w:bottom w:val="single" w:sz="8" w:color="EEEEEE"/>
            </w:tcBorders>
            <w:shd w:val="clear" w:color="auto" w:fill="EEEEEE"/>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7760" w:type="dxa"/>
            <w:vAlign w:val="bottom"/>
          </w:tcPr>
          <w:p>
            <w:pPr>
              <w:spacing w:after="0"/>
              <w:rPr>
                <w:sz w:val="20"/>
                <w:szCs w:val="20"/>
                <w:color w:val="auto"/>
              </w:rPr>
            </w:pPr>
            <w:r>
              <w:rPr>
                <w:rFonts w:ascii="Arial" w:cs="Arial" w:eastAsia="Arial" w:hAnsi="Arial"/>
                <w:sz w:val="18"/>
                <w:szCs w:val="18"/>
                <w:b w:val="1"/>
                <w:bCs w:val="1"/>
                <w:color w:val="auto"/>
              </w:rPr>
              <w:t>Total Long - term Debt</w:t>
            </w:r>
          </w:p>
        </w:tc>
        <w:tc>
          <w:tcPr>
            <w:tcW w:w="320" w:type="dxa"/>
            <w:vAlign w:val="bottom"/>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50,000</w:t>
            </w: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4,000</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7760" w:type="dxa"/>
            <w:vAlign w:val="bottom"/>
            <w:shd w:val="clear" w:color="auto" w:fill="EEEEEE"/>
          </w:tcPr>
          <w:p>
            <w:pPr>
              <w:spacing w:after="0"/>
              <w:rPr>
                <w:sz w:val="18"/>
                <w:szCs w:val="18"/>
                <w:color w:val="auto"/>
              </w:rPr>
            </w:pPr>
          </w:p>
        </w:tc>
        <w:tc>
          <w:tcPr>
            <w:tcW w:w="320" w:type="dxa"/>
            <w:vAlign w:val="bottom"/>
            <w:shd w:val="clear" w:color="auto" w:fill="EEEEEE"/>
          </w:tcPr>
          <w:p>
            <w:pPr>
              <w:spacing w:after="0"/>
              <w:rPr>
                <w:sz w:val="18"/>
                <w:szCs w:val="18"/>
                <w:color w:val="auto"/>
              </w:rPr>
            </w:pPr>
          </w:p>
        </w:tc>
        <w:tc>
          <w:tcPr>
            <w:tcW w:w="300" w:type="dxa"/>
            <w:vAlign w:val="bottom"/>
            <w:shd w:val="clear" w:color="auto" w:fill="EEEEEE"/>
          </w:tcPr>
          <w:p>
            <w:pPr>
              <w:spacing w:after="0"/>
              <w:rPr>
                <w:sz w:val="18"/>
                <w:szCs w:val="18"/>
                <w:color w:val="auto"/>
              </w:rPr>
            </w:pPr>
          </w:p>
        </w:tc>
        <w:tc>
          <w:tcPr>
            <w:tcW w:w="1200" w:type="dxa"/>
            <w:vAlign w:val="bottom"/>
            <w:shd w:val="clear" w:color="auto" w:fill="EEEEEE"/>
          </w:tcPr>
          <w:p>
            <w:pPr>
              <w:spacing w:after="0"/>
              <w:rPr>
                <w:sz w:val="18"/>
                <w:szCs w:val="18"/>
                <w:color w:val="auto"/>
              </w:rPr>
            </w:pPr>
          </w:p>
        </w:tc>
        <w:tc>
          <w:tcPr>
            <w:tcW w:w="140" w:type="dxa"/>
            <w:vAlign w:val="bottom"/>
            <w:shd w:val="clear" w:color="auto" w:fill="EEEEEE"/>
          </w:tcPr>
          <w:p>
            <w:pPr>
              <w:spacing w:after="0"/>
              <w:rPr>
                <w:sz w:val="18"/>
                <w:szCs w:val="18"/>
                <w:color w:val="auto"/>
              </w:rPr>
            </w:pPr>
          </w:p>
        </w:tc>
        <w:tc>
          <w:tcPr>
            <w:tcW w:w="80" w:type="dxa"/>
            <w:vAlign w:val="bottom"/>
            <w:shd w:val="clear" w:color="auto" w:fill="EEEEEE"/>
          </w:tcPr>
          <w:p>
            <w:pPr>
              <w:spacing w:after="0"/>
              <w:rPr>
                <w:sz w:val="18"/>
                <w:szCs w:val="18"/>
                <w:color w:val="auto"/>
              </w:rPr>
            </w:pPr>
          </w:p>
        </w:tc>
        <w:tc>
          <w:tcPr>
            <w:tcW w:w="280" w:type="dxa"/>
            <w:vAlign w:val="bottom"/>
            <w:shd w:val="clear" w:color="auto" w:fill="EEEEEE"/>
          </w:tcPr>
          <w:p>
            <w:pPr>
              <w:spacing w:after="0"/>
              <w:rPr>
                <w:sz w:val="18"/>
                <w:szCs w:val="18"/>
                <w:color w:val="auto"/>
              </w:rPr>
            </w:pPr>
          </w:p>
        </w:tc>
        <w:tc>
          <w:tcPr>
            <w:tcW w:w="1220" w:type="dxa"/>
            <w:vAlign w:val="bottom"/>
            <w:shd w:val="clear" w:color="auto" w:fill="EEEEEE"/>
          </w:tcPr>
          <w:p>
            <w:pPr>
              <w:spacing w:after="0"/>
              <w:rPr>
                <w:sz w:val="18"/>
                <w:szCs w:val="18"/>
                <w:color w:val="auto"/>
              </w:rPr>
            </w:pPr>
          </w:p>
        </w:tc>
        <w:tc>
          <w:tcPr>
            <w:tcW w:w="100" w:type="dxa"/>
            <w:vAlign w:val="bottom"/>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vMerge w:val="continue"/>
          </w:tcPr>
          <w:p>
            <w:pPr>
              <w:spacing w:after="0"/>
              <w:rPr>
                <w:sz w:val="19"/>
                <w:szCs w:val="19"/>
                <w:color w:val="auto"/>
              </w:rPr>
            </w:pPr>
          </w:p>
        </w:tc>
        <w:tc>
          <w:tcPr>
            <w:tcW w:w="7760" w:type="dxa"/>
            <w:vAlign w:val="bottom"/>
          </w:tcPr>
          <w:p>
            <w:pPr>
              <w:spacing w:after="0"/>
              <w:rPr>
                <w:sz w:val="20"/>
                <w:szCs w:val="20"/>
                <w:color w:val="auto"/>
              </w:rPr>
            </w:pPr>
            <w:r>
              <w:rPr>
                <w:rFonts w:ascii="Arial" w:cs="Arial" w:eastAsia="Arial" w:hAnsi="Arial"/>
                <w:sz w:val="18"/>
                <w:szCs w:val="18"/>
                <w:b w:val="1"/>
                <w:bCs w:val="1"/>
                <w:color w:val="auto"/>
              </w:rPr>
              <w:t>TOTAL LIABILITIES</w:t>
            </w:r>
          </w:p>
        </w:tc>
        <w:tc>
          <w:tcPr>
            <w:tcW w:w="320" w:type="dxa"/>
            <w:vAlign w:val="bottom"/>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389,892</w:t>
            </w: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9,132</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7760" w:type="dxa"/>
            <w:vAlign w:val="bottom"/>
            <w:shd w:val="clear" w:color="auto" w:fill="EEEEEE"/>
          </w:tcPr>
          <w:p>
            <w:pPr>
              <w:spacing w:after="0"/>
              <w:rPr>
                <w:sz w:val="18"/>
                <w:szCs w:val="18"/>
                <w:color w:val="auto"/>
              </w:rPr>
            </w:pPr>
          </w:p>
        </w:tc>
        <w:tc>
          <w:tcPr>
            <w:tcW w:w="320" w:type="dxa"/>
            <w:vAlign w:val="bottom"/>
            <w:shd w:val="clear" w:color="auto" w:fill="EEEEEE"/>
          </w:tcPr>
          <w:p>
            <w:pPr>
              <w:spacing w:after="0"/>
              <w:rPr>
                <w:sz w:val="18"/>
                <w:szCs w:val="18"/>
                <w:color w:val="auto"/>
              </w:rPr>
            </w:pPr>
          </w:p>
        </w:tc>
        <w:tc>
          <w:tcPr>
            <w:tcW w:w="300" w:type="dxa"/>
            <w:vAlign w:val="bottom"/>
            <w:shd w:val="clear" w:color="auto" w:fill="EEEEEE"/>
          </w:tcPr>
          <w:p>
            <w:pPr>
              <w:spacing w:after="0"/>
              <w:rPr>
                <w:sz w:val="18"/>
                <w:szCs w:val="18"/>
                <w:color w:val="auto"/>
              </w:rPr>
            </w:pPr>
          </w:p>
        </w:tc>
        <w:tc>
          <w:tcPr>
            <w:tcW w:w="1200" w:type="dxa"/>
            <w:vAlign w:val="bottom"/>
            <w:shd w:val="clear" w:color="auto" w:fill="EEEEEE"/>
          </w:tcPr>
          <w:p>
            <w:pPr>
              <w:spacing w:after="0"/>
              <w:rPr>
                <w:sz w:val="18"/>
                <w:szCs w:val="18"/>
                <w:color w:val="auto"/>
              </w:rPr>
            </w:pPr>
          </w:p>
        </w:tc>
        <w:tc>
          <w:tcPr>
            <w:tcW w:w="140" w:type="dxa"/>
            <w:vAlign w:val="bottom"/>
            <w:shd w:val="clear" w:color="auto" w:fill="EEEEEE"/>
          </w:tcPr>
          <w:p>
            <w:pPr>
              <w:spacing w:after="0"/>
              <w:rPr>
                <w:sz w:val="18"/>
                <w:szCs w:val="18"/>
                <w:color w:val="auto"/>
              </w:rPr>
            </w:pPr>
          </w:p>
        </w:tc>
        <w:tc>
          <w:tcPr>
            <w:tcW w:w="80" w:type="dxa"/>
            <w:vAlign w:val="bottom"/>
            <w:shd w:val="clear" w:color="auto" w:fill="EEEEEE"/>
          </w:tcPr>
          <w:p>
            <w:pPr>
              <w:spacing w:after="0"/>
              <w:rPr>
                <w:sz w:val="18"/>
                <w:szCs w:val="18"/>
                <w:color w:val="auto"/>
              </w:rPr>
            </w:pPr>
          </w:p>
        </w:tc>
        <w:tc>
          <w:tcPr>
            <w:tcW w:w="280" w:type="dxa"/>
            <w:vAlign w:val="bottom"/>
            <w:shd w:val="clear" w:color="auto" w:fill="EEEEEE"/>
          </w:tcPr>
          <w:p>
            <w:pPr>
              <w:spacing w:after="0"/>
              <w:rPr>
                <w:sz w:val="18"/>
                <w:szCs w:val="18"/>
                <w:color w:val="auto"/>
              </w:rPr>
            </w:pPr>
          </w:p>
        </w:tc>
        <w:tc>
          <w:tcPr>
            <w:tcW w:w="1220" w:type="dxa"/>
            <w:vAlign w:val="bottom"/>
            <w:shd w:val="clear" w:color="auto" w:fill="EEEEEE"/>
          </w:tcPr>
          <w:p>
            <w:pPr>
              <w:spacing w:after="0"/>
              <w:rPr>
                <w:sz w:val="18"/>
                <w:szCs w:val="18"/>
                <w:color w:val="auto"/>
              </w:rPr>
            </w:pPr>
          </w:p>
        </w:tc>
        <w:tc>
          <w:tcPr>
            <w:tcW w:w="100" w:type="dxa"/>
            <w:vAlign w:val="bottom"/>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7760" w:type="dxa"/>
            <w:vAlign w:val="bottom"/>
          </w:tcPr>
          <w:p>
            <w:pPr>
              <w:spacing w:after="0"/>
              <w:rPr>
                <w:sz w:val="20"/>
                <w:szCs w:val="20"/>
                <w:color w:val="auto"/>
              </w:rPr>
            </w:pPr>
            <w:r>
              <w:rPr>
                <w:rFonts w:ascii="Arial" w:cs="Arial" w:eastAsia="Arial" w:hAnsi="Arial"/>
                <w:sz w:val="18"/>
                <w:szCs w:val="18"/>
                <w:b w:val="1"/>
                <w:bCs w:val="1"/>
                <w:color w:val="auto"/>
              </w:rPr>
              <w:t>STOCKHOLDERS’ EQUITY (DEFICIT)</w:t>
            </w:r>
          </w:p>
        </w:tc>
        <w:tc>
          <w:tcPr>
            <w:tcW w:w="3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760" w:type="dxa"/>
            <w:vAlign w:val="bottom"/>
            <w:shd w:val="clear" w:color="auto" w:fill="EEEEEE"/>
          </w:tcPr>
          <w:p>
            <w:pPr>
              <w:ind w:left="320"/>
              <w:spacing w:after="0"/>
              <w:rPr>
                <w:sz w:val="20"/>
                <w:szCs w:val="20"/>
                <w:color w:val="auto"/>
              </w:rPr>
            </w:pPr>
            <w:r>
              <w:rPr>
                <w:rFonts w:ascii="Arial" w:cs="Arial" w:eastAsia="Arial" w:hAnsi="Arial"/>
                <w:sz w:val="18"/>
                <w:szCs w:val="18"/>
                <w:color w:val="auto"/>
                <w:w w:val="92"/>
              </w:rPr>
              <w:t>Common stock, par $.001, 40,000,000 shares authorized, 10,300,000 shares issued and outstanding</w:t>
            </w:r>
          </w:p>
        </w:tc>
        <w:tc>
          <w:tcPr>
            <w:tcW w:w="320" w:type="dxa"/>
            <w:vAlign w:val="bottom"/>
            <w:shd w:val="clear" w:color="auto" w:fill="EEEEEE"/>
          </w:tcPr>
          <w:p>
            <w:pPr>
              <w:spacing w:after="0"/>
              <w:rPr>
                <w:sz w:val="18"/>
                <w:szCs w:val="18"/>
                <w:color w:val="auto"/>
              </w:rPr>
            </w:pPr>
          </w:p>
        </w:tc>
        <w:tc>
          <w:tcPr>
            <w:tcW w:w="300" w:type="dxa"/>
            <w:vAlign w:val="bottom"/>
            <w:shd w:val="clear" w:color="auto" w:fill="EEEEEE"/>
          </w:tcPr>
          <w:p>
            <w:pPr>
              <w:spacing w:after="0"/>
              <w:rPr>
                <w:sz w:val="18"/>
                <w:szCs w:val="18"/>
                <w:color w:val="auto"/>
              </w:rPr>
            </w:pPr>
          </w:p>
        </w:tc>
        <w:tc>
          <w:tcPr>
            <w:tcW w:w="1200" w:type="dxa"/>
            <w:vAlign w:val="bottom"/>
            <w:shd w:val="clear" w:color="auto" w:fill="EEEEEE"/>
          </w:tcPr>
          <w:p>
            <w:pPr>
              <w:jc w:val="right"/>
              <w:spacing w:after="0"/>
              <w:rPr>
                <w:sz w:val="20"/>
                <w:szCs w:val="20"/>
                <w:color w:val="auto"/>
              </w:rPr>
            </w:pPr>
            <w:r>
              <w:rPr>
                <w:rFonts w:ascii="Arial" w:cs="Arial" w:eastAsia="Arial" w:hAnsi="Arial"/>
                <w:sz w:val="18"/>
                <w:szCs w:val="18"/>
                <w:color w:val="auto"/>
              </w:rPr>
              <w:t>10,300</w:t>
            </w:r>
          </w:p>
        </w:tc>
        <w:tc>
          <w:tcPr>
            <w:tcW w:w="140" w:type="dxa"/>
            <w:vAlign w:val="bottom"/>
            <w:shd w:val="clear" w:color="auto" w:fill="EEEEEE"/>
          </w:tcPr>
          <w:p>
            <w:pPr>
              <w:spacing w:after="0"/>
              <w:rPr>
                <w:sz w:val="18"/>
                <w:szCs w:val="18"/>
                <w:color w:val="auto"/>
              </w:rPr>
            </w:pPr>
          </w:p>
        </w:tc>
        <w:tc>
          <w:tcPr>
            <w:tcW w:w="80" w:type="dxa"/>
            <w:vAlign w:val="bottom"/>
            <w:shd w:val="clear" w:color="auto" w:fill="EEEEEE"/>
          </w:tcPr>
          <w:p>
            <w:pPr>
              <w:spacing w:after="0"/>
              <w:rPr>
                <w:sz w:val="18"/>
                <w:szCs w:val="18"/>
                <w:color w:val="auto"/>
              </w:rPr>
            </w:pPr>
          </w:p>
        </w:tc>
        <w:tc>
          <w:tcPr>
            <w:tcW w:w="280" w:type="dxa"/>
            <w:vAlign w:val="bottom"/>
            <w:shd w:val="clear" w:color="auto" w:fill="EEEEEE"/>
          </w:tcPr>
          <w:p>
            <w:pPr>
              <w:spacing w:after="0"/>
              <w:rPr>
                <w:sz w:val="18"/>
                <w:szCs w:val="18"/>
                <w:color w:val="auto"/>
              </w:rPr>
            </w:pPr>
          </w:p>
        </w:tc>
        <w:tc>
          <w:tcPr>
            <w:tcW w:w="1220" w:type="dxa"/>
            <w:vAlign w:val="bottom"/>
            <w:shd w:val="clear" w:color="auto" w:fill="EEEEEE"/>
          </w:tcPr>
          <w:p>
            <w:pPr>
              <w:jc w:val="right"/>
              <w:spacing w:after="0"/>
              <w:rPr>
                <w:sz w:val="20"/>
                <w:szCs w:val="20"/>
                <w:color w:val="auto"/>
              </w:rPr>
            </w:pPr>
            <w:r>
              <w:rPr>
                <w:rFonts w:ascii="Arial" w:cs="Arial" w:eastAsia="Arial" w:hAnsi="Arial"/>
                <w:sz w:val="18"/>
                <w:szCs w:val="18"/>
                <w:color w:val="auto"/>
              </w:rPr>
              <w:t>-0-</w:t>
            </w:r>
          </w:p>
        </w:tc>
        <w:tc>
          <w:tcPr>
            <w:tcW w:w="100" w:type="dxa"/>
            <w:vAlign w:val="bottom"/>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760" w:type="dxa"/>
            <w:vAlign w:val="bottom"/>
          </w:tcPr>
          <w:p>
            <w:pPr>
              <w:ind w:left="320"/>
              <w:spacing w:after="0"/>
              <w:rPr>
                <w:sz w:val="20"/>
                <w:szCs w:val="20"/>
                <w:color w:val="auto"/>
              </w:rPr>
            </w:pPr>
            <w:r>
              <w:rPr>
                <w:rFonts w:ascii="Arial" w:cs="Arial" w:eastAsia="Arial" w:hAnsi="Arial"/>
                <w:sz w:val="18"/>
                <w:szCs w:val="18"/>
                <w:color w:val="auto"/>
              </w:rPr>
              <w:t>Paid in capital</w:t>
            </w:r>
          </w:p>
        </w:tc>
        <w:tc>
          <w:tcPr>
            <w:tcW w:w="3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289,700</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-0-</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760" w:type="dxa"/>
            <w:vAlign w:val="bottom"/>
            <w:shd w:val="clear" w:color="auto" w:fill="EEEEEE"/>
          </w:tcPr>
          <w:p>
            <w:pPr>
              <w:ind w:left="320"/>
              <w:spacing w:after="0"/>
              <w:rPr>
                <w:sz w:val="20"/>
                <w:szCs w:val="20"/>
                <w:color w:val="auto"/>
              </w:rPr>
            </w:pPr>
            <w:r>
              <w:rPr>
                <w:rFonts w:ascii="Arial" w:cs="Arial" w:eastAsia="Arial" w:hAnsi="Arial"/>
                <w:sz w:val="18"/>
                <w:szCs w:val="18"/>
                <w:color w:val="auto"/>
              </w:rPr>
              <w:t>Equity (deficit) accumulated during the development stage</w:t>
            </w:r>
          </w:p>
        </w:tc>
        <w:tc>
          <w:tcPr>
            <w:tcW w:w="320" w:type="dxa"/>
            <w:vAlign w:val="bottom"/>
            <w:shd w:val="clear" w:color="auto" w:fill="EEEEEE"/>
          </w:tcPr>
          <w:p>
            <w:pPr>
              <w:spacing w:after="0"/>
              <w:rPr>
                <w:sz w:val="18"/>
                <w:szCs w:val="18"/>
                <w:color w:val="auto"/>
              </w:rPr>
            </w:pPr>
          </w:p>
        </w:tc>
        <w:tc>
          <w:tcPr>
            <w:tcW w:w="300" w:type="dxa"/>
            <w:vAlign w:val="bottom"/>
            <w:shd w:val="clear" w:color="auto" w:fill="EEEEEE"/>
          </w:tcPr>
          <w:p>
            <w:pPr>
              <w:spacing w:after="0"/>
              <w:rPr>
                <w:sz w:val="18"/>
                <w:szCs w:val="18"/>
                <w:color w:val="auto"/>
              </w:rPr>
            </w:pPr>
          </w:p>
        </w:tc>
        <w:tc>
          <w:tcPr>
            <w:tcW w:w="1340" w:type="dxa"/>
            <w:vAlign w:val="bottom"/>
            <w:gridSpan w:val="2"/>
            <w:shd w:val="clear" w:color="auto" w:fill="EEEEEE"/>
          </w:tcPr>
          <w:p>
            <w:pPr>
              <w:jc w:val="right"/>
              <w:ind w:right="80"/>
              <w:spacing w:after="0"/>
              <w:rPr>
                <w:sz w:val="20"/>
                <w:szCs w:val="20"/>
                <w:color w:val="auto"/>
              </w:rPr>
            </w:pPr>
            <w:r>
              <w:rPr>
                <w:rFonts w:ascii="Arial" w:cs="Arial" w:eastAsia="Arial" w:hAnsi="Arial"/>
                <w:sz w:val="18"/>
                <w:szCs w:val="18"/>
                <w:color w:val="auto"/>
              </w:rPr>
              <w:t>(394,927)</w:t>
            </w:r>
          </w:p>
        </w:tc>
        <w:tc>
          <w:tcPr>
            <w:tcW w:w="80" w:type="dxa"/>
            <w:vAlign w:val="bottom"/>
            <w:shd w:val="clear" w:color="auto" w:fill="EEEEEE"/>
          </w:tcPr>
          <w:p>
            <w:pPr>
              <w:spacing w:after="0"/>
              <w:rPr>
                <w:sz w:val="18"/>
                <w:szCs w:val="18"/>
                <w:color w:val="auto"/>
              </w:rPr>
            </w:pPr>
          </w:p>
        </w:tc>
        <w:tc>
          <w:tcPr>
            <w:tcW w:w="280" w:type="dxa"/>
            <w:vAlign w:val="bottom"/>
            <w:shd w:val="clear" w:color="auto" w:fill="EEEEEE"/>
          </w:tcPr>
          <w:p>
            <w:pPr>
              <w:spacing w:after="0"/>
              <w:rPr>
                <w:sz w:val="18"/>
                <w:szCs w:val="18"/>
                <w:color w:val="auto"/>
              </w:rPr>
            </w:pPr>
          </w:p>
        </w:tc>
        <w:tc>
          <w:tcPr>
            <w:tcW w:w="1220" w:type="dxa"/>
            <w:vAlign w:val="bottom"/>
            <w:shd w:val="clear" w:color="auto" w:fill="EEEEEE"/>
          </w:tcPr>
          <w:p>
            <w:pPr>
              <w:jc w:val="right"/>
              <w:spacing w:after="0"/>
              <w:rPr>
                <w:sz w:val="20"/>
                <w:szCs w:val="20"/>
                <w:color w:val="auto"/>
              </w:rPr>
            </w:pPr>
            <w:r>
              <w:rPr>
                <w:rFonts w:ascii="Arial" w:cs="Arial" w:eastAsia="Arial" w:hAnsi="Arial"/>
                <w:sz w:val="18"/>
                <w:szCs w:val="18"/>
                <w:color w:val="auto"/>
              </w:rPr>
              <w:t>40,289</w:t>
            </w:r>
          </w:p>
        </w:tc>
        <w:tc>
          <w:tcPr>
            <w:tcW w:w="100" w:type="dxa"/>
            <w:vAlign w:val="bottom"/>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7760" w:type="dxa"/>
            <w:vAlign w:val="bottom"/>
            <w:shd w:val="clear" w:color="auto" w:fill="EEEEEE"/>
          </w:tcPr>
          <w:p>
            <w:pPr>
              <w:spacing w:after="0"/>
              <w:rPr>
                <w:sz w:val="2"/>
                <w:szCs w:val="2"/>
                <w:color w:val="auto"/>
              </w:rPr>
            </w:pPr>
          </w:p>
        </w:tc>
        <w:tc>
          <w:tcPr>
            <w:tcW w:w="320" w:type="dxa"/>
            <w:vAlign w:val="bottom"/>
            <w:shd w:val="clear" w:color="auto" w:fill="EEEEEE"/>
          </w:tcPr>
          <w:p>
            <w:pPr>
              <w:spacing w:after="0"/>
              <w:rPr>
                <w:sz w:val="2"/>
                <w:szCs w:val="2"/>
                <w:color w:val="auto"/>
              </w:rPr>
            </w:pPr>
          </w:p>
        </w:tc>
        <w:tc>
          <w:tcPr>
            <w:tcW w:w="300" w:type="dxa"/>
            <w:vAlign w:val="bottom"/>
            <w:shd w:val="clear" w:color="auto" w:fill="000000"/>
          </w:tcPr>
          <w:p>
            <w:pPr>
              <w:spacing w:after="0"/>
              <w:rPr>
                <w:sz w:val="2"/>
                <w:szCs w:val="2"/>
                <w:color w:val="auto"/>
              </w:rPr>
            </w:pPr>
          </w:p>
        </w:tc>
        <w:tc>
          <w:tcPr>
            <w:tcW w:w="1200" w:type="dxa"/>
            <w:vAlign w:val="bottom"/>
            <w:shd w:val="clear" w:color="auto" w:fill="000000"/>
          </w:tcPr>
          <w:p>
            <w:pPr>
              <w:spacing w:after="0"/>
              <w:rPr>
                <w:sz w:val="2"/>
                <w:szCs w:val="2"/>
                <w:color w:val="auto"/>
              </w:rPr>
            </w:pPr>
          </w:p>
        </w:tc>
        <w:tc>
          <w:tcPr>
            <w:tcW w:w="140" w:type="dxa"/>
            <w:vAlign w:val="bottom"/>
            <w:shd w:val="clear" w:color="auto" w:fill="EEEEEE"/>
          </w:tcPr>
          <w:p>
            <w:pPr>
              <w:spacing w:after="0"/>
              <w:rPr>
                <w:sz w:val="2"/>
                <w:szCs w:val="2"/>
                <w:color w:val="auto"/>
              </w:rPr>
            </w:pPr>
          </w:p>
        </w:tc>
        <w:tc>
          <w:tcPr>
            <w:tcW w:w="80" w:type="dxa"/>
            <w:vAlign w:val="bottom"/>
            <w:shd w:val="clear" w:color="auto" w:fill="EEEEEE"/>
          </w:tcPr>
          <w:p>
            <w:pPr>
              <w:spacing w:after="0"/>
              <w:rPr>
                <w:sz w:val="2"/>
                <w:szCs w:val="2"/>
                <w:color w:val="auto"/>
              </w:rPr>
            </w:pPr>
          </w:p>
        </w:tc>
        <w:tc>
          <w:tcPr>
            <w:tcW w:w="280" w:type="dxa"/>
            <w:vAlign w:val="bottom"/>
            <w:shd w:val="clear" w:color="auto" w:fill="000000"/>
          </w:tcPr>
          <w:p>
            <w:pPr>
              <w:spacing w:after="0"/>
              <w:rPr>
                <w:sz w:val="2"/>
                <w:szCs w:val="2"/>
                <w:color w:val="auto"/>
              </w:rPr>
            </w:pPr>
          </w:p>
        </w:tc>
        <w:tc>
          <w:tcPr>
            <w:tcW w:w="1220" w:type="dxa"/>
            <w:vAlign w:val="bottom"/>
            <w:shd w:val="clear" w:color="auto" w:fill="000000"/>
          </w:tcPr>
          <w:p>
            <w:pPr>
              <w:spacing w:after="0"/>
              <w:rPr>
                <w:sz w:val="2"/>
                <w:szCs w:val="2"/>
                <w:color w:val="auto"/>
              </w:rPr>
            </w:pPr>
          </w:p>
        </w:tc>
        <w:tc>
          <w:tcPr>
            <w:tcW w:w="100" w:type="dxa"/>
            <w:vAlign w:val="bottom"/>
            <w:shd w:val="clear" w:color="auto" w:fill="EEEEEE"/>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3"/>
        </w:trPr>
        <w:tc>
          <w:tcPr>
            <w:tcW w:w="20" w:type="dxa"/>
            <w:vAlign w:val="bottom"/>
            <w:vMerge w:val="continue"/>
          </w:tcPr>
          <w:p>
            <w:pPr>
              <w:spacing w:after="0"/>
              <w:rPr>
                <w:sz w:val="19"/>
                <w:szCs w:val="19"/>
                <w:color w:val="auto"/>
              </w:rPr>
            </w:pPr>
          </w:p>
        </w:tc>
        <w:tc>
          <w:tcPr>
            <w:tcW w:w="7760" w:type="dxa"/>
            <w:vAlign w:val="bottom"/>
          </w:tcPr>
          <w:p>
            <w:pPr>
              <w:spacing w:after="0"/>
              <w:rPr>
                <w:sz w:val="20"/>
                <w:szCs w:val="20"/>
                <w:color w:val="auto"/>
              </w:rPr>
            </w:pPr>
            <w:r>
              <w:rPr>
                <w:rFonts w:ascii="Arial" w:cs="Arial" w:eastAsia="Arial" w:hAnsi="Arial"/>
                <w:sz w:val="18"/>
                <w:szCs w:val="18"/>
                <w:b w:val="1"/>
                <w:bCs w:val="1"/>
                <w:color w:val="auto"/>
              </w:rPr>
              <w:t>Total Stockholders’ Equity (Deficit)</w:t>
            </w:r>
          </w:p>
        </w:tc>
        <w:tc>
          <w:tcPr>
            <w:tcW w:w="3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340" w:type="dxa"/>
            <w:vAlign w:val="bottom"/>
            <w:gridSpan w:val="2"/>
          </w:tcPr>
          <w:p>
            <w:pPr>
              <w:jc w:val="right"/>
              <w:ind w:right="80"/>
              <w:spacing w:after="0"/>
              <w:rPr>
                <w:sz w:val="20"/>
                <w:szCs w:val="20"/>
                <w:color w:val="auto"/>
              </w:rPr>
            </w:pPr>
            <w:r>
              <w:rPr>
                <w:rFonts w:ascii="Arial" w:cs="Arial" w:eastAsia="Arial" w:hAnsi="Arial"/>
                <w:sz w:val="18"/>
                <w:szCs w:val="18"/>
                <w:color w:val="auto"/>
              </w:rPr>
              <w:t>(94,927)</w:t>
            </w:r>
          </w:p>
        </w:tc>
        <w:tc>
          <w:tcPr>
            <w:tcW w:w="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40,289</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760" w:type="dxa"/>
            <w:vAlign w:val="bottom"/>
            <w:shd w:val="clear" w:color="auto" w:fill="EEEEEE"/>
          </w:tcPr>
          <w:p>
            <w:pPr>
              <w:spacing w:after="0"/>
              <w:rPr>
                <w:sz w:val="18"/>
                <w:szCs w:val="18"/>
                <w:color w:val="auto"/>
              </w:rPr>
            </w:pPr>
          </w:p>
        </w:tc>
        <w:tc>
          <w:tcPr>
            <w:tcW w:w="320" w:type="dxa"/>
            <w:vAlign w:val="bottom"/>
            <w:shd w:val="clear" w:color="auto" w:fill="EEEEEE"/>
          </w:tcPr>
          <w:p>
            <w:pPr>
              <w:spacing w:after="0"/>
              <w:rPr>
                <w:sz w:val="18"/>
                <w:szCs w:val="18"/>
                <w:color w:val="auto"/>
              </w:rPr>
            </w:pPr>
          </w:p>
        </w:tc>
        <w:tc>
          <w:tcPr>
            <w:tcW w:w="300" w:type="dxa"/>
            <w:vAlign w:val="bottom"/>
            <w:tcBorders>
              <w:top w:val="single" w:sz="8" w:color="auto"/>
            </w:tcBorders>
            <w:shd w:val="clear" w:color="auto" w:fill="EEEEEE"/>
          </w:tcPr>
          <w:p>
            <w:pPr>
              <w:spacing w:after="0"/>
              <w:rPr>
                <w:sz w:val="18"/>
                <w:szCs w:val="18"/>
                <w:color w:val="auto"/>
              </w:rPr>
            </w:pPr>
          </w:p>
        </w:tc>
        <w:tc>
          <w:tcPr>
            <w:tcW w:w="1200" w:type="dxa"/>
            <w:vAlign w:val="bottom"/>
            <w:tcBorders>
              <w:top w:val="single" w:sz="8" w:color="auto"/>
            </w:tcBorders>
            <w:shd w:val="clear" w:color="auto" w:fill="EEEEEE"/>
          </w:tcPr>
          <w:p>
            <w:pPr>
              <w:spacing w:after="0"/>
              <w:rPr>
                <w:sz w:val="18"/>
                <w:szCs w:val="18"/>
                <w:color w:val="auto"/>
              </w:rPr>
            </w:pPr>
          </w:p>
        </w:tc>
        <w:tc>
          <w:tcPr>
            <w:tcW w:w="140" w:type="dxa"/>
            <w:vAlign w:val="bottom"/>
            <w:shd w:val="clear" w:color="auto" w:fill="EEEEEE"/>
          </w:tcPr>
          <w:p>
            <w:pPr>
              <w:spacing w:after="0"/>
              <w:rPr>
                <w:sz w:val="18"/>
                <w:szCs w:val="18"/>
                <w:color w:val="auto"/>
              </w:rPr>
            </w:pPr>
          </w:p>
        </w:tc>
        <w:tc>
          <w:tcPr>
            <w:tcW w:w="80" w:type="dxa"/>
            <w:vAlign w:val="bottom"/>
            <w:shd w:val="clear" w:color="auto" w:fill="EEEEEE"/>
          </w:tcPr>
          <w:p>
            <w:pPr>
              <w:spacing w:after="0"/>
              <w:rPr>
                <w:sz w:val="18"/>
                <w:szCs w:val="18"/>
                <w:color w:val="auto"/>
              </w:rPr>
            </w:pPr>
          </w:p>
        </w:tc>
        <w:tc>
          <w:tcPr>
            <w:tcW w:w="280" w:type="dxa"/>
            <w:vAlign w:val="bottom"/>
            <w:tcBorders>
              <w:top w:val="single" w:sz="8" w:color="auto"/>
            </w:tcBorders>
            <w:shd w:val="clear" w:color="auto" w:fill="EEEEEE"/>
          </w:tcPr>
          <w:p>
            <w:pPr>
              <w:spacing w:after="0"/>
              <w:rPr>
                <w:sz w:val="18"/>
                <w:szCs w:val="18"/>
                <w:color w:val="auto"/>
              </w:rPr>
            </w:pPr>
          </w:p>
        </w:tc>
        <w:tc>
          <w:tcPr>
            <w:tcW w:w="1220" w:type="dxa"/>
            <w:vAlign w:val="bottom"/>
            <w:tcBorders>
              <w:top w:val="single" w:sz="8" w:color="auto"/>
            </w:tcBorders>
            <w:shd w:val="clear" w:color="auto" w:fill="EEEEEE"/>
          </w:tcPr>
          <w:p>
            <w:pPr>
              <w:spacing w:after="0"/>
              <w:rPr>
                <w:sz w:val="18"/>
                <w:szCs w:val="18"/>
                <w:color w:val="auto"/>
              </w:rPr>
            </w:pPr>
          </w:p>
        </w:tc>
        <w:tc>
          <w:tcPr>
            <w:tcW w:w="100" w:type="dxa"/>
            <w:vAlign w:val="bottom"/>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77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7"/>
        </w:trPr>
        <w:tc>
          <w:tcPr>
            <w:tcW w:w="20" w:type="dxa"/>
            <w:vAlign w:val="bottom"/>
            <w:vMerge w:val="continue"/>
          </w:tcPr>
          <w:p>
            <w:pPr>
              <w:spacing w:after="0"/>
              <w:rPr>
                <w:sz w:val="20"/>
                <w:szCs w:val="20"/>
                <w:color w:val="auto"/>
              </w:rPr>
            </w:pPr>
          </w:p>
        </w:tc>
        <w:tc>
          <w:tcPr>
            <w:tcW w:w="7760" w:type="dxa"/>
            <w:vAlign w:val="bottom"/>
            <w:shd w:val="clear" w:color="auto" w:fill="EEEEEE"/>
          </w:tcPr>
          <w:p>
            <w:pPr>
              <w:spacing w:after="0"/>
              <w:rPr>
                <w:sz w:val="20"/>
                <w:szCs w:val="20"/>
                <w:color w:val="auto"/>
              </w:rPr>
            </w:pPr>
            <w:r>
              <w:rPr>
                <w:rFonts w:ascii="Arial" w:cs="Arial" w:eastAsia="Arial" w:hAnsi="Arial"/>
                <w:sz w:val="18"/>
                <w:szCs w:val="18"/>
                <w:b w:val="1"/>
                <w:bCs w:val="1"/>
                <w:color w:val="auto"/>
              </w:rPr>
              <w:t>TOTAL LIABILITIES AND STOCKHOLDERS’ EQUITY (DEFICIT)</w:t>
            </w:r>
          </w:p>
        </w:tc>
        <w:tc>
          <w:tcPr>
            <w:tcW w:w="620" w:type="dxa"/>
            <w:vAlign w:val="bottom"/>
            <w:gridSpan w:val="2"/>
            <w:shd w:val="clear" w:color="auto" w:fill="EEEEEE"/>
          </w:tcPr>
          <w:p>
            <w:pPr>
              <w:jc w:val="right"/>
              <w:ind w:right="220"/>
              <w:spacing w:after="0"/>
              <w:rPr>
                <w:sz w:val="20"/>
                <w:szCs w:val="20"/>
                <w:color w:val="auto"/>
              </w:rPr>
            </w:pPr>
            <w:r>
              <w:rPr>
                <w:rFonts w:ascii="Arial" w:cs="Arial" w:eastAsia="Arial" w:hAnsi="Arial"/>
                <w:sz w:val="18"/>
                <w:szCs w:val="18"/>
                <w:color w:val="auto"/>
              </w:rPr>
              <w:t>$</w:t>
            </w:r>
          </w:p>
        </w:tc>
        <w:tc>
          <w:tcPr>
            <w:tcW w:w="1200" w:type="dxa"/>
            <w:vAlign w:val="bottom"/>
            <w:shd w:val="clear" w:color="auto" w:fill="EEEEEE"/>
          </w:tcPr>
          <w:p>
            <w:pPr>
              <w:jc w:val="right"/>
              <w:spacing w:after="0"/>
              <w:rPr>
                <w:sz w:val="20"/>
                <w:szCs w:val="20"/>
                <w:color w:val="auto"/>
              </w:rPr>
            </w:pPr>
            <w:r>
              <w:rPr>
                <w:rFonts w:ascii="Arial" w:cs="Arial" w:eastAsia="Arial" w:hAnsi="Arial"/>
                <w:sz w:val="18"/>
                <w:szCs w:val="18"/>
                <w:color w:val="auto"/>
              </w:rPr>
              <w:t>294,965</w:t>
            </w:r>
          </w:p>
        </w:tc>
        <w:tc>
          <w:tcPr>
            <w:tcW w:w="140" w:type="dxa"/>
            <w:vAlign w:val="bottom"/>
            <w:shd w:val="clear" w:color="auto" w:fill="EEEEEE"/>
          </w:tcPr>
          <w:p>
            <w:pPr>
              <w:spacing w:after="0"/>
              <w:rPr>
                <w:sz w:val="20"/>
                <w:szCs w:val="20"/>
                <w:color w:val="auto"/>
              </w:rPr>
            </w:pPr>
          </w:p>
        </w:tc>
        <w:tc>
          <w:tcPr>
            <w:tcW w:w="360" w:type="dxa"/>
            <w:vAlign w:val="bottom"/>
            <w:gridSpan w:val="2"/>
            <w:shd w:val="clear" w:color="auto" w:fill="EEEEEE"/>
          </w:tcPr>
          <w:p>
            <w:pPr>
              <w:jc w:val="right"/>
              <w:ind w:right="200"/>
              <w:spacing w:after="0"/>
              <w:rPr>
                <w:sz w:val="20"/>
                <w:szCs w:val="20"/>
                <w:color w:val="auto"/>
              </w:rPr>
            </w:pPr>
            <w:r>
              <w:rPr>
                <w:rFonts w:ascii="Arial" w:cs="Arial" w:eastAsia="Arial" w:hAnsi="Arial"/>
                <w:sz w:val="18"/>
                <w:szCs w:val="18"/>
                <w:color w:val="auto"/>
              </w:rPr>
              <w:t>$</w:t>
            </w:r>
          </w:p>
        </w:tc>
        <w:tc>
          <w:tcPr>
            <w:tcW w:w="1220" w:type="dxa"/>
            <w:vAlign w:val="bottom"/>
            <w:shd w:val="clear" w:color="auto" w:fill="EEEEEE"/>
          </w:tcPr>
          <w:p>
            <w:pPr>
              <w:jc w:val="right"/>
              <w:spacing w:after="0"/>
              <w:rPr>
                <w:sz w:val="20"/>
                <w:szCs w:val="20"/>
                <w:color w:val="auto"/>
              </w:rPr>
            </w:pPr>
            <w:r>
              <w:rPr>
                <w:rFonts w:ascii="Arial" w:cs="Arial" w:eastAsia="Arial" w:hAnsi="Arial"/>
                <w:sz w:val="18"/>
                <w:szCs w:val="18"/>
                <w:color w:val="auto"/>
              </w:rPr>
              <w:t>49,422</w:t>
            </w:r>
          </w:p>
        </w:tc>
        <w:tc>
          <w:tcPr>
            <w:tcW w:w="100" w:type="dxa"/>
            <w:vAlign w:val="bottom"/>
            <w:shd w:val="clear" w:color="auto" w:fill="EEEEEE"/>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760" w:type="dxa"/>
            <w:vAlign w:val="bottom"/>
            <w:tcBorders>
              <w:top w:val="single" w:sz="8" w:color="EEEEEE"/>
            </w:tcBorders>
            <w:shd w:val="clear" w:color="auto" w:fill="EEEEEE"/>
          </w:tcPr>
          <w:p>
            <w:pPr>
              <w:spacing w:after="0" w:line="20" w:lineRule="exact"/>
              <w:rPr>
                <w:sz w:val="1"/>
                <w:szCs w:val="1"/>
                <w:color w:val="auto"/>
              </w:rPr>
            </w:pPr>
          </w:p>
        </w:tc>
        <w:tc>
          <w:tcPr>
            <w:tcW w:w="320" w:type="dxa"/>
            <w:vAlign w:val="bottom"/>
            <w:tcBorders>
              <w:top w:val="single" w:sz="8" w:color="EEEEEE"/>
            </w:tcBorders>
            <w:shd w:val="clear" w:color="auto" w:fill="EEEEEE"/>
          </w:tcPr>
          <w:p>
            <w:pPr>
              <w:spacing w:after="0" w:line="20" w:lineRule="exact"/>
              <w:rPr>
                <w:sz w:val="1"/>
                <w:szCs w:val="1"/>
                <w:color w:val="auto"/>
              </w:rPr>
            </w:pPr>
          </w:p>
        </w:tc>
        <w:tc>
          <w:tcPr>
            <w:tcW w:w="300" w:type="dxa"/>
            <w:vAlign w:val="bottom"/>
            <w:tcBorders>
              <w:top w:val="single" w:sz="8" w:color="auto"/>
            </w:tcBorders>
            <w:shd w:val="clear" w:color="auto" w:fill="000000"/>
          </w:tcPr>
          <w:p>
            <w:pPr>
              <w:spacing w:after="0" w:line="20" w:lineRule="exact"/>
              <w:rPr>
                <w:sz w:val="1"/>
                <w:szCs w:val="1"/>
                <w:color w:val="auto"/>
              </w:rPr>
            </w:pPr>
          </w:p>
        </w:tc>
        <w:tc>
          <w:tcPr>
            <w:tcW w:w="1200" w:type="dxa"/>
            <w:vAlign w:val="bottom"/>
            <w:tcBorders>
              <w:top w:val="single" w:sz="8" w:color="auto"/>
            </w:tcBorders>
            <w:shd w:val="clear" w:color="auto" w:fill="000000"/>
          </w:tcPr>
          <w:p>
            <w:pPr>
              <w:spacing w:after="0" w:line="20" w:lineRule="exact"/>
              <w:rPr>
                <w:sz w:val="1"/>
                <w:szCs w:val="1"/>
                <w:color w:val="auto"/>
              </w:rPr>
            </w:pPr>
          </w:p>
        </w:tc>
        <w:tc>
          <w:tcPr>
            <w:tcW w:w="140" w:type="dxa"/>
            <w:vAlign w:val="bottom"/>
            <w:tcBorders>
              <w:top w:val="single" w:sz="8" w:color="EEEEEE"/>
            </w:tcBorders>
            <w:shd w:val="clear" w:color="auto" w:fill="EEEEEE"/>
          </w:tcPr>
          <w:p>
            <w:pPr>
              <w:spacing w:after="0" w:line="20" w:lineRule="exact"/>
              <w:rPr>
                <w:sz w:val="1"/>
                <w:szCs w:val="1"/>
                <w:color w:val="auto"/>
              </w:rPr>
            </w:pPr>
          </w:p>
        </w:tc>
        <w:tc>
          <w:tcPr>
            <w:tcW w:w="80" w:type="dxa"/>
            <w:vAlign w:val="bottom"/>
            <w:tcBorders>
              <w:top w:val="single" w:sz="8" w:color="EEEEEE"/>
            </w:tcBorders>
            <w:shd w:val="clear" w:color="auto" w:fill="EEEEEE"/>
          </w:tcPr>
          <w:p>
            <w:pPr>
              <w:spacing w:after="0" w:line="20" w:lineRule="exact"/>
              <w:rPr>
                <w:sz w:val="1"/>
                <w:szCs w:val="1"/>
                <w:color w:val="auto"/>
              </w:rPr>
            </w:pPr>
          </w:p>
        </w:tc>
        <w:tc>
          <w:tcPr>
            <w:tcW w:w="280" w:type="dxa"/>
            <w:vAlign w:val="bottom"/>
            <w:tcBorders>
              <w:top w:val="single" w:sz="8" w:color="auto"/>
            </w:tcBorders>
            <w:shd w:val="clear" w:color="auto" w:fill="000000"/>
          </w:tcPr>
          <w:p>
            <w:pPr>
              <w:spacing w:after="0" w:line="20" w:lineRule="exact"/>
              <w:rPr>
                <w:sz w:val="1"/>
                <w:szCs w:val="1"/>
                <w:color w:val="auto"/>
              </w:rPr>
            </w:pPr>
          </w:p>
        </w:tc>
        <w:tc>
          <w:tcPr>
            <w:tcW w:w="122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EEEEEE"/>
            </w:tcBorders>
            <w:shd w:val="clear" w:color="auto" w:fill="EEEEEE"/>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5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accompanying notes are an integral part of the financial statements.</w:t>
      </w:r>
    </w:p>
    <w:p>
      <w:pPr>
        <w:spacing w:after="0" w:line="200" w:lineRule="exact"/>
        <w:rPr>
          <w:sz w:val="20"/>
          <w:szCs w:val="20"/>
          <w:color w:val="auto"/>
        </w:rPr>
      </w:pPr>
    </w:p>
    <w:p>
      <w:pPr>
        <w:spacing w:after="0" w:line="32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246620" cy="8890"/>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607" w:right="239" w:bottom="1440" w:gutter="0" w:footer="0" w:header="0"/>
        </w:sectPr>
      </w:pPr>
    </w:p>
    <w:bookmarkStart w:id="44" w:name="page45"/>
    <w:bookmarkEnd w:id="44"/>
    <w:p>
      <w:pPr>
        <w:jc w:val="center"/>
        <w:spacing w:after="0"/>
        <w:rPr>
          <w:sz w:val="20"/>
          <w:szCs w:val="20"/>
          <w:color w:val="auto"/>
        </w:rPr>
      </w:pPr>
      <w:r>
        <w:rPr>
          <w:rFonts w:ascii="Arial" w:cs="Arial" w:eastAsia="Arial" w:hAnsi="Arial"/>
          <w:sz w:val="18"/>
          <w:szCs w:val="18"/>
          <w:b w:val="1"/>
          <w:bCs w:val="1"/>
          <w:color w:val="auto"/>
        </w:rPr>
        <w:t>OPTIMIZERx CORPORATION</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OPTIMIZER SYSTEMS, LLC</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 DEVELOPMENT STAGE COMPANY)</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STATEMENTS OF OPERATIONS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FOR THE YEARS ENDED DECEMBER 31, 2007 AND 2006</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FOR THE PERIOD FROM JANUARY 31, 2006 (INCEPTION) TO DECEMBER 31, 2007</w:t>
      </w:r>
    </w:p>
    <w:p>
      <w:pPr>
        <w:spacing w:after="0" w:line="200" w:lineRule="exact"/>
        <w:rPr>
          <w:sz w:val="20"/>
          <w:szCs w:val="20"/>
          <w:color w:val="auto"/>
        </w:rPr>
      </w:pPr>
    </w:p>
    <w:p>
      <w:pPr>
        <w:spacing w:after="0" w:line="331"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20" w:type="dxa"/>
            <w:vAlign w:val="bottom"/>
          </w:tcPr>
          <w:p>
            <w:pPr>
              <w:spacing w:after="0"/>
              <w:rPr>
                <w:sz w:val="18"/>
                <w:szCs w:val="18"/>
                <w:color w:val="auto"/>
              </w:rPr>
            </w:pPr>
          </w:p>
        </w:tc>
        <w:tc>
          <w:tcPr>
            <w:tcW w:w="63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80" w:type="dxa"/>
            <w:vAlign w:val="bottom"/>
            <w:gridSpan w:val="2"/>
          </w:tcPr>
          <w:p>
            <w:pPr>
              <w:jc w:val="center"/>
              <w:ind w:right="300"/>
              <w:spacing w:after="0"/>
              <w:rPr>
                <w:sz w:val="20"/>
                <w:szCs w:val="20"/>
                <w:color w:val="auto"/>
              </w:rPr>
            </w:pPr>
            <w:r>
              <w:rPr>
                <w:rFonts w:ascii="Arial" w:cs="Arial" w:eastAsia="Arial" w:hAnsi="Arial"/>
                <w:sz w:val="18"/>
                <w:szCs w:val="18"/>
                <w:b w:val="1"/>
                <w:bCs w:val="1"/>
                <w:color w:val="auto"/>
                <w:w w:val="93"/>
              </w:rPr>
              <w:t>Period from</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3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40" w:type="dxa"/>
            <w:vAlign w:val="bottom"/>
            <w:gridSpan w:val="3"/>
          </w:tcPr>
          <w:p>
            <w:pPr>
              <w:jc w:val="center"/>
              <w:ind w:right="160"/>
              <w:spacing w:after="0"/>
              <w:rPr>
                <w:sz w:val="20"/>
                <w:szCs w:val="20"/>
                <w:color w:val="auto"/>
              </w:rPr>
            </w:pPr>
            <w:r>
              <w:rPr>
                <w:rFonts w:ascii="Arial" w:cs="Arial" w:eastAsia="Arial" w:hAnsi="Arial"/>
                <w:sz w:val="18"/>
                <w:szCs w:val="18"/>
                <w:b w:val="1"/>
                <w:bCs w:val="1"/>
                <w:color w:val="auto"/>
                <w:w w:val="91"/>
              </w:rPr>
              <w:t>January 31, 2006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3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80" w:type="dxa"/>
            <w:vAlign w:val="bottom"/>
            <w:gridSpan w:val="2"/>
          </w:tcPr>
          <w:p>
            <w:pPr>
              <w:jc w:val="center"/>
              <w:ind w:right="300"/>
              <w:spacing w:after="0"/>
              <w:rPr>
                <w:sz w:val="20"/>
                <w:szCs w:val="20"/>
                <w:color w:val="auto"/>
              </w:rPr>
            </w:pPr>
            <w:r>
              <w:rPr>
                <w:rFonts w:ascii="Arial" w:cs="Arial" w:eastAsia="Arial" w:hAnsi="Arial"/>
                <w:sz w:val="18"/>
                <w:szCs w:val="18"/>
                <w:b w:val="1"/>
                <w:bCs w:val="1"/>
                <w:color w:val="auto"/>
                <w:w w:val="89"/>
              </w:rPr>
              <w:t>(inception) to</w:t>
            </w:r>
          </w:p>
        </w:tc>
        <w:tc>
          <w:tcPr>
            <w:tcW w:w="0" w:type="dxa"/>
            <w:vAlign w:val="bottom"/>
          </w:tcPr>
          <w:p>
            <w:pPr>
              <w:spacing w:after="0"/>
              <w:rPr>
                <w:sz w:val="1"/>
                <w:szCs w:val="1"/>
                <w:color w:val="auto"/>
              </w:rPr>
            </w:pPr>
          </w:p>
        </w:tc>
      </w:tr>
      <w:tr>
        <w:trPr>
          <w:trHeight w:val="241"/>
        </w:trPr>
        <w:tc>
          <w:tcPr>
            <w:tcW w:w="20" w:type="dxa"/>
            <w:vAlign w:val="bottom"/>
          </w:tcPr>
          <w:p>
            <w:pPr>
              <w:spacing w:after="0"/>
              <w:rPr>
                <w:sz w:val="20"/>
                <w:szCs w:val="20"/>
                <w:color w:val="auto"/>
              </w:rPr>
            </w:pPr>
          </w:p>
        </w:tc>
        <w:tc>
          <w:tcPr>
            <w:tcW w:w="6300" w:type="dxa"/>
            <w:vAlign w:val="bottom"/>
          </w:tcPr>
          <w:p>
            <w:pPr>
              <w:spacing w:after="0"/>
              <w:rPr>
                <w:sz w:val="20"/>
                <w:szCs w:val="20"/>
                <w:color w:val="auto"/>
              </w:rPr>
            </w:pPr>
          </w:p>
        </w:tc>
        <w:tc>
          <w:tcPr>
            <w:tcW w:w="340" w:type="dxa"/>
            <w:vAlign w:val="bottom"/>
            <w:tcBorders>
              <w:bottom w:val="single" w:sz="8" w:color="auto"/>
            </w:tcBorders>
          </w:tcPr>
          <w:p>
            <w:pPr>
              <w:spacing w:after="0"/>
              <w:rPr>
                <w:sz w:val="20"/>
                <w:szCs w:val="20"/>
                <w:color w:val="auto"/>
              </w:rPr>
            </w:pPr>
          </w:p>
        </w:tc>
        <w:tc>
          <w:tcPr>
            <w:tcW w:w="1180" w:type="dxa"/>
            <w:vAlign w:val="bottom"/>
            <w:tcBorders>
              <w:bottom w:val="single" w:sz="8" w:color="auto"/>
            </w:tcBorders>
          </w:tcPr>
          <w:p>
            <w:pPr>
              <w:jc w:val="right"/>
              <w:ind w:right="510"/>
              <w:spacing w:after="0"/>
              <w:rPr>
                <w:sz w:val="20"/>
                <w:szCs w:val="20"/>
                <w:color w:val="auto"/>
              </w:rPr>
            </w:pPr>
            <w:r>
              <w:rPr>
                <w:rFonts w:ascii="Arial" w:cs="Arial" w:eastAsia="Arial" w:hAnsi="Arial"/>
                <w:sz w:val="18"/>
                <w:szCs w:val="18"/>
                <w:b w:val="1"/>
                <w:bCs w:val="1"/>
                <w:color w:val="auto"/>
              </w:rPr>
              <w:t>2007</w:t>
            </w:r>
          </w:p>
        </w:tc>
        <w:tc>
          <w:tcPr>
            <w:tcW w:w="220" w:type="dxa"/>
            <w:vAlign w:val="bottom"/>
          </w:tcPr>
          <w:p>
            <w:pPr>
              <w:spacing w:after="0"/>
              <w:rPr>
                <w:sz w:val="20"/>
                <w:szCs w:val="20"/>
                <w:color w:val="auto"/>
              </w:rPr>
            </w:pPr>
          </w:p>
        </w:tc>
        <w:tc>
          <w:tcPr>
            <w:tcW w:w="320" w:type="dxa"/>
            <w:vAlign w:val="bottom"/>
            <w:tcBorders>
              <w:bottom w:val="single" w:sz="8" w:color="auto"/>
            </w:tcBorders>
          </w:tcPr>
          <w:p>
            <w:pPr>
              <w:spacing w:after="0"/>
              <w:rPr>
                <w:sz w:val="20"/>
                <w:szCs w:val="20"/>
                <w:color w:val="auto"/>
              </w:rPr>
            </w:pPr>
          </w:p>
        </w:tc>
        <w:tc>
          <w:tcPr>
            <w:tcW w:w="1180" w:type="dxa"/>
            <w:vAlign w:val="bottom"/>
            <w:tcBorders>
              <w:bottom w:val="single" w:sz="8" w:color="auto"/>
            </w:tcBorders>
          </w:tcPr>
          <w:p>
            <w:pPr>
              <w:jc w:val="right"/>
              <w:ind w:right="490"/>
              <w:spacing w:after="0"/>
              <w:rPr>
                <w:sz w:val="20"/>
                <w:szCs w:val="20"/>
                <w:color w:val="auto"/>
              </w:rPr>
            </w:pPr>
            <w:r>
              <w:rPr>
                <w:rFonts w:ascii="Arial" w:cs="Arial" w:eastAsia="Arial" w:hAnsi="Arial"/>
                <w:sz w:val="18"/>
                <w:szCs w:val="18"/>
                <w:b w:val="1"/>
                <w:bCs w:val="1"/>
                <w:color w:val="auto"/>
              </w:rPr>
              <w:t>2006</w:t>
            </w:r>
          </w:p>
        </w:tc>
        <w:tc>
          <w:tcPr>
            <w:tcW w:w="1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520" w:type="dxa"/>
            <w:vAlign w:val="bottom"/>
            <w:tcBorders>
              <w:bottom w:val="single" w:sz="8" w:color="auto"/>
            </w:tcBorders>
            <w:gridSpan w:val="2"/>
          </w:tcPr>
          <w:p>
            <w:pPr>
              <w:jc w:val="center"/>
              <w:spacing w:after="0"/>
              <w:rPr>
                <w:sz w:val="20"/>
                <w:szCs w:val="20"/>
                <w:color w:val="auto"/>
              </w:rPr>
            </w:pPr>
            <w:r>
              <w:rPr>
                <w:rFonts w:ascii="Arial" w:cs="Arial" w:eastAsia="Arial" w:hAnsi="Arial"/>
                <w:sz w:val="18"/>
                <w:szCs w:val="18"/>
                <w:b w:val="1"/>
                <w:bCs w:val="1"/>
                <w:color w:val="auto"/>
                <w:w w:val="90"/>
              </w:rPr>
              <w:t>December 31, 2007</w:t>
            </w:r>
          </w:p>
        </w:tc>
        <w:tc>
          <w:tcPr>
            <w:tcW w:w="1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300" w:type="dxa"/>
            <w:vAlign w:val="bottom"/>
            <w:shd w:val="clear" w:color="auto" w:fill="EEEEEE"/>
          </w:tcPr>
          <w:p>
            <w:pPr>
              <w:spacing w:after="0"/>
              <w:rPr>
                <w:sz w:val="20"/>
                <w:szCs w:val="20"/>
                <w:color w:val="auto"/>
              </w:rPr>
            </w:pPr>
            <w:r>
              <w:rPr>
                <w:rFonts w:ascii="Arial" w:cs="Arial" w:eastAsia="Arial" w:hAnsi="Arial"/>
                <w:sz w:val="18"/>
                <w:szCs w:val="18"/>
                <w:b w:val="1"/>
                <w:bCs w:val="1"/>
                <w:color w:val="auto"/>
              </w:rPr>
              <w:t>Gross Revenues</w:t>
            </w:r>
          </w:p>
        </w:tc>
        <w:tc>
          <w:tcPr>
            <w:tcW w:w="340" w:type="dxa"/>
            <w:vAlign w:val="bottom"/>
            <w:shd w:val="clear" w:color="auto" w:fill="EEEEEE"/>
          </w:tcPr>
          <w:p>
            <w:pPr>
              <w:jc w:val="right"/>
              <w:ind w:right="150"/>
              <w:spacing w:after="0"/>
              <w:rPr>
                <w:sz w:val="20"/>
                <w:szCs w:val="20"/>
                <w:color w:val="auto"/>
              </w:rPr>
            </w:pPr>
            <w:r>
              <w:rPr>
                <w:rFonts w:ascii="Arial" w:cs="Arial" w:eastAsia="Arial" w:hAnsi="Arial"/>
                <w:sz w:val="18"/>
                <w:szCs w:val="18"/>
                <w:color w:val="auto"/>
                <w:w w:val="79"/>
              </w:rPr>
              <w:t>$</w:t>
            </w:r>
          </w:p>
        </w:tc>
        <w:tc>
          <w:tcPr>
            <w:tcW w:w="1180" w:type="dxa"/>
            <w:vAlign w:val="bottom"/>
            <w:shd w:val="clear" w:color="auto" w:fill="EEEEEE"/>
          </w:tcPr>
          <w:p>
            <w:pPr>
              <w:jc w:val="right"/>
              <w:spacing w:after="0"/>
              <w:rPr>
                <w:sz w:val="20"/>
                <w:szCs w:val="20"/>
                <w:color w:val="auto"/>
              </w:rPr>
            </w:pPr>
            <w:r>
              <w:rPr>
                <w:rFonts w:ascii="Arial" w:cs="Arial" w:eastAsia="Arial" w:hAnsi="Arial"/>
                <w:sz w:val="18"/>
                <w:szCs w:val="18"/>
                <w:color w:val="auto"/>
              </w:rPr>
              <w:t>100,318</w:t>
            </w:r>
          </w:p>
        </w:tc>
        <w:tc>
          <w:tcPr>
            <w:tcW w:w="220" w:type="dxa"/>
            <w:vAlign w:val="bottom"/>
            <w:shd w:val="clear" w:color="auto" w:fill="EEEEEE"/>
          </w:tcPr>
          <w:p>
            <w:pPr>
              <w:spacing w:after="0"/>
              <w:rPr>
                <w:sz w:val="18"/>
                <w:szCs w:val="18"/>
                <w:color w:val="auto"/>
              </w:rPr>
            </w:pPr>
          </w:p>
        </w:tc>
        <w:tc>
          <w:tcPr>
            <w:tcW w:w="320" w:type="dxa"/>
            <w:vAlign w:val="bottom"/>
            <w:shd w:val="clear" w:color="auto" w:fill="EEEEEE"/>
          </w:tcPr>
          <w:p>
            <w:pPr>
              <w:jc w:val="right"/>
              <w:ind w:right="165"/>
              <w:spacing w:after="0"/>
              <w:rPr>
                <w:sz w:val="20"/>
                <w:szCs w:val="20"/>
                <w:color w:val="auto"/>
              </w:rPr>
            </w:pPr>
            <w:r>
              <w:rPr>
                <w:rFonts w:ascii="Arial" w:cs="Arial" w:eastAsia="Arial" w:hAnsi="Arial"/>
                <w:sz w:val="15"/>
                <w:szCs w:val="15"/>
                <w:color w:val="auto"/>
                <w:w w:val="71"/>
              </w:rPr>
              <w:t>$</w:t>
            </w:r>
          </w:p>
        </w:tc>
        <w:tc>
          <w:tcPr>
            <w:tcW w:w="1180" w:type="dxa"/>
            <w:vAlign w:val="bottom"/>
            <w:shd w:val="clear" w:color="auto" w:fill="EEEEEE"/>
          </w:tcPr>
          <w:p>
            <w:pPr>
              <w:jc w:val="right"/>
              <w:spacing w:after="0"/>
              <w:rPr>
                <w:sz w:val="20"/>
                <w:szCs w:val="20"/>
                <w:color w:val="auto"/>
              </w:rPr>
            </w:pPr>
            <w:r>
              <w:rPr>
                <w:rFonts w:ascii="Arial" w:cs="Arial" w:eastAsia="Arial" w:hAnsi="Arial"/>
                <w:sz w:val="18"/>
                <w:szCs w:val="18"/>
                <w:color w:val="auto"/>
              </w:rPr>
              <w:t>-0-</w:t>
            </w:r>
          </w:p>
        </w:tc>
        <w:tc>
          <w:tcPr>
            <w:tcW w:w="140" w:type="dxa"/>
            <w:vAlign w:val="bottom"/>
            <w:shd w:val="clear" w:color="auto" w:fill="EEEEEE"/>
          </w:tcPr>
          <w:p>
            <w:pPr>
              <w:spacing w:after="0"/>
              <w:rPr>
                <w:sz w:val="18"/>
                <w:szCs w:val="18"/>
                <w:color w:val="auto"/>
              </w:rPr>
            </w:pPr>
          </w:p>
        </w:tc>
        <w:tc>
          <w:tcPr>
            <w:tcW w:w="240" w:type="dxa"/>
            <w:vAlign w:val="bottom"/>
            <w:gridSpan w:val="2"/>
            <w:shd w:val="clear" w:color="auto" w:fill="EEEEEE"/>
          </w:tcPr>
          <w:p>
            <w:pPr>
              <w:jc w:val="right"/>
              <w:spacing w:after="0"/>
              <w:rPr>
                <w:sz w:val="20"/>
                <w:szCs w:val="20"/>
                <w:color w:val="auto"/>
              </w:rPr>
            </w:pPr>
            <w:r>
              <w:rPr>
                <w:rFonts w:ascii="Arial" w:cs="Arial" w:eastAsia="Arial" w:hAnsi="Arial"/>
                <w:sz w:val="18"/>
                <w:szCs w:val="18"/>
                <w:color w:val="auto"/>
              </w:rPr>
              <w:t>$</w:t>
            </w:r>
          </w:p>
        </w:tc>
        <w:tc>
          <w:tcPr>
            <w:tcW w:w="1360" w:type="dxa"/>
            <w:vAlign w:val="bottom"/>
            <w:shd w:val="clear" w:color="auto" w:fill="EEEEEE"/>
          </w:tcPr>
          <w:p>
            <w:pPr>
              <w:jc w:val="right"/>
              <w:spacing w:after="0"/>
              <w:rPr>
                <w:sz w:val="20"/>
                <w:szCs w:val="20"/>
                <w:color w:val="auto"/>
              </w:rPr>
            </w:pPr>
            <w:r>
              <w:rPr>
                <w:rFonts w:ascii="Arial" w:cs="Arial" w:eastAsia="Arial" w:hAnsi="Arial"/>
                <w:sz w:val="18"/>
                <w:szCs w:val="18"/>
                <w:color w:val="auto"/>
              </w:rPr>
              <w:t>100,318</w:t>
            </w:r>
          </w:p>
        </w:tc>
        <w:tc>
          <w:tcPr>
            <w:tcW w:w="120" w:type="dxa"/>
            <w:vAlign w:val="bottom"/>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63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vMerge w:val="continue"/>
          </w:tcPr>
          <w:p>
            <w:pPr>
              <w:spacing w:after="0"/>
              <w:rPr>
                <w:sz w:val="19"/>
                <w:szCs w:val="19"/>
                <w:color w:val="auto"/>
              </w:rPr>
            </w:pPr>
          </w:p>
        </w:tc>
        <w:tc>
          <w:tcPr>
            <w:tcW w:w="6300" w:type="dxa"/>
            <w:vAlign w:val="bottom"/>
            <w:tcBorders>
              <w:bottom w:val="single" w:sz="8" w:color="EEEEEE"/>
            </w:tcBorders>
            <w:shd w:val="clear" w:color="auto" w:fill="EEEEEE"/>
          </w:tcPr>
          <w:p>
            <w:pPr>
              <w:spacing w:after="0"/>
              <w:rPr>
                <w:sz w:val="20"/>
                <w:szCs w:val="20"/>
                <w:color w:val="auto"/>
              </w:rPr>
            </w:pPr>
            <w:r>
              <w:rPr>
                <w:rFonts w:ascii="Arial" w:cs="Arial" w:eastAsia="Arial" w:hAnsi="Arial"/>
                <w:sz w:val="18"/>
                <w:szCs w:val="18"/>
                <w:b w:val="1"/>
                <w:bCs w:val="1"/>
                <w:color w:val="auto"/>
              </w:rPr>
              <w:t>Operating Expenses</w:t>
            </w:r>
          </w:p>
        </w:tc>
        <w:tc>
          <w:tcPr>
            <w:tcW w:w="340" w:type="dxa"/>
            <w:vAlign w:val="bottom"/>
            <w:tcBorders>
              <w:bottom w:val="single" w:sz="8" w:color="auto"/>
            </w:tcBorders>
            <w:shd w:val="clear" w:color="auto" w:fill="EEEEEE"/>
          </w:tcPr>
          <w:p>
            <w:pPr>
              <w:spacing w:after="0"/>
              <w:rPr>
                <w:sz w:val="19"/>
                <w:szCs w:val="19"/>
                <w:color w:val="auto"/>
              </w:rPr>
            </w:pPr>
          </w:p>
        </w:tc>
        <w:tc>
          <w:tcPr>
            <w:tcW w:w="1180" w:type="dxa"/>
            <w:vAlign w:val="bottom"/>
            <w:tcBorders>
              <w:bottom w:val="single" w:sz="8" w:color="auto"/>
            </w:tcBorders>
            <w:shd w:val="clear" w:color="auto" w:fill="EEEEEE"/>
          </w:tcPr>
          <w:p>
            <w:pPr>
              <w:jc w:val="right"/>
              <w:spacing w:after="0"/>
              <w:rPr>
                <w:sz w:val="20"/>
                <w:szCs w:val="20"/>
                <w:color w:val="auto"/>
              </w:rPr>
            </w:pPr>
            <w:r>
              <w:rPr>
                <w:rFonts w:ascii="Arial" w:cs="Arial" w:eastAsia="Arial" w:hAnsi="Arial"/>
                <w:sz w:val="18"/>
                <w:szCs w:val="18"/>
                <w:color w:val="auto"/>
              </w:rPr>
              <w:t>456,259</w:t>
            </w:r>
          </w:p>
        </w:tc>
        <w:tc>
          <w:tcPr>
            <w:tcW w:w="220" w:type="dxa"/>
            <w:vAlign w:val="bottom"/>
            <w:tcBorders>
              <w:bottom w:val="single" w:sz="8" w:color="EEEEEE"/>
            </w:tcBorders>
            <w:shd w:val="clear" w:color="auto" w:fill="EEEEEE"/>
          </w:tcPr>
          <w:p>
            <w:pPr>
              <w:spacing w:after="0"/>
              <w:rPr>
                <w:sz w:val="19"/>
                <w:szCs w:val="19"/>
                <w:color w:val="auto"/>
              </w:rPr>
            </w:pPr>
          </w:p>
        </w:tc>
        <w:tc>
          <w:tcPr>
            <w:tcW w:w="320" w:type="dxa"/>
            <w:vAlign w:val="bottom"/>
            <w:tcBorders>
              <w:bottom w:val="single" w:sz="8" w:color="auto"/>
            </w:tcBorders>
            <w:shd w:val="clear" w:color="auto" w:fill="EEEEEE"/>
          </w:tcPr>
          <w:p>
            <w:pPr>
              <w:spacing w:after="0"/>
              <w:rPr>
                <w:sz w:val="19"/>
                <w:szCs w:val="19"/>
                <w:color w:val="auto"/>
              </w:rPr>
            </w:pPr>
          </w:p>
        </w:tc>
        <w:tc>
          <w:tcPr>
            <w:tcW w:w="1180" w:type="dxa"/>
            <w:vAlign w:val="bottom"/>
            <w:tcBorders>
              <w:bottom w:val="single" w:sz="8" w:color="auto"/>
            </w:tcBorders>
            <w:shd w:val="clear" w:color="auto" w:fill="EEEEEE"/>
          </w:tcPr>
          <w:p>
            <w:pPr>
              <w:jc w:val="right"/>
              <w:spacing w:after="0"/>
              <w:rPr>
                <w:sz w:val="20"/>
                <w:szCs w:val="20"/>
                <w:color w:val="auto"/>
              </w:rPr>
            </w:pPr>
            <w:r>
              <w:rPr>
                <w:rFonts w:ascii="Arial" w:cs="Arial" w:eastAsia="Arial" w:hAnsi="Arial"/>
                <w:sz w:val="18"/>
                <w:szCs w:val="18"/>
                <w:color w:val="auto"/>
              </w:rPr>
              <w:t>184,311</w:t>
            </w:r>
          </w:p>
        </w:tc>
        <w:tc>
          <w:tcPr>
            <w:tcW w:w="140" w:type="dxa"/>
            <w:vAlign w:val="bottom"/>
            <w:tcBorders>
              <w:bottom w:val="single" w:sz="8" w:color="EEEEEE"/>
            </w:tcBorders>
            <w:shd w:val="clear" w:color="auto" w:fill="EEEEEE"/>
          </w:tcPr>
          <w:p>
            <w:pPr>
              <w:spacing w:after="0"/>
              <w:rPr>
                <w:sz w:val="19"/>
                <w:szCs w:val="19"/>
                <w:color w:val="auto"/>
              </w:rPr>
            </w:pPr>
          </w:p>
        </w:tc>
        <w:tc>
          <w:tcPr>
            <w:tcW w:w="80" w:type="dxa"/>
            <w:vAlign w:val="bottom"/>
            <w:tcBorders>
              <w:bottom w:val="single" w:sz="8" w:color="EEEEEE"/>
            </w:tcBorders>
            <w:shd w:val="clear" w:color="auto" w:fill="EEEEEE"/>
          </w:tcPr>
          <w:p>
            <w:pPr>
              <w:spacing w:after="0"/>
              <w:rPr>
                <w:sz w:val="19"/>
                <w:szCs w:val="19"/>
                <w:color w:val="auto"/>
              </w:rPr>
            </w:pPr>
          </w:p>
        </w:tc>
        <w:tc>
          <w:tcPr>
            <w:tcW w:w="160" w:type="dxa"/>
            <w:vAlign w:val="bottom"/>
            <w:tcBorders>
              <w:bottom w:val="single" w:sz="8" w:color="auto"/>
            </w:tcBorders>
            <w:shd w:val="clear" w:color="auto" w:fill="EEEEEE"/>
          </w:tcPr>
          <w:p>
            <w:pPr>
              <w:spacing w:after="0"/>
              <w:rPr>
                <w:sz w:val="19"/>
                <w:szCs w:val="19"/>
                <w:color w:val="auto"/>
              </w:rPr>
            </w:pPr>
          </w:p>
        </w:tc>
        <w:tc>
          <w:tcPr>
            <w:tcW w:w="1360" w:type="dxa"/>
            <w:vAlign w:val="bottom"/>
            <w:tcBorders>
              <w:bottom w:val="single" w:sz="8" w:color="auto"/>
            </w:tcBorders>
            <w:shd w:val="clear" w:color="auto" w:fill="EEEEEE"/>
          </w:tcPr>
          <w:p>
            <w:pPr>
              <w:jc w:val="right"/>
              <w:spacing w:after="0"/>
              <w:rPr>
                <w:sz w:val="20"/>
                <w:szCs w:val="20"/>
                <w:color w:val="auto"/>
              </w:rPr>
            </w:pPr>
            <w:r>
              <w:rPr>
                <w:rFonts w:ascii="Arial" w:cs="Arial" w:eastAsia="Arial" w:hAnsi="Arial"/>
                <w:sz w:val="18"/>
                <w:szCs w:val="18"/>
                <w:color w:val="auto"/>
              </w:rPr>
              <w:t>640,570</w:t>
            </w:r>
          </w:p>
        </w:tc>
        <w:tc>
          <w:tcPr>
            <w:tcW w:w="120" w:type="dxa"/>
            <w:vAlign w:val="bottom"/>
            <w:tcBorders>
              <w:bottom w:val="single" w:sz="8" w:color="EEEEEE"/>
            </w:tcBorders>
            <w:shd w:val="clear" w:color="auto" w:fill="EEEEEE"/>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63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300" w:type="dxa"/>
            <w:vAlign w:val="bottom"/>
            <w:shd w:val="clear" w:color="auto" w:fill="EEEEEE"/>
          </w:tcPr>
          <w:p>
            <w:pPr>
              <w:spacing w:after="0"/>
              <w:rPr>
                <w:sz w:val="20"/>
                <w:szCs w:val="20"/>
                <w:color w:val="auto"/>
              </w:rPr>
            </w:pPr>
            <w:r>
              <w:rPr>
                <w:rFonts w:ascii="Arial" w:cs="Arial" w:eastAsia="Arial" w:hAnsi="Arial"/>
                <w:sz w:val="18"/>
                <w:szCs w:val="18"/>
                <w:b w:val="1"/>
                <w:bCs w:val="1"/>
                <w:color w:val="auto"/>
              </w:rPr>
              <w:t>Net Operating Loss</w:t>
            </w:r>
          </w:p>
        </w:tc>
        <w:tc>
          <w:tcPr>
            <w:tcW w:w="340" w:type="dxa"/>
            <w:vAlign w:val="bottom"/>
            <w:shd w:val="clear" w:color="auto" w:fill="EEEEEE"/>
          </w:tcPr>
          <w:p>
            <w:pPr>
              <w:spacing w:after="0"/>
              <w:rPr>
                <w:sz w:val="18"/>
                <w:szCs w:val="18"/>
                <w:color w:val="auto"/>
              </w:rPr>
            </w:pPr>
          </w:p>
        </w:tc>
        <w:tc>
          <w:tcPr>
            <w:tcW w:w="1400" w:type="dxa"/>
            <w:vAlign w:val="bottom"/>
            <w:gridSpan w:val="2"/>
            <w:shd w:val="clear" w:color="auto" w:fill="EEEEEE"/>
          </w:tcPr>
          <w:p>
            <w:pPr>
              <w:jc w:val="right"/>
              <w:ind w:right="160"/>
              <w:spacing w:after="0"/>
              <w:rPr>
                <w:sz w:val="20"/>
                <w:szCs w:val="20"/>
                <w:color w:val="auto"/>
              </w:rPr>
            </w:pPr>
            <w:r>
              <w:rPr>
                <w:rFonts w:ascii="Arial" w:cs="Arial" w:eastAsia="Arial" w:hAnsi="Arial"/>
                <w:sz w:val="18"/>
                <w:szCs w:val="18"/>
                <w:color w:val="auto"/>
              </w:rPr>
              <w:t>(355,941)</w:t>
            </w:r>
          </w:p>
        </w:tc>
        <w:tc>
          <w:tcPr>
            <w:tcW w:w="320" w:type="dxa"/>
            <w:vAlign w:val="bottom"/>
            <w:shd w:val="clear" w:color="auto" w:fill="EEEEEE"/>
          </w:tcPr>
          <w:p>
            <w:pPr>
              <w:spacing w:after="0"/>
              <w:rPr>
                <w:sz w:val="18"/>
                <w:szCs w:val="18"/>
                <w:color w:val="auto"/>
              </w:rPr>
            </w:pPr>
          </w:p>
        </w:tc>
        <w:tc>
          <w:tcPr>
            <w:tcW w:w="1320" w:type="dxa"/>
            <w:vAlign w:val="bottom"/>
            <w:gridSpan w:val="2"/>
            <w:shd w:val="clear" w:color="auto" w:fill="EEEEEE"/>
          </w:tcPr>
          <w:p>
            <w:pPr>
              <w:jc w:val="right"/>
              <w:ind w:right="80"/>
              <w:spacing w:after="0"/>
              <w:rPr>
                <w:sz w:val="20"/>
                <w:szCs w:val="20"/>
                <w:color w:val="auto"/>
              </w:rPr>
            </w:pPr>
            <w:r>
              <w:rPr>
                <w:rFonts w:ascii="Arial" w:cs="Arial" w:eastAsia="Arial" w:hAnsi="Arial"/>
                <w:sz w:val="18"/>
                <w:szCs w:val="18"/>
                <w:color w:val="auto"/>
              </w:rPr>
              <w:t>(184,311)</w:t>
            </w:r>
          </w:p>
        </w:tc>
        <w:tc>
          <w:tcPr>
            <w:tcW w:w="80" w:type="dxa"/>
            <w:vAlign w:val="bottom"/>
            <w:shd w:val="clear" w:color="auto" w:fill="EEEEEE"/>
          </w:tcPr>
          <w:p>
            <w:pPr>
              <w:spacing w:after="0"/>
              <w:rPr>
                <w:sz w:val="18"/>
                <w:szCs w:val="18"/>
                <w:color w:val="auto"/>
              </w:rPr>
            </w:pPr>
          </w:p>
        </w:tc>
        <w:tc>
          <w:tcPr>
            <w:tcW w:w="160" w:type="dxa"/>
            <w:vAlign w:val="bottom"/>
            <w:shd w:val="clear" w:color="auto" w:fill="EEEEEE"/>
          </w:tcPr>
          <w:p>
            <w:pPr>
              <w:spacing w:after="0"/>
              <w:rPr>
                <w:sz w:val="18"/>
                <w:szCs w:val="18"/>
                <w:color w:val="auto"/>
              </w:rPr>
            </w:pPr>
          </w:p>
        </w:tc>
        <w:tc>
          <w:tcPr>
            <w:tcW w:w="1480" w:type="dxa"/>
            <w:vAlign w:val="bottom"/>
            <w:gridSpan w:val="2"/>
            <w:shd w:val="clear" w:color="auto" w:fill="EEEEEE"/>
          </w:tcPr>
          <w:p>
            <w:pPr>
              <w:jc w:val="right"/>
              <w:ind w:right="60"/>
              <w:spacing w:after="0"/>
              <w:rPr>
                <w:sz w:val="20"/>
                <w:szCs w:val="20"/>
                <w:color w:val="auto"/>
              </w:rPr>
            </w:pPr>
            <w:r>
              <w:rPr>
                <w:rFonts w:ascii="Arial" w:cs="Arial" w:eastAsia="Arial" w:hAnsi="Arial"/>
                <w:sz w:val="18"/>
                <w:szCs w:val="18"/>
                <w:color w:val="auto"/>
              </w:rPr>
              <w:t>(540,252)</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63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vMerge w:val="continue"/>
          </w:tcPr>
          <w:p>
            <w:pPr>
              <w:spacing w:after="0"/>
              <w:rPr>
                <w:sz w:val="19"/>
                <w:szCs w:val="19"/>
                <w:color w:val="auto"/>
              </w:rPr>
            </w:pPr>
          </w:p>
        </w:tc>
        <w:tc>
          <w:tcPr>
            <w:tcW w:w="6300" w:type="dxa"/>
            <w:vAlign w:val="bottom"/>
            <w:shd w:val="clear" w:color="auto" w:fill="EEEEEE"/>
          </w:tcPr>
          <w:p>
            <w:pPr>
              <w:spacing w:after="0"/>
              <w:rPr>
                <w:sz w:val="20"/>
                <w:szCs w:val="20"/>
                <w:color w:val="auto"/>
              </w:rPr>
            </w:pPr>
            <w:r>
              <w:rPr>
                <w:rFonts w:ascii="Arial" w:cs="Arial" w:eastAsia="Arial" w:hAnsi="Arial"/>
                <w:sz w:val="18"/>
                <w:szCs w:val="18"/>
                <w:b w:val="1"/>
                <w:bCs w:val="1"/>
                <w:color w:val="auto"/>
              </w:rPr>
              <w:t>Other Expenses</w:t>
            </w:r>
          </w:p>
        </w:tc>
        <w:tc>
          <w:tcPr>
            <w:tcW w:w="340" w:type="dxa"/>
            <w:vAlign w:val="bottom"/>
            <w:shd w:val="clear" w:color="auto" w:fill="EEEEEE"/>
          </w:tcPr>
          <w:p>
            <w:pPr>
              <w:spacing w:after="0"/>
              <w:rPr>
                <w:sz w:val="19"/>
                <w:szCs w:val="19"/>
                <w:color w:val="auto"/>
              </w:rPr>
            </w:pPr>
          </w:p>
        </w:tc>
        <w:tc>
          <w:tcPr>
            <w:tcW w:w="1400" w:type="dxa"/>
            <w:vAlign w:val="bottom"/>
            <w:gridSpan w:val="2"/>
            <w:shd w:val="clear" w:color="auto" w:fill="EEEEEE"/>
          </w:tcPr>
          <w:p>
            <w:pPr>
              <w:jc w:val="right"/>
              <w:ind w:right="160"/>
              <w:spacing w:after="0"/>
              <w:rPr>
                <w:sz w:val="20"/>
                <w:szCs w:val="20"/>
                <w:color w:val="auto"/>
              </w:rPr>
            </w:pPr>
            <w:r>
              <w:rPr>
                <w:rFonts w:ascii="Arial" w:cs="Arial" w:eastAsia="Arial" w:hAnsi="Arial"/>
                <w:sz w:val="18"/>
                <w:szCs w:val="18"/>
                <w:color w:val="auto"/>
              </w:rPr>
              <w:t>(5,525)</w:t>
            </w:r>
          </w:p>
        </w:tc>
        <w:tc>
          <w:tcPr>
            <w:tcW w:w="320" w:type="dxa"/>
            <w:vAlign w:val="bottom"/>
            <w:shd w:val="clear" w:color="auto" w:fill="EEEEEE"/>
          </w:tcPr>
          <w:p>
            <w:pPr>
              <w:spacing w:after="0"/>
              <w:rPr>
                <w:sz w:val="19"/>
                <w:szCs w:val="19"/>
                <w:color w:val="auto"/>
              </w:rPr>
            </w:pPr>
          </w:p>
        </w:tc>
        <w:tc>
          <w:tcPr>
            <w:tcW w:w="1180" w:type="dxa"/>
            <w:vAlign w:val="bottom"/>
            <w:shd w:val="clear" w:color="auto" w:fill="EEEEEE"/>
          </w:tcPr>
          <w:p>
            <w:pPr>
              <w:jc w:val="right"/>
              <w:spacing w:after="0"/>
              <w:rPr>
                <w:sz w:val="20"/>
                <w:szCs w:val="20"/>
                <w:color w:val="auto"/>
              </w:rPr>
            </w:pPr>
            <w:r>
              <w:rPr>
                <w:rFonts w:ascii="Arial" w:cs="Arial" w:eastAsia="Arial" w:hAnsi="Arial"/>
                <w:sz w:val="18"/>
                <w:szCs w:val="18"/>
                <w:color w:val="auto"/>
              </w:rPr>
              <w:t>-0-</w:t>
            </w:r>
          </w:p>
        </w:tc>
        <w:tc>
          <w:tcPr>
            <w:tcW w:w="140" w:type="dxa"/>
            <w:vAlign w:val="bottom"/>
            <w:shd w:val="clear" w:color="auto" w:fill="EEEEEE"/>
          </w:tcPr>
          <w:p>
            <w:pPr>
              <w:spacing w:after="0"/>
              <w:rPr>
                <w:sz w:val="19"/>
                <w:szCs w:val="19"/>
                <w:color w:val="auto"/>
              </w:rPr>
            </w:pPr>
          </w:p>
        </w:tc>
        <w:tc>
          <w:tcPr>
            <w:tcW w:w="80" w:type="dxa"/>
            <w:vAlign w:val="bottom"/>
            <w:shd w:val="clear" w:color="auto" w:fill="EEEEEE"/>
          </w:tcPr>
          <w:p>
            <w:pPr>
              <w:spacing w:after="0"/>
              <w:rPr>
                <w:sz w:val="19"/>
                <w:szCs w:val="19"/>
                <w:color w:val="auto"/>
              </w:rPr>
            </w:pPr>
          </w:p>
        </w:tc>
        <w:tc>
          <w:tcPr>
            <w:tcW w:w="160" w:type="dxa"/>
            <w:vAlign w:val="bottom"/>
            <w:shd w:val="clear" w:color="auto" w:fill="EEEEEE"/>
          </w:tcPr>
          <w:p>
            <w:pPr>
              <w:spacing w:after="0"/>
              <w:rPr>
                <w:sz w:val="19"/>
                <w:szCs w:val="19"/>
                <w:color w:val="auto"/>
              </w:rPr>
            </w:pPr>
          </w:p>
        </w:tc>
        <w:tc>
          <w:tcPr>
            <w:tcW w:w="1480" w:type="dxa"/>
            <w:vAlign w:val="bottom"/>
            <w:gridSpan w:val="2"/>
            <w:shd w:val="clear" w:color="auto" w:fill="EEEEEE"/>
          </w:tcPr>
          <w:p>
            <w:pPr>
              <w:jc w:val="right"/>
              <w:ind w:right="60"/>
              <w:spacing w:after="0"/>
              <w:rPr>
                <w:sz w:val="20"/>
                <w:szCs w:val="20"/>
                <w:color w:val="auto"/>
              </w:rPr>
            </w:pPr>
            <w:r>
              <w:rPr>
                <w:rFonts w:ascii="Arial" w:cs="Arial" w:eastAsia="Arial" w:hAnsi="Arial"/>
                <w:sz w:val="18"/>
                <w:szCs w:val="18"/>
                <w:color w:val="auto"/>
              </w:rPr>
              <w:t>(5,525)</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6300" w:type="dxa"/>
            <w:vAlign w:val="bottom"/>
            <w:tcBorders>
              <w:top w:val="single" w:sz="8" w:color="EEEEEE"/>
            </w:tcBorders>
          </w:tcPr>
          <w:p>
            <w:pPr>
              <w:spacing w:after="0"/>
              <w:rPr>
                <w:sz w:val="18"/>
                <w:szCs w:val="18"/>
                <w:color w:val="auto"/>
              </w:rPr>
            </w:pPr>
          </w:p>
        </w:tc>
        <w:tc>
          <w:tcPr>
            <w:tcW w:w="340" w:type="dxa"/>
            <w:vAlign w:val="bottom"/>
            <w:tcBorders>
              <w:top w:val="single" w:sz="8" w:color="auto"/>
            </w:tcBorders>
          </w:tcPr>
          <w:p>
            <w:pPr>
              <w:spacing w:after="0"/>
              <w:rPr>
                <w:sz w:val="18"/>
                <w:szCs w:val="18"/>
                <w:color w:val="auto"/>
              </w:rPr>
            </w:pPr>
          </w:p>
        </w:tc>
        <w:tc>
          <w:tcPr>
            <w:tcW w:w="1180" w:type="dxa"/>
            <w:vAlign w:val="bottom"/>
            <w:tcBorders>
              <w:top w:val="single" w:sz="8" w:color="auto"/>
            </w:tcBorders>
          </w:tcPr>
          <w:p>
            <w:pPr>
              <w:spacing w:after="0"/>
              <w:rPr>
                <w:sz w:val="18"/>
                <w:szCs w:val="18"/>
                <w:color w:val="auto"/>
              </w:rPr>
            </w:pPr>
          </w:p>
        </w:tc>
        <w:tc>
          <w:tcPr>
            <w:tcW w:w="220" w:type="dxa"/>
            <w:vAlign w:val="bottom"/>
            <w:tcBorders>
              <w:top w:val="single" w:sz="8" w:color="EEEEEE"/>
            </w:tcBorders>
          </w:tcPr>
          <w:p>
            <w:pPr>
              <w:spacing w:after="0"/>
              <w:rPr>
                <w:sz w:val="18"/>
                <w:szCs w:val="18"/>
                <w:color w:val="auto"/>
              </w:rPr>
            </w:pPr>
          </w:p>
        </w:tc>
        <w:tc>
          <w:tcPr>
            <w:tcW w:w="320" w:type="dxa"/>
            <w:vAlign w:val="bottom"/>
            <w:tcBorders>
              <w:top w:val="single" w:sz="8" w:color="auto"/>
            </w:tcBorders>
          </w:tcPr>
          <w:p>
            <w:pPr>
              <w:spacing w:after="0"/>
              <w:rPr>
                <w:sz w:val="18"/>
                <w:szCs w:val="18"/>
                <w:color w:val="auto"/>
              </w:rPr>
            </w:pPr>
          </w:p>
        </w:tc>
        <w:tc>
          <w:tcPr>
            <w:tcW w:w="1180" w:type="dxa"/>
            <w:vAlign w:val="bottom"/>
            <w:tcBorders>
              <w:top w:val="single" w:sz="8" w:color="auto"/>
            </w:tcBorders>
          </w:tcPr>
          <w:p>
            <w:pPr>
              <w:spacing w:after="0"/>
              <w:rPr>
                <w:sz w:val="18"/>
                <w:szCs w:val="18"/>
                <w:color w:val="auto"/>
              </w:rPr>
            </w:pPr>
          </w:p>
        </w:tc>
        <w:tc>
          <w:tcPr>
            <w:tcW w:w="140" w:type="dxa"/>
            <w:vAlign w:val="bottom"/>
            <w:tcBorders>
              <w:top w:val="single" w:sz="8" w:color="EEEEEE"/>
            </w:tcBorders>
          </w:tcPr>
          <w:p>
            <w:pPr>
              <w:spacing w:after="0"/>
              <w:rPr>
                <w:sz w:val="18"/>
                <w:szCs w:val="18"/>
                <w:color w:val="auto"/>
              </w:rPr>
            </w:pPr>
          </w:p>
        </w:tc>
        <w:tc>
          <w:tcPr>
            <w:tcW w:w="80" w:type="dxa"/>
            <w:vAlign w:val="bottom"/>
            <w:tcBorders>
              <w:top w:val="single" w:sz="8" w:color="EEEEEE"/>
            </w:tcBorders>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1360" w:type="dxa"/>
            <w:vAlign w:val="bottom"/>
            <w:tcBorders>
              <w:top w:val="single" w:sz="8" w:color="auto"/>
            </w:tcBorders>
          </w:tcPr>
          <w:p>
            <w:pPr>
              <w:spacing w:after="0"/>
              <w:rPr>
                <w:sz w:val="18"/>
                <w:szCs w:val="18"/>
                <w:color w:val="auto"/>
              </w:rPr>
            </w:pPr>
          </w:p>
        </w:tc>
        <w:tc>
          <w:tcPr>
            <w:tcW w:w="120" w:type="dxa"/>
            <w:vAlign w:val="bottom"/>
            <w:tcBorders>
              <w:top w:val="single" w:sz="8" w:color="EEEEEE"/>
            </w:tcBorders>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300" w:type="dxa"/>
            <w:vAlign w:val="bottom"/>
            <w:shd w:val="clear" w:color="auto" w:fill="EEEEEE"/>
          </w:tcPr>
          <w:p>
            <w:pPr>
              <w:spacing w:after="0"/>
              <w:rPr>
                <w:sz w:val="20"/>
                <w:szCs w:val="20"/>
                <w:color w:val="auto"/>
              </w:rPr>
            </w:pPr>
            <w:r>
              <w:rPr>
                <w:rFonts w:ascii="Arial" w:cs="Arial" w:eastAsia="Arial" w:hAnsi="Arial"/>
                <w:sz w:val="18"/>
                <w:szCs w:val="18"/>
                <w:b w:val="1"/>
                <w:bCs w:val="1"/>
                <w:color w:val="auto"/>
              </w:rPr>
              <w:t>Net Loss Before Income Taxes</w:t>
            </w:r>
          </w:p>
        </w:tc>
        <w:tc>
          <w:tcPr>
            <w:tcW w:w="340" w:type="dxa"/>
            <w:vAlign w:val="bottom"/>
            <w:shd w:val="clear" w:color="auto" w:fill="EEEEEE"/>
          </w:tcPr>
          <w:p>
            <w:pPr>
              <w:spacing w:after="0"/>
              <w:rPr>
                <w:sz w:val="18"/>
                <w:szCs w:val="18"/>
                <w:color w:val="auto"/>
              </w:rPr>
            </w:pPr>
          </w:p>
        </w:tc>
        <w:tc>
          <w:tcPr>
            <w:tcW w:w="1400" w:type="dxa"/>
            <w:vAlign w:val="bottom"/>
            <w:gridSpan w:val="2"/>
            <w:shd w:val="clear" w:color="auto" w:fill="EEEEEE"/>
          </w:tcPr>
          <w:p>
            <w:pPr>
              <w:jc w:val="right"/>
              <w:ind w:right="160"/>
              <w:spacing w:after="0"/>
              <w:rPr>
                <w:sz w:val="20"/>
                <w:szCs w:val="20"/>
                <w:color w:val="auto"/>
              </w:rPr>
            </w:pPr>
            <w:r>
              <w:rPr>
                <w:rFonts w:ascii="Arial" w:cs="Arial" w:eastAsia="Arial" w:hAnsi="Arial"/>
                <w:sz w:val="18"/>
                <w:szCs w:val="18"/>
                <w:color w:val="auto"/>
              </w:rPr>
              <w:t>(361,466)</w:t>
            </w:r>
          </w:p>
        </w:tc>
        <w:tc>
          <w:tcPr>
            <w:tcW w:w="320" w:type="dxa"/>
            <w:vAlign w:val="bottom"/>
            <w:shd w:val="clear" w:color="auto" w:fill="EEEEEE"/>
          </w:tcPr>
          <w:p>
            <w:pPr>
              <w:spacing w:after="0"/>
              <w:rPr>
                <w:sz w:val="18"/>
                <w:szCs w:val="18"/>
                <w:color w:val="auto"/>
              </w:rPr>
            </w:pPr>
          </w:p>
        </w:tc>
        <w:tc>
          <w:tcPr>
            <w:tcW w:w="1320" w:type="dxa"/>
            <w:vAlign w:val="bottom"/>
            <w:gridSpan w:val="2"/>
            <w:shd w:val="clear" w:color="auto" w:fill="EEEEEE"/>
          </w:tcPr>
          <w:p>
            <w:pPr>
              <w:jc w:val="right"/>
              <w:ind w:right="80"/>
              <w:spacing w:after="0"/>
              <w:rPr>
                <w:sz w:val="20"/>
                <w:szCs w:val="20"/>
                <w:color w:val="auto"/>
              </w:rPr>
            </w:pPr>
            <w:r>
              <w:rPr>
                <w:rFonts w:ascii="Arial" w:cs="Arial" w:eastAsia="Arial" w:hAnsi="Arial"/>
                <w:sz w:val="18"/>
                <w:szCs w:val="18"/>
                <w:color w:val="auto"/>
              </w:rPr>
              <w:t>(184,311)</w:t>
            </w:r>
          </w:p>
        </w:tc>
        <w:tc>
          <w:tcPr>
            <w:tcW w:w="80" w:type="dxa"/>
            <w:vAlign w:val="bottom"/>
            <w:shd w:val="clear" w:color="auto" w:fill="EEEEEE"/>
          </w:tcPr>
          <w:p>
            <w:pPr>
              <w:spacing w:after="0"/>
              <w:rPr>
                <w:sz w:val="18"/>
                <w:szCs w:val="18"/>
                <w:color w:val="auto"/>
              </w:rPr>
            </w:pPr>
          </w:p>
        </w:tc>
        <w:tc>
          <w:tcPr>
            <w:tcW w:w="160" w:type="dxa"/>
            <w:vAlign w:val="bottom"/>
            <w:shd w:val="clear" w:color="auto" w:fill="EEEEEE"/>
          </w:tcPr>
          <w:p>
            <w:pPr>
              <w:spacing w:after="0"/>
              <w:rPr>
                <w:sz w:val="18"/>
                <w:szCs w:val="18"/>
                <w:color w:val="auto"/>
              </w:rPr>
            </w:pPr>
          </w:p>
        </w:tc>
        <w:tc>
          <w:tcPr>
            <w:tcW w:w="1480" w:type="dxa"/>
            <w:vAlign w:val="bottom"/>
            <w:gridSpan w:val="2"/>
            <w:shd w:val="clear" w:color="auto" w:fill="EEEEEE"/>
          </w:tcPr>
          <w:p>
            <w:pPr>
              <w:jc w:val="right"/>
              <w:ind w:right="60"/>
              <w:spacing w:after="0"/>
              <w:rPr>
                <w:sz w:val="20"/>
                <w:szCs w:val="20"/>
                <w:color w:val="auto"/>
              </w:rPr>
            </w:pPr>
            <w:r>
              <w:rPr>
                <w:rFonts w:ascii="Arial" w:cs="Arial" w:eastAsia="Arial" w:hAnsi="Arial"/>
                <w:sz w:val="18"/>
                <w:szCs w:val="18"/>
                <w:color w:val="auto"/>
              </w:rPr>
              <w:t>(545,777)</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63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vMerge w:val="continue"/>
          </w:tcPr>
          <w:p>
            <w:pPr>
              <w:spacing w:after="0"/>
              <w:rPr>
                <w:sz w:val="19"/>
                <w:szCs w:val="19"/>
                <w:color w:val="auto"/>
              </w:rPr>
            </w:pPr>
          </w:p>
        </w:tc>
        <w:tc>
          <w:tcPr>
            <w:tcW w:w="6300" w:type="dxa"/>
            <w:vAlign w:val="bottom"/>
            <w:tcBorders>
              <w:bottom w:val="single" w:sz="8" w:color="EEEEEE"/>
            </w:tcBorders>
            <w:shd w:val="clear" w:color="auto" w:fill="EEEEEE"/>
          </w:tcPr>
          <w:p>
            <w:pPr>
              <w:spacing w:after="0"/>
              <w:rPr>
                <w:sz w:val="20"/>
                <w:szCs w:val="20"/>
                <w:color w:val="auto"/>
              </w:rPr>
            </w:pPr>
            <w:r>
              <w:rPr>
                <w:rFonts w:ascii="Arial" w:cs="Arial" w:eastAsia="Arial" w:hAnsi="Arial"/>
                <w:sz w:val="18"/>
                <w:szCs w:val="18"/>
                <w:b w:val="1"/>
                <w:bCs w:val="1"/>
                <w:color w:val="auto"/>
              </w:rPr>
              <w:t>Provision for Income Taxes</w:t>
            </w:r>
          </w:p>
        </w:tc>
        <w:tc>
          <w:tcPr>
            <w:tcW w:w="340" w:type="dxa"/>
            <w:vAlign w:val="bottom"/>
            <w:tcBorders>
              <w:bottom w:val="single" w:sz="8" w:color="auto"/>
            </w:tcBorders>
            <w:shd w:val="clear" w:color="auto" w:fill="EEEEEE"/>
          </w:tcPr>
          <w:p>
            <w:pPr>
              <w:spacing w:after="0"/>
              <w:rPr>
                <w:sz w:val="19"/>
                <w:szCs w:val="19"/>
                <w:color w:val="auto"/>
              </w:rPr>
            </w:pPr>
          </w:p>
        </w:tc>
        <w:tc>
          <w:tcPr>
            <w:tcW w:w="1180" w:type="dxa"/>
            <w:vAlign w:val="bottom"/>
            <w:tcBorders>
              <w:bottom w:val="single" w:sz="8" w:color="auto"/>
            </w:tcBorders>
            <w:shd w:val="clear" w:color="auto" w:fill="EEEEEE"/>
          </w:tcPr>
          <w:p>
            <w:pPr>
              <w:jc w:val="right"/>
              <w:spacing w:after="0"/>
              <w:rPr>
                <w:sz w:val="20"/>
                <w:szCs w:val="20"/>
                <w:color w:val="auto"/>
              </w:rPr>
            </w:pPr>
            <w:r>
              <w:rPr>
                <w:rFonts w:ascii="Arial" w:cs="Arial" w:eastAsia="Arial" w:hAnsi="Arial"/>
                <w:sz w:val="18"/>
                <w:szCs w:val="18"/>
                <w:color w:val="auto"/>
              </w:rPr>
              <w:t>-0-</w:t>
            </w:r>
          </w:p>
        </w:tc>
        <w:tc>
          <w:tcPr>
            <w:tcW w:w="220" w:type="dxa"/>
            <w:vAlign w:val="bottom"/>
            <w:tcBorders>
              <w:bottom w:val="single" w:sz="8" w:color="EEEEEE"/>
            </w:tcBorders>
            <w:shd w:val="clear" w:color="auto" w:fill="EEEEEE"/>
          </w:tcPr>
          <w:p>
            <w:pPr>
              <w:spacing w:after="0"/>
              <w:rPr>
                <w:sz w:val="19"/>
                <w:szCs w:val="19"/>
                <w:color w:val="auto"/>
              </w:rPr>
            </w:pPr>
          </w:p>
        </w:tc>
        <w:tc>
          <w:tcPr>
            <w:tcW w:w="320" w:type="dxa"/>
            <w:vAlign w:val="bottom"/>
            <w:tcBorders>
              <w:bottom w:val="single" w:sz="8" w:color="auto"/>
            </w:tcBorders>
            <w:shd w:val="clear" w:color="auto" w:fill="EEEEEE"/>
          </w:tcPr>
          <w:p>
            <w:pPr>
              <w:spacing w:after="0"/>
              <w:rPr>
                <w:sz w:val="19"/>
                <w:szCs w:val="19"/>
                <w:color w:val="auto"/>
              </w:rPr>
            </w:pPr>
          </w:p>
        </w:tc>
        <w:tc>
          <w:tcPr>
            <w:tcW w:w="1180" w:type="dxa"/>
            <w:vAlign w:val="bottom"/>
            <w:tcBorders>
              <w:bottom w:val="single" w:sz="8" w:color="auto"/>
            </w:tcBorders>
            <w:shd w:val="clear" w:color="auto" w:fill="EEEEEE"/>
          </w:tcPr>
          <w:p>
            <w:pPr>
              <w:jc w:val="right"/>
              <w:spacing w:after="0"/>
              <w:rPr>
                <w:sz w:val="20"/>
                <w:szCs w:val="20"/>
                <w:color w:val="auto"/>
              </w:rPr>
            </w:pPr>
            <w:r>
              <w:rPr>
                <w:rFonts w:ascii="Arial" w:cs="Arial" w:eastAsia="Arial" w:hAnsi="Arial"/>
                <w:sz w:val="18"/>
                <w:szCs w:val="18"/>
                <w:color w:val="auto"/>
              </w:rPr>
              <w:t>-0-</w:t>
            </w:r>
          </w:p>
        </w:tc>
        <w:tc>
          <w:tcPr>
            <w:tcW w:w="140" w:type="dxa"/>
            <w:vAlign w:val="bottom"/>
            <w:tcBorders>
              <w:bottom w:val="single" w:sz="8" w:color="EEEEEE"/>
            </w:tcBorders>
            <w:shd w:val="clear" w:color="auto" w:fill="EEEEEE"/>
          </w:tcPr>
          <w:p>
            <w:pPr>
              <w:spacing w:after="0"/>
              <w:rPr>
                <w:sz w:val="19"/>
                <w:szCs w:val="19"/>
                <w:color w:val="auto"/>
              </w:rPr>
            </w:pPr>
          </w:p>
        </w:tc>
        <w:tc>
          <w:tcPr>
            <w:tcW w:w="80" w:type="dxa"/>
            <w:vAlign w:val="bottom"/>
            <w:tcBorders>
              <w:bottom w:val="single" w:sz="8" w:color="EEEEEE"/>
            </w:tcBorders>
            <w:shd w:val="clear" w:color="auto" w:fill="EEEEEE"/>
          </w:tcPr>
          <w:p>
            <w:pPr>
              <w:spacing w:after="0"/>
              <w:rPr>
                <w:sz w:val="19"/>
                <w:szCs w:val="19"/>
                <w:color w:val="auto"/>
              </w:rPr>
            </w:pPr>
          </w:p>
        </w:tc>
        <w:tc>
          <w:tcPr>
            <w:tcW w:w="160" w:type="dxa"/>
            <w:vAlign w:val="bottom"/>
            <w:tcBorders>
              <w:bottom w:val="single" w:sz="8" w:color="auto"/>
            </w:tcBorders>
            <w:shd w:val="clear" w:color="auto" w:fill="EEEEEE"/>
          </w:tcPr>
          <w:p>
            <w:pPr>
              <w:spacing w:after="0"/>
              <w:rPr>
                <w:sz w:val="19"/>
                <w:szCs w:val="19"/>
                <w:color w:val="auto"/>
              </w:rPr>
            </w:pPr>
          </w:p>
        </w:tc>
        <w:tc>
          <w:tcPr>
            <w:tcW w:w="1360" w:type="dxa"/>
            <w:vAlign w:val="bottom"/>
            <w:tcBorders>
              <w:bottom w:val="single" w:sz="8" w:color="auto"/>
            </w:tcBorders>
            <w:shd w:val="clear" w:color="auto" w:fill="EEEEEE"/>
          </w:tcPr>
          <w:p>
            <w:pPr>
              <w:jc w:val="right"/>
              <w:spacing w:after="0"/>
              <w:rPr>
                <w:sz w:val="20"/>
                <w:szCs w:val="20"/>
                <w:color w:val="auto"/>
              </w:rPr>
            </w:pPr>
            <w:r>
              <w:rPr>
                <w:rFonts w:ascii="Arial" w:cs="Arial" w:eastAsia="Arial" w:hAnsi="Arial"/>
                <w:sz w:val="18"/>
                <w:szCs w:val="18"/>
                <w:color w:val="auto"/>
              </w:rPr>
              <w:t>-0-</w:t>
            </w:r>
          </w:p>
        </w:tc>
        <w:tc>
          <w:tcPr>
            <w:tcW w:w="120" w:type="dxa"/>
            <w:vAlign w:val="bottom"/>
            <w:tcBorders>
              <w:bottom w:val="single" w:sz="8" w:color="EEEEEE"/>
            </w:tcBorders>
            <w:shd w:val="clear" w:color="auto" w:fill="EEEEEE"/>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63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57"/>
        </w:trPr>
        <w:tc>
          <w:tcPr>
            <w:tcW w:w="20" w:type="dxa"/>
            <w:vAlign w:val="bottom"/>
            <w:vMerge w:val="continue"/>
          </w:tcPr>
          <w:p>
            <w:pPr>
              <w:spacing w:after="0"/>
              <w:rPr>
                <w:sz w:val="22"/>
                <w:szCs w:val="22"/>
                <w:color w:val="auto"/>
              </w:rPr>
            </w:pPr>
          </w:p>
        </w:tc>
        <w:tc>
          <w:tcPr>
            <w:tcW w:w="6300" w:type="dxa"/>
            <w:vAlign w:val="bottom"/>
            <w:shd w:val="clear" w:color="auto" w:fill="EEEEEE"/>
          </w:tcPr>
          <w:p>
            <w:pPr>
              <w:spacing w:after="0"/>
              <w:rPr>
                <w:sz w:val="20"/>
                <w:szCs w:val="20"/>
                <w:color w:val="auto"/>
              </w:rPr>
            </w:pPr>
            <w:r>
              <w:rPr>
                <w:rFonts w:ascii="Arial" w:cs="Arial" w:eastAsia="Arial" w:hAnsi="Arial"/>
                <w:sz w:val="18"/>
                <w:szCs w:val="18"/>
                <w:b w:val="1"/>
                <w:bCs w:val="1"/>
                <w:color w:val="auto"/>
              </w:rPr>
              <w:t>Net Loss</w:t>
            </w:r>
          </w:p>
        </w:tc>
        <w:tc>
          <w:tcPr>
            <w:tcW w:w="340" w:type="dxa"/>
            <w:vAlign w:val="bottom"/>
            <w:shd w:val="clear" w:color="auto" w:fill="EEEEEE"/>
          </w:tcPr>
          <w:p>
            <w:pPr>
              <w:jc w:val="right"/>
              <w:ind w:right="150"/>
              <w:spacing w:after="0"/>
              <w:rPr>
                <w:sz w:val="20"/>
                <w:szCs w:val="20"/>
                <w:color w:val="auto"/>
              </w:rPr>
            </w:pPr>
            <w:r>
              <w:rPr>
                <w:rFonts w:ascii="Arial" w:cs="Arial" w:eastAsia="Arial" w:hAnsi="Arial"/>
                <w:sz w:val="18"/>
                <w:szCs w:val="18"/>
                <w:color w:val="auto"/>
                <w:w w:val="79"/>
              </w:rPr>
              <w:t>$</w:t>
            </w:r>
          </w:p>
        </w:tc>
        <w:tc>
          <w:tcPr>
            <w:tcW w:w="1400" w:type="dxa"/>
            <w:vAlign w:val="bottom"/>
            <w:gridSpan w:val="2"/>
            <w:shd w:val="clear" w:color="auto" w:fill="EEEEEE"/>
          </w:tcPr>
          <w:p>
            <w:pPr>
              <w:jc w:val="right"/>
              <w:ind w:right="160"/>
              <w:spacing w:after="0"/>
              <w:rPr>
                <w:sz w:val="20"/>
                <w:szCs w:val="20"/>
                <w:color w:val="auto"/>
              </w:rPr>
            </w:pPr>
            <w:r>
              <w:rPr>
                <w:rFonts w:ascii="Arial" w:cs="Arial" w:eastAsia="Arial" w:hAnsi="Arial"/>
                <w:sz w:val="18"/>
                <w:szCs w:val="18"/>
                <w:color w:val="auto"/>
              </w:rPr>
              <w:t>(361,466)</w:t>
            </w:r>
          </w:p>
        </w:tc>
        <w:tc>
          <w:tcPr>
            <w:tcW w:w="320" w:type="dxa"/>
            <w:vAlign w:val="bottom"/>
            <w:shd w:val="clear" w:color="auto" w:fill="EEEEEE"/>
          </w:tcPr>
          <w:p>
            <w:pPr>
              <w:jc w:val="right"/>
              <w:ind w:right="165"/>
              <w:spacing w:after="0"/>
              <w:rPr>
                <w:sz w:val="20"/>
                <w:szCs w:val="20"/>
                <w:color w:val="auto"/>
              </w:rPr>
            </w:pPr>
            <w:r>
              <w:rPr>
                <w:rFonts w:ascii="Arial" w:cs="Arial" w:eastAsia="Arial" w:hAnsi="Arial"/>
                <w:sz w:val="15"/>
                <w:szCs w:val="15"/>
                <w:color w:val="auto"/>
                <w:w w:val="71"/>
              </w:rPr>
              <w:t>$</w:t>
            </w:r>
          </w:p>
        </w:tc>
        <w:tc>
          <w:tcPr>
            <w:tcW w:w="1320" w:type="dxa"/>
            <w:vAlign w:val="bottom"/>
            <w:gridSpan w:val="2"/>
            <w:shd w:val="clear" w:color="auto" w:fill="EEEEEE"/>
          </w:tcPr>
          <w:p>
            <w:pPr>
              <w:jc w:val="right"/>
              <w:ind w:right="80"/>
              <w:spacing w:after="0"/>
              <w:rPr>
                <w:sz w:val="20"/>
                <w:szCs w:val="20"/>
                <w:color w:val="auto"/>
              </w:rPr>
            </w:pPr>
            <w:r>
              <w:rPr>
                <w:rFonts w:ascii="Arial" w:cs="Arial" w:eastAsia="Arial" w:hAnsi="Arial"/>
                <w:sz w:val="18"/>
                <w:szCs w:val="18"/>
                <w:color w:val="auto"/>
              </w:rPr>
              <w:t>(184,311)</w:t>
            </w:r>
          </w:p>
        </w:tc>
        <w:tc>
          <w:tcPr>
            <w:tcW w:w="240" w:type="dxa"/>
            <w:vAlign w:val="bottom"/>
            <w:gridSpan w:val="2"/>
            <w:shd w:val="clear" w:color="auto" w:fill="EEEEEE"/>
          </w:tcPr>
          <w:p>
            <w:pPr>
              <w:jc w:val="right"/>
              <w:spacing w:after="0"/>
              <w:rPr>
                <w:sz w:val="20"/>
                <w:szCs w:val="20"/>
                <w:color w:val="auto"/>
              </w:rPr>
            </w:pPr>
            <w:r>
              <w:rPr>
                <w:rFonts w:ascii="Arial" w:cs="Arial" w:eastAsia="Arial" w:hAnsi="Arial"/>
                <w:sz w:val="18"/>
                <w:szCs w:val="18"/>
                <w:color w:val="auto"/>
              </w:rPr>
              <w:t>$</w:t>
            </w:r>
          </w:p>
        </w:tc>
        <w:tc>
          <w:tcPr>
            <w:tcW w:w="1480" w:type="dxa"/>
            <w:vAlign w:val="bottom"/>
            <w:gridSpan w:val="2"/>
            <w:shd w:val="clear" w:color="auto" w:fill="EEEEEE"/>
          </w:tcPr>
          <w:p>
            <w:pPr>
              <w:jc w:val="right"/>
              <w:ind w:right="60"/>
              <w:spacing w:after="0"/>
              <w:rPr>
                <w:sz w:val="20"/>
                <w:szCs w:val="20"/>
                <w:color w:val="auto"/>
              </w:rPr>
            </w:pPr>
            <w:r>
              <w:rPr>
                <w:rFonts w:ascii="Arial" w:cs="Arial" w:eastAsia="Arial" w:hAnsi="Arial"/>
                <w:sz w:val="18"/>
                <w:szCs w:val="18"/>
                <w:color w:val="auto"/>
              </w:rPr>
              <w:t>(545,777)</w:t>
            </w: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6300" w:type="dxa"/>
            <w:vAlign w:val="bottom"/>
            <w:tcBorders>
              <w:top w:val="single" w:sz="8" w:color="EEEEEE"/>
            </w:tcBorders>
          </w:tcPr>
          <w:p>
            <w:pPr>
              <w:spacing w:after="0"/>
              <w:rPr>
                <w:sz w:val="18"/>
                <w:szCs w:val="18"/>
                <w:color w:val="auto"/>
              </w:rPr>
            </w:pPr>
          </w:p>
        </w:tc>
        <w:tc>
          <w:tcPr>
            <w:tcW w:w="340" w:type="dxa"/>
            <w:vAlign w:val="bottom"/>
            <w:tcBorders>
              <w:top w:val="single" w:sz="8" w:color="auto"/>
            </w:tcBorders>
          </w:tcPr>
          <w:p>
            <w:pPr>
              <w:spacing w:after="0"/>
              <w:rPr>
                <w:sz w:val="18"/>
                <w:szCs w:val="18"/>
                <w:color w:val="auto"/>
              </w:rPr>
            </w:pPr>
          </w:p>
        </w:tc>
        <w:tc>
          <w:tcPr>
            <w:tcW w:w="1180" w:type="dxa"/>
            <w:vAlign w:val="bottom"/>
            <w:tcBorders>
              <w:top w:val="single" w:sz="8" w:color="auto"/>
            </w:tcBorders>
          </w:tcPr>
          <w:p>
            <w:pPr>
              <w:spacing w:after="0"/>
              <w:rPr>
                <w:sz w:val="18"/>
                <w:szCs w:val="18"/>
                <w:color w:val="auto"/>
              </w:rPr>
            </w:pPr>
          </w:p>
        </w:tc>
        <w:tc>
          <w:tcPr>
            <w:tcW w:w="220" w:type="dxa"/>
            <w:vAlign w:val="bottom"/>
            <w:tcBorders>
              <w:top w:val="single" w:sz="8" w:color="EEEEEE"/>
            </w:tcBorders>
          </w:tcPr>
          <w:p>
            <w:pPr>
              <w:spacing w:after="0"/>
              <w:rPr>
                <w:sz w:val="18"/>
                <w:szCs w:val="18"/>
                <w:color w:val="auto"/>
              </w:rPr>
            </w:pPr>
          </w:p>
        </w:tc>
        <w:tc>
          <w:tcPr>
            <w:tcW w:w="320" w:type="dxa"/>
            <w:vAlign w:val="bottom"/>
            <w:tcBorders>
              <w:top w:val="single" w:sz="8" w:color="auto"/>
            </w:tcBorders>
          </w:tcPr>
          <w:p>
            <w:pPr>
              <w:spacing w:after="0"/>
              <w:rPr>
                <w:sz w:val="18"/>
                <w:szCs w:val="18"/>
                <w:color w:val="auto"/>
              </w:rPr>
            </w:pPr>
          </w:p>
        </w:tc>
        <w:tc>
          <w:tcPr>
            <w:tcW w:w="1180" w:type="dxa"/>
            <w:vAlign w:val="bottom"/>
            <w:tcBorders>
              <w:top w:val="single" w:sz="8" w:color="auto"/>
            </w:tcBorders>
          </w:tcPr>
          <w:p>
            <w:pPr>
              <w:spacing w:after="0"/>
              <w:rPr>
                <w:sz w:val="18"/>
                <w:szCs w:val="18"/>
                <w:color w:val="auto"/>
              </w:rPr>
            </w:pPr>
          </w:p>
        </w:tc>
        <w:tc>
          <w:tcPr>
            <w:tcW w:w="140" w:type="dxa"/>
            <w:vAlign w:val="bottom"/>
            <w:tcBorders>
              <w:top w:val="single" w:sz="8" w:color="EEEEEE"/>
            </w:tcBorders>
          </w:tcPr>
          <w:p>
            <w:pPr>
              <w:spacing w:after="0"/>
              <w:rPr>
                <w:sz w:val="18"/>
                <w:szCs w:val="18"/>
                <w:color w:val="auto"/>
              </w:rPr>
            </w:pPr>
          </w:p>
        </w:tc>
        <w:tc>
          <w:tcPr>
            <w:tcW w:w="80" w:type="dxa"/>
            <w:vAlign w:val="bottom"/>
            <w:tcBorders>
              <w:top w:val="single" w:sz="8" w:color="EEEEEE"/>
            </w:tcBorders>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1360" w:type="dxa"/>
            <w:vAlign w:val="bottom"/>
            <w:tcBorders>
              <w:top w:val="single" w:sz="8" w:color="auto"/>
            </w:tcBorders>
          </w:tcPr>
          <w:p>
            <w:pPr>
              <w:spacing w:after="0"/>
              <w:rPr>
                <w:sz w:val="18"/>
                <w:szCs w:val="18"/>
                <w:color w:val="auto"/>
              </w:rPr>
            </w:pPr>
          </w:p>
        </w:tc>
        <w:tc>
          <w:tcPr>
            <w:tcW w:w="120" w:type="dxa"/>
            <w:vAlign w:val="bottom"/>
            <w:tcBorders>
              <w:top w:val="single" w:sz="8" w:color="EEEEEE"/>
            </w:tcBorders>
          </w:tcPr>
          <w:p>
            <w:pPr>
              <w:spacing w:after="0"/>
              <w:rPr>
                <w:sz w:val="18"/>
                <w:szCs w:val="18"/>
                <w:color w:val="auto"/>
              </w:rPr>
            </w:pPr>
          </w:p>
        </w:tc>
        <w:tc>
          <w:tcPr>
            <w:tcW w:w="0" w:type="dxa"/>
            <w:vAlign w:val="bottom"/>
          </w:tcPr>
          <w:p>
            <w:pPr>
              <w:spacing w:after="0"/>
              <w:rPr>
                <w:sz w:val="1"/>
                <w:szCs w:val="1"/>
                <w:color w:val="auto"/>
              </w:rPr>
            </w:pPr>
          </w:p>
        </w:tc>
      </w:tr>
      <w:tr>
        <w:trPr>
          <w:trHeight w:val="257"/>
        </w:trPr>
        <w:tc>
          <w:tcPr>
            <w:tcW w:w="20" w:type="dxa"/>
            <w:vAlign w:val="bottom"/>
            <w:vMerge w:val="continue"/>
          </w:tcPr>
          <w:p>
            <w:pPr>
              <w:spacing w:after="0"/>
              <w:rPr>
                <w:sz w:val="22"/>
                <w:szCs w:val="22"/>
                <w:color w:val="auto"/>
              </w:rPr>
            </w:pPr>
          </w:p>
        </w:tc>
        <w:tc>
          <w:tcPr>
            <w:tcW w:w="6300" w:type="dxa"/>
            <w:vAlign w:val="bottom"/>
            <w:tcBorders>
              <w:bottom w:val="single" w:sz="8" w:color="EEEEEE"/>
            </w:tcBorders>
            <w:shd w:val="clear" w:color="auto" w:fill="EEEEEE"/>
          </w:tcPr>
          <w:p>
            <w:pPr>
              <w:spacing w:after="0"/>
              <w:rPr>
                <w:sz w:val="20"/>
                <w:szCs w:val="20"/>
                <w:color w:val="auto"/>
              </w:rPr>
            </w:pPr>
            <w:r>
              <w:rPr>
                <w:rFonts w:ascii="Arial" w:cs="Arial" w:eastAsia="Arial" w:hAnsi="Arial"/>
                <w:sz w:val="18"/>
                <w:szCs w:val="18"/>
                <w:b w:val="1"/>
                <w:bCs w:val="1"/>
                <w:color w:val="auto"/>
              </w:rPr>
              <w:t>Weighted Average Number Of Shares Outstanding</w:t>
            </w:r>
          </w:p>
        </w:tc>
        <w:tc>
          <w:tcPr>
            <w:tcW w:w="340" w:type="dxa"/>
            <w:vAlign w:val="bottom"/>
            <w:tcBorders>
              <w:bottom w:val="single" w:sz="8" w:color="auto"/>
            </w:tcBorders>
            <w:shd w:val="clear" w:color="auto" w:fill="EEEEEE"/>
          </w:tcPr>
          <w:p>
            <w:pPr>
              <w:spacing w:after="0"/>
              <w:rPr>
                <w:sz w:val="22"/>
                <w:szCs w:val="22"/>
                <w:color w:val="auto"/>
              </w:rPr>
            </w:pPr>
          </w:p>
        </w:tc>
        <w:tc>
          <w:tcPr>
            <w:tcW w:w="1180" w:type="dxa"/>
            <w:vAlign w:val="bottom"/>
            <w:tcBorders>
              <w:bottom w:val="single" w:sz="8" w:color="auto"/>
            </w:tcBorders>
            <w:shd w:val="clear" w:color="auto" w:fill="EEEEEE"/>
          </w:tcPr>
          <w:p>
            <w:pPr>
              <w:jc w:val="right"/>
              <w:spacing w:after="0"/>
              <w:rPr>
                <w:sz w:val="20"/>
                <w:szCs w:val="20"/>
                <w:color w:val="auto"/>
              </w:rPr>
            </w:pPr>
            <w:r>
              <w:rPr>
                <w:rFonts w:ascii="Arial" w:cs="Arial" w:eastAsia="Arial" w:hAnsi="Arial"/>
                <w:sz w:val="18"/>
                <w:szCs w:val="18"/>
                <w:color w:val="auto"/>
              </w:rPr>
              <w:t>2,071,233</w:t>
            </w:r>
          </w:p>
        </w:tc>
        <w:tc>
          <w:tcPr>
            <w:tcW w:w="220" w:type="dxa"/>
            <w:vAlign w:val="bottom"/>
            <w:tcBorders>
              <w:bottom w:val="single" w:sz="8" w:color="EEEEEE"/>
            </w:tcBorders>
            <w:shd w:val="clear" w:color="auto" w:fill="EEEEEE"/>
          </w:tcPr>
          <w:p>
            <w:pPr>
              <w:spacing w:after="0"/>
              <w:rPr>
                <w:sz w:val="22"/>
                <w:szCs w:val="22"/>
                <w:color w:val="auto"/>
              </w:rPr>
            </w:pPr>
          </w:p>
        </w:tc>
        <w:tc>
          <w:tcPr>
            <w:tcW w:w="320" w:type="dxa"/>
            <w:vAlign w:val="bottom"/>
            <w:tcBorders>
              <w:bottom w:val="single" w:sz="8" w:color="auto"/>
            </w:tcBorders>
            <w:shd w:val="clear" w:color="auto" w:fill="EEEEEE"/>
          </w:tcPr>
          <w:p>
            <w:pPr>
              <w:spacing w:after="0"/>
              <w:rPr>
                <w:sz w:val="22"/>
                <w:szCs w:val="22"/>
                <w:color w:val="auto"/>
              </w:rPr>
            </w:pPr>
          </w:p>
        </w:tc>
        <w:tc>
          <w:tcPr>
            <w:tcW w:w="1180" w:type="dxa"/>
            <w:vAlign w:val="bottom"/>
            <w:tcBorders>
              <w:bottom w:val="single" w:sz="8" w:color="auto"/>
            </w:tcBorders>
            <w:shd w:val="clear" w:color="auto" w:fill="EEEEEE"/>
          </w:tcPr>
          <w:p>
            <w:pPr>
              <w:jc w:val="right"/>
              <w:spacing w:after="0"/>
              <w:rPr>
                <w:sz w:val="20"/>
                <w:szCs w:val="20"/>
                <w:color w:val="auto"/>
              </w:rPr>
            </w:pPr>
            <w:r>
              <w:rPr>
                <w:rFonts w:ascii="Arial" w:cs="Arial" w:eastAsia="Arial" w:hAnsi="Arial"/>
                <w:sz w:val="18"/>
                <w:szCs w:val="18"/>
                <w:color w:val="auto"/>
              </w:rPr>
              <w:t>-</w:t>
            </w:r>
          </w:p>
        </w:tc>
        <w:tc>
          <w:tcPr>
            <w:tcW w:w="140" w:type="dxa"/>
            <w:vAlign w:val="bottom"/>
            <w:tcBorders>
              <w:bottom w:val="single" w:sz="8" w:color="EEEEEE"/>
            </w:tcBorders>
            <w:shd w:val="clear" w:color="auto" w:fill="EEEEEE"/>
          </w:tcPr>
          <w:p>
            <w:pPr>
              <w:spacing w:after="0"/>
              <w:rPr>
                <w:sz w:val="22"/>
                <w:szCs w:val="22"/>
                <w:color w:val="auto"/>
              </w:rPr>
            </w:pPr>
          </w:p>
        </w:tc>
        <w:tc>
          <w:tcPr>
            <w:tcW w:w="80" w:type="dxa"/>
            <w:vAlign w:val="bottom"/>
            <w:tcBorders>
              <w:bottom w:val="single" w:sz="8" w:color="EEEEEE"/>
            </w:tcBorders>
            <w:shd w:val="clear" w:color="auto" w:fill="EEEEEE"/>
          </w:tcPr>
          <w:p>
            <w:pPr>
              <w:spacing w:after="0"/>
              <w:rPr>
                <w:sz w:val="22"/>
                <w:szCs w:val="22"/>
                <w:color w:val="auto"/>
              </w:rPr>
            </w:pPr>
          </w:p>
        </w:tc>
        <w:tc>
          <w:tcPr>
            <w:tcW w:w="160" w:type="dxa"/>
            <w:vAlign w:val="bottom"/>
            <w:tcBorders>
              <w:bottom w:val="single" w:sz="8" w:color="auto"/>
            </w:tcBorders>
            <w:shd w:val="clear" w:color="auto" w:fill="EEEEEE"/>
          </w:tcPr>
          <w:p>
            <w:pPr>
              <w:spacing w:after="0"/>
              <w:rPr>
                <w:sz w:val="22"/>
                <w:szCs w:val="22"/>
                <w:color w:val="auto"/>
              </w:rPr>
            </w:pPr>
          </w:p>
        </w:tc>
        <w:tc>
          <w:tcPr>
            <w:tcW w:w="1360" w:type="dxa"/>
            <w:vAlign w:val="bottom"/>
            <w:tcBorders>
              <w:bottom w:val="single" w:sz="8" w:color="auto"/>
            </w:tcBorders>
            <w:shd w:val="clear" w:color="auto" w:fill="EEEEEE"/>
          </w:tcPr>
          <w:p>
            <w:pPr>
              <w:jc w:val="right"/>
              <w:spacing w:after="0"/>
              <w:rPr>
                <w:sz w:val="20"/>
                <w:szCs w:val="20"/>
                <w:color w:val="auto"/>
              </w:rPr>
            </w:pPr>
            <w:r>
              <w:rPr>
                <w:rFonts w:ascii="Arial" w:cs="Arial" w:eastAsia="Arial" w:hAnsi="Arial"/>
                <w:sz w:val="18"/>
                <w:szCs w:val="18"/>
                <w:color w:val="auto"/>
              </w:rPr>
              <w:t>-</w:t>
            </w:r>
          </w:p>
        </w:tc>
        <w:tc>
          <w:tcPr>
            <w:tcW w:w="120" w:type="dxa"/>
            <w:vAlign w:val="bottom"/>
            <w:tcBorders>
              <w:bottom w:val="single" w:sz="8" w:color="EEEEEE"/>
            </w:tcBorders>
            <w:shd w:val="clear" w:color="auto" w:fill="EEEEEE"/>
          </w:tcPr>
          <w:p>
            <w:pPr>
              <w:spacing w:after="0"/>
              <w:rPr>
                <w:sz w:val="22"/>
                <w:szCs w:val="22"/>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6300" w:type="dxa"/>
            <w:vAlign w:val="bottom"/>
          </w:tcPr>
          <w:p>
            <w:pPr>
              <w:spacing w:after="0"/>
              <w:rPr>
                <w:sz w:val="20"/>
                <w:szCs w:val="20"/>
                <w:color w:val="auto"/>
              </w:rPr>
            </w:pPr>
            <w:r>
              <w:rPr>
                <w:rFonts w:ascii="Arial" w:cs="Arial" w:eastAsia="Arial" w:hAnsi="Arial"/>
                <w:sz w:val="18"/>
                <w:szCs w:val="18"/>
                <w:b w:val="1"/>
                <w:bCs w:val="1"/>
                <w:color w:val="auto"/>
              </w:rPr>
              <w:t>Net (Loss) Per Share</w:t>
            </w:r>
          </w:p>
        </w:tc>
        <w:tc>
          <w:tcPr>
            <w:tcW w:w="340" w:type="dxa"/>
            <w:vAlign w:val="bottom"/>
          </w:tcPr>
          <w:p>
            <w:pPr>
              <w:jc w:val="right"/>
              <w:ind w:right="150"/>
              <w:spacing w:after="0"/>
              <w:rPr>
                <w:sz w:val="20"/>
                <w:szCs w:val="20"/>
                <w:color w:val="auto"/>
              </w:rPr>
            </w:pPr>
            <w:r>
              <w:rPr>
                <w:rFonts w:ascii="Arial" w:cs="Arial" w:eastAsia="Arial" w:hAnsi="Arial"/>
                <w:sz w:val="18"/>
                <w:szCs w:val="18"/>
                <w:color w:val="auto"/>
                <w:w w:val="79"/>
              </w:rPr>
              <w:t>$</w:t>
            </w:r>
          </w:p>
        </w:tc>
        <w:tc>
          <w:tcPr>
            <w:tcW w:w="1400" w:type="dxa"/>
            <w:vAlign w:val="bottom"/>
            <w:gridSpan w:val="2"/>
          </w:tcPr>
          <w:p>
            <w:pPr>
              <w:jc w:val="right"/>
              <w:ind w:right="160"/>
              <w:spacing w:after="0"/>
              <w:rPr>
                <w:sz w:val="20"/>
                <w:szCs w:val="20"/>
                <w:color w:val="auto"/>
              </w:rPr>
            </w:pPr>
            <w:r>
              <w:rPr>
                <w:rFonts w:ascii="Arial" w:cs="Arial" w:eastAsia="Arial" w:hAnsi="Arial"/>
                <w:sz w:val="18"/>
                <w:szCs w:val="18"/>
                <w:color w:val="auto"/>
              </w:rPr>
              <w:t>(0.17)</w:t>
            </w:r>
          </w:p>
        </w:tc>
        <w:tc>
          <w:tcPr>
            <w:tcW w:w="32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6300" w:type="dxa"/>
            <w:vAlign w:val="bottom"/>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1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18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3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5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accompanying notes are an integral part of the financial statements.</w:t>
      </w:r>
    </w:p>
    <w:p>
      <w:pPr>
        <w:spacing w:after="0" w:line="200" w:lineRule="exact"/>
        <w:rPr>
          <w:sz w:val="20"/>
          <w:szCs w:val="20"/>
          <w:color w:val="auto"/>
        </w:rPr>
      </w:pPr>
    </w:p>
    <w:p>
      <w:pPr>
        <w:spacing w:after="0" w:line="32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246620" cy="8890"/>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634" w:right="239" w:bottom="1440" w:gutter="0" w:footer="0" w:header="0"/>
        </w:sectPr>
      </w:pPr>
    </w:p>
    <w:bookmarkStart w:id="45" w:name="page46"/>
    <w:bookmarkEnd w:id="45"/>
    <w:p>
      <w:pPr>
        <w:jc w:val="center"/>
        <w:spacing w:after="0"/>
        <w:rPr>
          <w:sz w:val="20"/>
          <w:szCs w:val="20"/>
          <w:color w:val="auto"/>
        </w:rPr>
      </w:pPr>
      <w:r>
        <w:rPr>
          <w:rFonts w:ascii="Arial" w:cs="Arial" w:eastAsia="Arial" w:hAnsi="Arial"/>
          <w:sz w:val="18"/>
          <w:szCs w:val="18"/>
          <w:b w:val="1"/>
          <w:bCs w:val="1"/>
          <w:color w:val="auto"/>
        </w:rPr>
        <w:t>OPTIMIZERx CORPORATION</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OPTIMIZER SYSTEMS, LLC</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 DEVELOPMENT STAGE COMPANY)</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STATEMENT OF STOCKHOLDERS’ EQUITY (DEFICIT)</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AS OF DECEMBER 31, 2007</w:t>
      </w:r>
    </w:p>
    <w:p>
      <w:pPr>
        <w:spacing w:after="0" w:line="200" w:lineRule="exact"/>
        <w:rPr>
          <w:sz w:val="20"/>
          <w:szCs w:val="20"/>
          <w:color w:val="auto"/>
        </w:rPr>
      </w:pPr>
    </w:p>
    <w:p>
      <w:pPr>
        <w:spacing w:after="0" w:line="331"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20" w:type="dxa"/>
            <w:vAlign w:val="bottom"/>
          </w:tcPr>
          <w:p>
            <w:pPr>
              <w:spacing w:after="0"/>
              <w:rPr>
                <w:sz w:val="18"/>
                <w:szCs w:val="18"/>
                <w:color w:val="auto"/>
              </w:rPr>
            </w:pPr>
          </w:p>
        </w:tc>
        <w:tc>
          <w:tcPr>
            <w:tcW w:w="464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80" w:type="dxa"/>
            <w:vAlign w:val="bottom"/>
            <w:gridSpan w:val="2"/>
          </w:tcPr>
          <w:p>
            <w:pPr>
              <w:jc w:val="center"/>
              <w:ind w:right="300"/>
              <w:spacing w:after="0"/>
              <w:rPr>
                <w:sz w:val="20"/>
                <w:szCs w:val="20"/>
                <w:color w:val="auto"/>
              </w:rPr>
            </w:pPr>
            <w:r>
              <w:rPr>
                <w:rFonts w:ascii="Arial" w:cs="Arial" w:eastAsia="Arial" w:hAnsi="Arial"/>
                <w:sz w:val="18"/>
                <w:szCs w:val="18"/>
                <w:b w:val="1"/>
                <w:bCs w:val="1"/>
                <w:color w:val="auto"/>
                <w:w w:val="94"/>
              </w:rPr>
              <w:t>Equity</w:t>
            </w: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4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80" w:type="dxa"/>
            <w:vAlign w:val="bottom"/>
            <w:gridSpan w:val="2"/>
          </w:tcPr>
          <w:p>
            <w:pPr>
              <w:jc w:val="center"/>
              <w:ind w:right="300"/>
              <w:spacing w:after="0"/>
              <w:rPr>
                <w:sz w:val="20"/>
                <w:szCs w:val="20"/>
                <w:color w:val="auto"/>
              </w:rPr>
            </w:pPr>
            <w:r>
              <w:rPr>
                <w:rFonts w:ascii="Arial" w:cs="Arial" w:eastAsia="Arial" w:hAnsi="Arial"/>
                <w:sz w:val="18"/>
                <w:szCs w:val="18"/>
                <w:b w:val="1"/>
                <w:bCs w:val="1"/>
                <w:color w:val="auto"/>
                <w:w w:val="95"/>
              </w:rPr>
              <w:t>(Deficit)</w:t>
            </w: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4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300" w:type="dxa"/>
            <w:vAlign w:val="bottom"/>
            <w:gridSpan w:val="3"/>
          </w:tcPr>
          <w:p>
            <w:pPr>
              <w:jc w:val="center"/>
              <w:ind w:right="200"/>
              <w:spacing w:after="0"/>
              <w:rPr>
                <w:sz w:val="20"/>
                <w:szCs w:val="20"/>
                <w:color w:val="auto"/>
              </w:rPr>
            </w:pPr>
            <w:r>
              <w:rPr>
                <w:rFonts w:ascii="Arial" w:cs="Arial" w:eastAsia="Arial" w:hAnsi="Arial"/>
                <w:sz w:val="18"/>
                <w:szCs w:val="18"/>
                <w:b w:val="1"/>
                <w:bCs w:val="1"/>
                <w:color w:val="auto"/>
                <w:w w:val="89"/>
              </w:rPr>
              <w:t>accumulated</w:t>
            </w: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4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60" w:type="dxa"/>
            <w:vAlign w:val="bottom"/>
            <w:gridSpan w:val="2"/>
          </w:tcPr>
          <w:p>
            <w:pPr>
              <w:jc w:val="center"/>
              <w:ind w:right="380"/>
              <w:spacing w:after="0"/>
              <w:rPr>
                <w:sz w:val="20"/>
                <w:szCs w:val="20"/>
                <w:color w:val="auto"/>
              </w:rPr>
            </w:pPr>
            <w:r>
              <w:rPr>
                <w:rFonts w:ascii="Arial" w:cs="Arial" w:eastAsia="Arial" w:hAnsi="Arial"/>
                <w:sz w:val="18"/>
                <w:szCs w:val="18"/>
                <w:b w:val="1"/>
                <w:bCs w:val="1"/>
                <w:color w:val="auto"/>
                <w:w w:val="95"/>
              </w:rPr>
              <w:t>Additional</w:t>
            </w:r>
          </w:p>
        </w:tc>
        <w:tc>
          <w:tcPr>
            <w:tcW w:w="120" w:type="dxa"/>
            <w:vAlign w:val="bottom"/>
          </w:tcPr>
          <w:p>
            <w:pPr>
              <w:spacing w:after="0"/>
              <w:rPr>
                <w:sz w:val="18"/>
                <w:szCs w:val="18"/>
                <w:color w:val="auto"/>
              </w:rPr>
            </w:pPr>
          </w:p>
        </w:tc>
        <w:tc>
          <w:tcPr>
            <w:tcW w:w="1180" w:type="dxa"/>
            <w:vAlign w:val="bottom"/>
            <w:gridSpan w:val="2"/>
          </w:tcPr>
          <w:p>
            <w:pPr>
              <w:jc w:val="center"/>
              <w:ind w:right="300"/>
              <w:spacing w:after="0"/>
              <w:rPr>
                <w:sz w:val="20"/>
                <w:szCs w:val="20"/>
                <w:color w:val="auto"/>
              </w:rPr>
            </w:pPr>
            <w:r>
              <w:rPr>
                <w:rFonts w:ascii="Arial" w:cs="Arial" w:eastAsia="Arial" w:hAnsi="Arial"/>
                <w:sz w:val="18"/>
                <w:szCs w:val="18"/>
                <w:b w:val="1"/>
                <w:bCs w:val="1"/>
                <w:color w:val="auto"/>
                <w:w w:val="90"/>
              </w:rPr>
              <w:t>during the</w:t>
            </w: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41"/>
        </w:trPr>
        <w:tc>
          <w:tcPr>
            <w:tcW w:w="20" w:type="dxa"/>
            <w:vAlign w:val="bottom"/>
          </w:tcPr>
          <w:p>
            <w:pPr>
              <w:spacing w:after="0"/>
              <w:rPr>
                <w:sz w:val="20"/>
                <w:szCs w:val="20"/>
                <w:color w:val="auto"/>
              </w:rPr>
            </w:pPr>
          </w:p>
        </w:tc>
        <w:tc>
          <w:tcPr>
            <w:tcW w:w="4640" w:type="dxa"/>
            <w:vAlign w:val="bottom"/>
          </w:tcPr>
          <w:p>
            <w:pPr>
              <w:spacing w:after="0"/>
              <w:rPr>
                <w:sz w:val="20"/>
                <w:szCs w:val="20"/>
                <w:color w:val="auto"/>
              </w:rPr>
            </w:pPr>
          </w:p>
        </w:tc>
        <w:tc>
          <w:tcPr>
            <w:tcW w:w="2520" w:type="dxa"/>
            <w:vAlign w:val="bottom"/>
            <w:tcBorders>
              <w:bottom w:val="single" w:sz="8" w:color="auto"/>
            </w:tcBorders>
            <w:gridSpan w:val="4"/>
          </w:tcPr>
          <w:p>
            <w:pPr>
              <w:jc w:val="right"/>
              <w:ind w:right="730"/>
              <w:spacing w:after="0"/>
              <w:rPr>
                <w:sz w:val="20"/>
                <w:szCs w:val="20"/>
                <w:color w:val="auto"/>
              </w:rPr>
            </w:pPr>
            <w:r>
              <w:rPr>
                <w:rFonts w:ascii="Arial" w:cs="Arial" w:eastAsia="Arial" w:hAnsi="Arial"/>
                <w:sz w:val="18"/>
                <w:szCs w:val="18"/>
                <w:b w:val="1"/>
                <w:bCs w:val="1"/>
                <w:color w:val="auto"/>
              </w:rPr>
              <w:t>Common Stock</w:t>
            </w:r>
          </w:p>
        </w:tc>
        <w:tc>
          <w:tcPr>
            <w:tcW w:w="2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60" w:type="dxa"/>
            <w:vAlign w:val="bottom"/>
            <w:gridSpan w:val="2"/>
          </w:tcPr>
          <w:p>
            <w:pPr>
              <w:jc w:val="center"/>
              <w:ind w:right="380"/>
              <w:spacing w:after="0"/>
              <w:rPr>
                <w:sz w:val="20"/>
                <w:szCs w:val="20"/>
                <w:color w:val="auto"/>
              </w:rPr>
            </w:pPr>
            <w:r>
              <w:rPr>
                <w:rFonts w:ascii="Arial" w:cs="Arial" w:eastAsia="Arial" w:hAnsi="Arial"/>
                <w:sz w:val="18"/>
                <w:szCs w:val="18"/>
                <w:b w:val="1"/>
                <w:bCs w:val="1"/>
                <w:color w:val="auto"/>
                <w:w w:val="94"/>
              </w:rPr>
              <w:t>Paid in</w:t>
            </w:r>
          </w:p>
        </w:tc>
        <w:tc>
          <w:tcPr>
            <w:tcW w:w="1300" w:type="dxa"/>
            <w:vAlign w:val="bottom"/>
            <w:gridSpan w:val="3"/>
          </w:tcPr>
          <w:p>
            <w:pPr>
              <w:jc w:val="center"/>
              <w:ind w:right="200"/>
              <w:spacing w:after="0"/>
              <w:rPr>
                <w:sz w:val="20"/>
                <w:szCs w:val="20"/>
                <w:color w:val="auto"/>
              </w:rPr>
            </w:pPr>
            <w:r>
              <w:rPr>
                <w:rFonts w:ascii="Arial" w:cs="Arial" w:eastAsia="Arial" w:hAnsi="Arial"/>
                <w:sz w:val="18"/>
                <w:szCs w:val="18"/>
                <w:b w:val="1"/>
                <w:bCs w:val="1"/>
                <w:color w:val="auto"/>
                <w:w w:val="88"/>
              </w:rPr>
              <w:t>development</w:t>
            </w:r>
          </w:p>
        </w:tc>
        <w:tc>
          <w:tcPr>
            <w:tcW w:w="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4640" w:type="dxa"/>
            <w:vAlign w:val="bottom"/>
          </w:tcPr>
          <w:p>
            <w:pPr>
              <w:spacing w:after="0"/>
              <w:rPr>
                <w:sz w:val="19"/>
                <w:szCs w:val="19"/>
                <w:color w:val="auto"/>
              </w:rPr>
            </w:pPr>
          </w:p>
        </w:tc>
        <w:tc>
          <w:tcPr>
            <w:tcW w:w="1140" w:type="dxa"/>
            <w:vAlign w:val="bottom"/>
            <w:tcBorders>
              <w:bottom w:val="single" w:sz="8" w:color="auto"/>
            </w:tcBorders>
          </w:tcPr>
          <w:p>
            <w:pPr>
              <w:jc w:val="right"/>
              <w:ind w:right="270"/>
              <w:spacing w:after="0"/>
              <w:rPr>
                <w:sz w:val="20"/>
                <w:szCs w:val="20"/>
                <w:color w:val="auto"/>
              </w:rPr>
            </w:pPr>
            <w:r>
              <w:rPr>
                <w:rFonts w:ascii="Arial" w:cs="Arial" w:eastAsia="Arial" w:hAnsi="Arial"/>
                <w:sz w:val="18"/>
                <w:szCs w:val="18"/>
                <w:b w:val="1"/>
                <w:bCs w:val="1"/>
                <w:color w:val="auto"/>
              </w:rPr>
              <w:t>Shares</w:t>
            </w:r>
          </w:p>
        </w:tc>
        <w:tc>
          <w:tcPr>
            <w:tcW w:w="220" w:type="dxa"/>
            <w:vAlign w:val="bottom"/>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ind w:right="230"/>
              <w:spacing w:after="0"/>
              <w:rPr>
                <w:sz w:val="20"/>
                <w:szCs w:val="20"/>
                <w:color w:val="auto"/>
              </w:rPr>
            </w:pPr>
            <w:r>
              <w:rPr>
                <w:rFonts w:ascii="Arial" w:cs="Arial" w:eastAsia="Arial" w:hAnsi="Arial"/>
                <w:sz w:val="18"/>
                <w:szCs w:val="18"/>
                <w:b w:val="1"/>
                <w:bCs w:val="1"/>
                <w:color w:val="auto"/>
                <w:w w:val="97"/>
              </w:rPr>
              <w:t>Amount</w:t>
            </w:r>
          </w:p>
        </w:tc>
        <w:tc>
          <w:tcPr>
            <w:tcW w:w="220" w:type="dxa"/>
            <w:vAlign w:val="bottom"/>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center"/>
              <w:ind w:right="70"/>
              <w:spacing w:after="0"/>
              <w:rPr>
                <w:sz w:val="20"/>
                <w:szCs w:val="20"/>
                <w:color w:val="auto"/>
              </w:rPr>
            </w:pPr>
            <w:r>
              <w:rPr>
                <w:rFonts w:ascii="Arial" w:cs="Arial" w:eastAsia="Arial" w:hAnsi="Arial"/>
                <w:sz w:val="18"/>
                <w:szCs w:val="18"/>
                <w:b w:val="1"/>
                <w:bCs w:val="1"/>
                <w:color w:val="auto"/>
                <w:w w:val="93"/>
              </w:rPr>
              <w:t>Capital</w:t>
            </w:r>
          </w:p>
        </w:tc>
        <w:tc>
          <w:tcPr>
            <w:tcW w:w="220" w:type="dxa"/>
            <w:vAlign w:val="bottom"/>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center"/>
              <w:ind w:right="70"/>
              <w:spacing w:after="0"/>
              <w:rPr>
                <w:sz w:val="20"/>
                <w:szCs w:val="20"/>
                <w:color w:val="auto"/>
              </w:rPr>
            </w:pPr>
            <w:r>
              <w:rPr>
                <w:rFonts w:ascii="Arial" w:cs="Arial" w:eastAsia="Arial" w:hAnsi="Arial"/>
                <w:sz w:val="18"/>
                <w:szCs w:val="18"/>
                <w:b w:val="1"/>
                <w:bCs w:val="1"/>
                <w:color w:val="auto"/>
                <w:w w:val="84"/>
              </w:rPr>
              <w:t>stage</w:t>
            </w: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ind w:right="310"/>
              <w:spacing w:after="0"/>
              <w:rPr>
                <w:sz w:val="20"/>
                <w:szCs w:val="20"/>
                <w:color w:val="auto"/>
              </w:rPr>
            </w:pPr>
            <w:r>
              <w:rPr>
                <w:rFonts w:ascii="Arial" w:cs="Arial" w:eastAsia="Arial" w:hAnsi="Arial"/>
                <w:sz w:val="18"/>
                <w:szCs w:val="18"/>
                <w:b w:val="1"/>
                <w:bCs w:val="1"/>
                <w:color w:val="auto"/>
              </w:rPr>
              <w:t>Total</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40" w:type="dxa"/>
            <w:vAlign w:val="bottom"/>
            <w:shd w:val="clear" w:color="auto" w:fill="EEEEEE"/>
          </w:tcPr>
          <w:p>
            <w:pPr>
              <w:spacing w:after="0"/>
              <w:rPr>
                <w:sz w:val="20"/>
                <w:szCs w:val="20"/>
                <w:color w:val="auto"/>
              </w:rPr>
            </w:pPr>
            <w:r>
              <w:rPr>
                <w:rFonts w:ascii="Arial" w:cs="Arial" w:eastAsia="Arial" w:hAnsi="Arial"/>
                <w:sz w:val="18"/>
                <w:szCs w:val="18"/>
                <w:color w:val="auto"/>
              </w:rPr>
              <w:t>Beginning Balance, January 31, 2006</w:t>
            </w:r>
          </w:p>
        </w:tc>
        <w:tc>
          <w:tcPr>
            <w:tcW w:w="1140" w:type="dxa"/>
            <w:vAlign w:val="bottom"/>
            <w:shd w:val="clear" w:color="auto" w:fill="EEEEEE"/>
          </w:tcPr>
          <w:p>
            <w:pPr>
              <w:spacing w:after="0"/>
              <w:rPr>
                <w:sz w:val="18"/>
                <w:szCs w:val="18"/>
                <w:color w:val="auto"/>
              </w:rPr>
            </w:pPr>
          </w:p>
        </w:tc>
        <w:tc>
          <w:tcPr>
            <w:tcW w:w="380" w:type="dxa"/>
            <w:vAlign w:val="bottom"/>
            <w:gridSpan w:val="2"/>
            <w:shd w:val="clear" w:color="auto" w:fill="EEEEEE"/>
          </w:tcPr>
          <w:p>
            <w:pPr>
              <w:jc w:val="right"/>
              <w:ind w:right="80"/>
              <w:spacing w:after="0"/>
              <w:rPr>
                <w:sz w:val="20"/>
                <w:szCs w:val="20"/>
                <w:color w:val="auto"/>
              </w:rPr>
            </w:pPr>
            <w:r>
              <w:rPr>
                <w:rFonts w:ascii="Arial" w:cs="Arial" w:eastAsia="Arial" w:hAnsi="Arial"/>
                <w:sz w:val="18"/>
                <w:szCs w:val="18"/>
                <w:color w:val="auto"/>
              </w:rPr>
              <w:t>$</w:t>
            </w:r>
          </w:p>
        </w:tc>
        <w:tc>
          <w:tcPr>
            <w:tcW w:w="1000" w:type="dxa"/>
            <w:vAlign w:val="bottom"/>
            <w:shd w:val="clear" w:color="auto" w:fill="EEEEEE"/>
          </w:tcPr>
          <w:p>
            <w:pPr>
              <w:jc w:val="right"/>
              <w:spacing w:after="0"/>
              <w:rPr>
                <w:sz w:val="20"/>
                <w:szCs w:val="20"/>
                <w:color w:val="auto"/>
              </w:rPr>
            </w:pPr>
            <w:r>
              <w:rPr>
                <w:rFonts w:ascii="Arial" w:cs="Arial" w:eastAsia="Arial" w:hAnsi="Arial"/>
                <w:sz w:val="18"/>
                <w:szCs w:val="18"/>
                <w:color w:val="auto"/>
              </w:rPr>
              <w:t>0</w:t>
            </w:r>
          </w:p>
        </w:tc>
        <w:tc>
          <w:tcPr>
            <w:tcW w:w="340" w:type="dxa"/>
            <w:vAlign w:val="bottom"/>
            <w:gridSpan w:val="2"/>
            <w:shd w:val="clear" w:color="auto" w:fill="EEEEEE"/>
          </w:tcPr>
          <w:p>
            <w:pPr>
              <w:jc w:val="right"/>
              <w:ind w:right="40"/>
              <w:spacing w:after="0"/>
              <w:rPr>
                <w:sz w:val="20"/>
                <w:szCs w:val="20"/>
                <w:color w:val="auto"/>
              </w:rPr>
            </w:pPr>
            <w:r>
              <w:rPr>
                <w:rFonts w:ascii="Arial" w:cs="Arial" w:eastAsia="Arial" w:hAnsi="Arial"/>
                <w:sz w:val="18"/>
                <w:szCs w:val="18"/>
                <w:color w:val="auto"/>
              </w:rPr>
              <w:t>$</w:t>
            </w:r>
          </w:p>
        </w:tc>
        <w:tc>
          <w:tcPr>
            <w:tcW w:w="1040" w:type="dxa"/>
            <w:vAlign w:val="bottom"/>
            <w:shd w:val="clear" w:color="auto" w:fill="EEEEEE"/>
          </w:tcPr>
          <w:p>
            <w:pPr>
              <w:jc w:val="right"/>
              <w:spacing w:after="0"/>
              <w:rPr>
                <w:sz w:val="20"/>
                <w:szCs w:val="20"/>
                <w:color w:val="auto"/>
              </w:rPr>
            </w:pPr>
            <w:r>
              <w:rPr>
                <w:rFonts w:ascii="Arial" w:cs="Arial" w:eastAsia="Arial" w:hAnsi="Arial"/>
                <w:sz w:val="18"/>
                <w:szCs w:val="18"/>
                <w:color w:val="auto"/>
              </w:rPr>
              <w:t>0</w:t>
            </w:r>
          </w:p>
        </w:tc>
        <w:tc>
          <w:tcPr>
            <w:tcW w:w="220" w:type="dxa"/>
            <w:vAlign w:val="bottom"/>
            <w:shd w:val="clear" w:color="auto" w:fill="EEEEEE"/>
          </w:tcPr>
          <w:p>
            <w:pPr>
              <w:spacing w:after="0"/>
              <w:rPr>
                <w:sz w:val="18"/>
                <w:szCs w:val="18"/>
                <w:color w:val="auto"/>
              </w:rPr>
            </w:pPr>
          </w:p>
        </w:tc>
        <w:tc>
          <w:tcPr>
            <w:tcW w:w="120" w:type="dxa"/>
            <w:vAlign w:val="bottom"/>
            <w:shd w:val="clear" w:color="auto" w:fill="EEEEEE"/>
          </w:tcPr>
          <w:p>
            <w:pPr>
              <w:jc w:val="right"/>
              <w:spacing w:after="0"/>
              <w:rPr>
                <w:sz w:val="20"/>
                <w:szCs w:val="20"/>
                <w:color w:val="auto"/>
              </w:rPr>
            </w:pPr>
            <w:r>
              <w:rPr>
                <w:rFonts w:ascii="Arial" w:cs="Arial" w:eastAsia="Arial" w:hAnsi="Arial"/>
                <w:sz w:val="15"/>
                <w:szCs w:val="15"/>
                <w:color w:val="auto"/>
                <w:w w:val="71"/>
              </w:rPr>
              <w:t>$</w:t>
            </w:r>
          </w:p>
        </w:tc>
        <w:tc>
          <w:tcPr>
            <w:tcW w:w="1040" w:type="dxa"/>
            <w:vAlign w:val="bottom"/>
            <w:shd w:val="clear" w:color="auto" w:fill="EEEEEE"/>
          </w:tcPr>
          <w:p>
            <w:pPr>
              <w:jc w:val="right"/>
              <w:spacing w:after="0"/>
              <w:rPr>
                <w:sz w:val="20"/>
                <w:szCs w:val="20"/>
                <w:color w:val="auto"/>
              </w:rPr>
            </w:pPr>
            <w:r>
              <w:rPr>
                <w:rFonts w:ascii="Arial" w:cs="Arial" w:eastAsia="Arial" w:hAnsi="Arial"/>
                <w:sz w:val="18"/>
                <w:szCs w:val="18"/>
                <w:color w:val="auto"/>
              </w:rPr>
              <w:t>0</w:t>
            </w:r>
          </w:p>
        </w:tc>
        <w:tc>
          <w:tcPr>
            <w:tcW w:w="140" w:type="dxa"/>
            <w:vAlign w:val="bottom"/>
            <w:shd w:val="clear" w:color="auto" w:fill="EEEEEE"/>
          </w:tcPr>
          <w:p>
            <w:pPr>
              <w:spacing w:after="0"/>
              <w:rPr>
                <w:sz w:val="18"/>
                <w:szCs w:val="18"/>
                <w:color w:val="auto"/>
              </w:rPr>
            </w:pPr>
          </w:p>
        </w:tc>
        <w:tc>
          <w:tcPr>
            <w:tcW w:w="300" w:type="dxa"/>
            <w:vAlign w:val="bottom"/>
            <w:gridSpan w:val="2"/>
            <w:shd w:val="clear" w:color="auto" w:fill="EEEEEE"/>
          </w:tcPr>
          <w:p>
            <w:pPr>
              <w:jc w:val="right"/>
              <w:ind w:right="140"/>
              <w:spacing w:after="0"/>
              <w:rPr>
                <w:sz w:val="20"/>
                <w:szCs w:val="20"/>
                <w:color w:val="auto"/>
              </w:rPr>
            </w:pPr>
            <w:r>
              <w:rPr>
                <w:rFonts w:ascii="Arial" w:cs="Arial" w:eastAsia="Arial" w:hAnsi="Arial"/>
                <w:sz w:val="18"/>
                <w:szCs w:val="18"/>
                <w:color w:val="auto"/>
              </w:rPr>
              <w:t>$</w:t>
            </w:r>
          </w:p>
        </w:tc>
        <w:tc>
          <w:tcPr>
            <w:tcW w:w="940" w:type="dxa"/>
            <w:vAlign w:val="bottom"/>
            <w:shd w:val="clear" w:color="auto" w:fill="EEEEEE"/>
          </w:tcPr>
          <w:p>
            <w:pPr>
              <w:jc w:val="right"/>
              <w:spacing w:after="0"/>
              <w:rPr>
                <w:sz w:val="20"/>
                <w:szCs w:val="20"/>
                <w:color w:val="auto"/>
              </w:rPr>
            </w:pPr>
            <w:r>
              <w:rPr>
                <w:rFonts w:ascii="Arial" w:cs="Arial" w:eastAsia="Arial" w:hAnsi="Arial"/>
                <w:sz w:val="18"/>
                <w:szCs w:val="18"/>
                <w:color w:val="auto"/>
              </w:rPr>
              <w:t>0</w:t>
            </w:r>
          </w:p>
        </w:tc>
        <w:tc>
          <w:tcPr>
            <w:tcW w:w="100" w:type="dxa"/>
            <w:vAlign w:val="bottom"/>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464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640" w:type="dxa"/>
            <w:vAlign w:val="bottom"/>
            <w:shd w:val="clear" w:color="auto" w:fill="EEEEEE"/>
          </w:tcPr>
          <w:p>
            <w:pPr>
              <w:spacing w:after="0"/>
              <w:rPr>
                <w:sz w:val="20"/>
                <w:szCs w:val="20"/>
                <w:color w:val="auto"/>
              </w:rPr>
            </w:pPr>
            <w:r>
              <w:rPr>
                <w:rFonts w:ascii="Arial" w:cs="Arial" w:eastAsia="Arial" w:hAnsi="Arial"/>
                <w:sz w:val="18"/>
                <w:szCs w:val="18"/>
                <w:color w:val="auto"/>
              </w:rPr>
              <w:t>Member Contributions</w:t>
            </w:r>
          </w:p>
        </w:tc>
        <w:tc>
          <w:tcPr>
            <w:tcW w:w="1140" w:type="dxa"/>
            <w:vAlign w:val="bottom"/>
            <w:shd w:val="clear" w:color="auto" w:fill="EEEEEE"/>
          </w:tcPr>
          <w:p>
            <w:pPr>
              <w:spacing w:after="0"/>
              <w:rPr>
                <w:sz w:val="18"/>
                <w:szCs w:val="18"/>
                <w:color w:val="auto"/>
              </w:rPr>
            </w:pPr>
          </w:p>
        </w:tc>
        <w:tc>
          <w:tcPr>
            <w:tcW w:w="220" w:type="dxa"/>
            <w:vAlign w:val="bottom"/>
            <w:shd w:val="clear" w:color="auto" w:fill="EEEEEE"/>
          </w:tcPr>
          <w:p>
            <w:pPr>
              <w:spacing w:after="0"/>
              <w:rPr>
                <w:sz w:val="18"/>
                <w:szCs w:val="18"/>
                <w:color w:val="auto"/>
              </w:rPr>
            </w:pPr>
          </w:p>
        </w:tc>
        <w:tc>
          <w:tcPr>
            <w:tcW w:w="160" w:type="dxa"/>
            <w:vAlign w:val="bottom"/>
            <w:shd w:val="clear" w:color="auto" w:fill="EEEEEE"/>
          </w:tcPr>
          <w:p>
            <w:pPr>
              <w:spacing w:after="0"/>
              <w:rPr>
                <w:sz w:val="18"/>
                <w:szCs w:val="18"/>
                <w:color w:val="auto"/>
              </w:rPr>
            </w:pPr>
          </w:p>
        </w:tc>
        <w:tc>
          <w:tcPr>
            <w:tcW w:w="1000" w:type="dxa"/>
            <w:vAlign w:val="bottom"/>
            <w:shd w:val="clear" w:color="auto" w:fill="EEEEEE"/>
          </w:tcPr>
          <w:p>
            <w:pPr>
              <w:spacing w:after="0"/>
              <w:rPr>
                <w:sz w:val="18"/>
                <w:szCs w:val="18"/>
                <w:color w:val="auto"/>
              </w:rPr>
            </w:pPr>
          </w:p>
        </w:tc>
        <w:tc>
          <w:tcPr>
            <w:tcW w:w="220" w:type="dxa"/>
            <w:vAlign w:val="bottom"/>
            <w:shd w:val="clear" w:color="auto" w:fill="EEEEEE"/>
          </w:tcPr>
          <w:p>
            <w:pPr>
              <w:spacing w:after="0"/>
              <w:rPr>
                <w:sz w:val="18"/>
                <w:szCs w:val="18"/>
                <w:color w:val="auto"/>
              </w:rPr>
            </w:pPr>
          </w:p>
        </w:tc>
        <w:tc>
          <w:tcPr>
            <w:tcW w:w="120" w:type="dxa"/>
            <w:vAlign w:val="bottom"/>
            <w:shd w:val="clear" w:color="auto" w:fill="EEEEEE"/>
          </w:tcPr>
          <w:p>
            <w:pPr>
              <w:spacing w:after="0"/>
              <w:rPr>
                <w:sz w:val="18"/>
                <w:szCs w:val="18"/>
                <w:color w:val="auto"/>
              </w:rPr>
            </w:pPr>
          </w:p>
        </w:tc>
        <w:tc>
          <w:tcPr>
            <w:tcW w:w="1040" w:type="dxa"/>
            <w:vAlign w:val="bottom"/>
            <w:shd w:val="clear" w:color="auto" w:fill="EEEEEE"/>
          </w:tcPr>
          <w:p>
            <w:pPr>
              <w:spacing w:after="0"/>
              <w:rPr>
                <w:sz w:val="18"/>
                <w:szCs w:val="18"/>
                <w:color w:val="auto"/>
              </w:rPr>
            </w:pPr>
          </w:p>
        </w:tc>
        <w:tc>
          <w:tcPr>
            <w:tcW w:w="220" w:type="dxa"/>
            <w:vAlign w:val="bottom"/>
            <w:shd w:val="clear" w:color="auto" w:fill="EEEEEE"/>
          </w:tcPr>
          <w:p>
            <w:pPr>
              <w:spacing w:after="0"/>
              <w:rPr>
                <w:sz w:val="18"/>
                <w:szCs w:val="18"/>
                <w:color w:val="auto"/>
              </w:rPr>
            </w:pPr>
          </w:p>
        </w:tc>
        <w:tc>
          <w:tcPr>
            <w:tcW w:w="120" w:type="dxa"/>
            <w:vAlign w:val="bottom"/>
            <w:shd w:val="clear" w:color="auto" w:fill="EEEEEE"/>
          </w:tcPr>
          <w:p>
            <w:pPr>
              <w:spacing w:after="0"/>
              <w:rPr>
                <w:sz w:val="18"/>
                <w:szCs w:val="18"/>
                <w:color w:val="auto"/>
              </w:rPr>
            </w:pPr>
          </w:p>
        </w:tc>
        <w:tc>
          <w:tcPr>
            <w:tcW w:w="1040" w:type="dxa"/>
            <w:vAlign w:val="bottom"/>
            <w:shd w:val="clear" w:color="auto" w:fill="EEEEEE"/>
          </w:tcPr>
          <w:p>
            <w:pPr>
              <w:jc w:val="right"/>
              <w:spacing w:after="0"/>
              <w:rPr>
                <w:sz w:val="20"/>
                <w:szCs w:val="20"/>
                <w:color w:val="auto"/>
              </w:rPr>
            </w:pPr>
            <w:r>
              <w:rPr>
                <w:rFonts w:ascii="Arial" w:cs="Arial" w:eastAsia="Arial" w:hAnsi="Arial"/>
                <w:sz w:val="18"/>
                <w:szCs w:val="18"/>
                <w:color w:val="auto"/>
              </w:rPr>
              <w:t>224,600</w:t>
            </w:r>
          </w:p>
        </w:tc>
        <w:tc>
          <w:tcPr>
            <w:tcW w:w="140" w:type="dxa"/>
            <w:vAlign w:val="bottom"/>
            <w:shd w:val="clear" w:color="auto" w:fill="EEEEEE"/>
          </w:tcPr>
          <w:p>
            <w:pPr>
              <w:spacing w:after="0"/>
              <w:rPr>
                <w:sz w:val="18"/>
                <w:szCs w:val="18"/>
                <w:color w:val="auto"/>
              </w:rPr>
            </w:pPr>
          </w:p>
        </w:tc>
        <w:tc>
          <w:tcPr>
            <w:tcW w:w="80" w:type="dxa"/>
            <w:vAlign w:val="bottom"/>
            <w:shd w:val="clear" w:color="auto" w:fill="EEEEEE"/>
          </w:tcPr>
          <w:p>
            <w:pPr>
              <w:spacing w:after="0"/>
              <w:rPr>
                <w:sz w:val="18"/>
                <w:szCs w:val="18"/>
                <w:color w:val="auto"/>
              </w:rPr>
            </w:pPr>
          </w:p>
        </w:tc>
        <w:tc>
          <w:tcPr>
            <w:tcW w:w="220" w:type="dxa"/>
            <w:vAlign w:val="bottom"/>
            <w:shd w:val="clear" w:color="auto" w:fill="EEEEEE"/>
          </w:tcPr>
          <w:p>
            <w:pPr>
              <w:spacing w:after="0"/>
              <w:rPr>
                <w:sz w:val="18"/>
                <w:szCs w:val="18"/>
                <w:color w:val="auto"/>
              </w:rPr>
            </w:pPr>
          </w:p>
        </w:tc>
        <w:tc>
          <w:tcPr>
            <w:tcW w:w="940" w:type="dxa"/>
            <w:vAlign w:val="bottom"/>
            <w:shd w:val="clear" w:color="auto" w:fill="EEEEEE"/>
          </w:tcPr>
          <w:p>
            <w:pPr>
              <w:jc w:val="right"/>
              <w:spacing w:after="0"/>
              <w:rPr>
                <w:sz w:val="20"/>
                <w:szCs w:val="20"/>
                <w:color w:val="auto"/>
              </w:rPr>
            </w:pPr>
            <w:r>
              <w:rPr>
                <w:rFonts w:ascii="Arial" w:cs="Arial" w:eastAsia="Arial" w:hAnsi="Arial"/>
                <w:sz w:val="18"/>
                <w:szCs w:val="18"/>
                <w:color w:val="auto"/>
              </w:rPr>
              <w:t>224,600</w:t>
            </w:r>
          </w:p>
        </w:tc>
        <w:tc>
          <w:tcPr>
            <w:tcW w:w="100" w:type="dxa"/>
            <w:vAlign w:val="bottom"/>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464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vMerge w:val="continue"/>
          </w:tcPr>
          <w:p>
            <w:pPr>
              <w:spacing w:after="0"/>
              <w:rPr>
                <w:sz w:val="19"/>
                <w:szCs w:val="19"/>
                <w:color w:val="auto"/>
              </w:rPr>
            </w:pPr>
          </w:p>
        </w:tc>
        <w:tc>
          <w:tcPr>
            <w:tcW w:w="4640" w:type="dxa"/>
            <w:vAlign w:val="bottom"/>
            <w:shd w:val="clear" w:color="auto" w:fill="EEEEEE"/>
          </w:tcPr>
          <w:p>
            <w:pPr>
              <w:spacing w:after="0"/>
              <w:rPr>
                <w:sz w:val="20"/>
                <w:szCs w:val="20"/>
                <w:color w:val="auto"/>
              </w:rPr>
            </w:pPr>
            <w:r>
              <w:rPr>
                <w:rFonts w:ascii="Arial" w:cs="Arial" w:eastAsia="Arial" w:hAnsi="Arial"/>
                <w:sz w:val="18"/>
                <w:szCs w:val="18"/>
                <w:color w:val="auto"/>
              </w:rPr>
              <w:t>Net Loss for the Year Ended December 31, 2006</w:t>
            </w:r>
          </w:p>
        </w:tc>
        <w:tc>
          <w:tcPr>
            <w:tcW w:w="1140" w:type="dxa"/>
            <w:vAlign w:val="bottom"/>
            <w:shd w:val="clear" w:color="auto" w:fill="EEEEEE"/>
          </w:tcPr>
          <w:p>
            <w:pPr>
              <w:spacing w:after="0"/>
              <w:rPr>
                <w:sz w:val="19"/>
                <w:szCs w:val="19"/>
                <w:color w:val="auto"/>
              </w:rPr>
            </w:pPr>
          </w:p>
        </w:tc>
        <w:tc>
          <w:tcPr>
            <w:tcW w:w="220" w:type="dxa"/>
            <w:vAlign w:val="bottom"/>
            <w:shd w:val="clear" w:color="auto" w:fill="EEEEEE"/>
          </w:tcPr>
          <w:p>
            <w:pPr>
              <w:spacing w:after="0"/>
              <w:rPr>
                <w:sz w:val="19"/>
                <w:szCs w:val="19"/>
                <w:color w:val="auto"/>
              </w:rPr>
            </w:pPr>
          </w:p>
        </w:tc>
        <w:tc>
          <w:tcPr>
            <w:tcW w:w="160" w:type="dxa"/>
            <w:vAlign w:val="bottom"/>
            <w:shd w:val="clear" w:color="auto" w:fill="EEEEEE"/>
          </w:tcPr>
          <w:p>
            <w:pPr>
              <w:spacing w:after="0"/>
              <w:rPr>
                <w:sz w:val="19"/>
                <w:szCs w:val="19"/>
                <w:color w:val="auto"/>
              </w:rPr>
            </w:pPr>
          </w:p>
        </w:tc>
        <w:tc>
          <w:tcPr>
            <w:tcW w:w="1000" w:type="dxa"/>
            <w:vAlign w:val="bottom"/>
            <w:shd w:val="clear" w:color="auto" w:fill="EEEEEE"/>
          </w:tcPr>
          <w:p>
            <w:pPr>
              <w:spacing w:after="0"/>
              <w:rPr>
                <w:sz w:val="19"/>
                <w:szCs w:val="19"/>
                <w:color w:val="auto"/>
              </w:rPr>
            </w:pPr>
          </w:p>
        </w:tc>
        <w:tc>
          <w:tcPr>
            <w:tcW w:w="220" w:type="dxa"/>
            <w:vAlign w:val="bottom"/>
            <w:shd w:val="clear" w:color="auto" w:fill="EEEEEE"/>
          </w:tcPr>
          <w:p>
            <w:pPr>
              <w:spacing w:after="0"/>
              <w:rPr>
                <w:sz w:val="19"/>
                <w:szCs w:val="19"/>
                <w:color w:val="auto"/>
              </w:rPr>
            </w:pPr>
          </w:p>
        </w:tc>
        <w:tc>
          <w:tcPr>
            <w:tcW w:w="120" w:type="dxa"/>
            <w:vAlign w:val="bottom"/>
            <w:shd w:val="clear" w:color="auto" w:fill="EEEEEE"/>
          </w:tcPr>
          <w:p>
            <w:pPr>
              <w:spacing w:after="0"/>
              <w:rPr>
                <w:sz w:val="19"/>
                <w:szCs w:val="19"/>
                <w:color w:val="auto"/>
              </w:rPr>
            </w:pPr>
          </w:p>
        </w:tc>
        <w:tc>
          <w:tcPr>
            <w:tcW w:w="1040" w:type="dxa"/>
            <w:vAlign w:val="bottom"/>
            <w:shd w:val="clear" w:color="auto" w:fill="EEEEEE"/>
          </w:tcPr>
          <w:p>
            <w:pPr>
              <w:spacing w:after="0"/>
              <w:rPr>
                <w:sz w:val="19"/>
                <w:szCs w:val="19"/>
                <w:color w:val="auto"/>
              </w:rPr>
            </w:pPr>
          </w:p>
        </w:tc>
        <w:tc>
          <w:tcPr>
            <w:tcW w:w="220" w:type="dxa"/>
            <w:vAlign w:val="bottom"/>
            <w:shd w:val="clear" w:color="auto" w:fill="EEEEEE"/>
          </w:tcPr>
          <w:p>
            <w:pPr>
              <w:spacing w:after="0"/>
              <w:rPr>
                <w:sz w:val="19"/>
                <w:szCs w:val="19"/>
                <w:color w:val="auto"/>
              </w:rPr>
            </w:pPr>
          </w:p>
        </w:tc>
        <w:tc>
          <w:tcPr>
            <w:tcW w:w="120" w:type="dxa"/>
            <w:vAlign w:val="bottom"/>
            <w:shd w:val="clear" w:color="auto" w:fill="EEEEEE"/>
          </w:tcPr>
          <w:p>
            <w:pPr>
              <w:spacing w:after="0"/>
              <w:rPr>
                <w:sz w:val="19"/>
                <w:szCs w:val="19"/>
                <w:color w:val="auto"/>
              </w:rPr>
            </w:pPr>
          </w:p>
        </w:tc>
        <w:tc>
          <w:tcPr>
            <w:tcW w:w="1180" w:type="dxa"/>
            <w:vAlign w:val="bottom"/>
            <w:gridSpan w:val="2"/>
            <w:shd w:val="clear" w:color="auto" w:fill="EEEEEE"/>
          </w:tcPr>
          <w:p>
            <w:pPr>
              <w:jc w:val="right"/>
              <w:ind w:right="80"/>
              <w:spacing w:after="0"/>
              <w:rPr>
                <w:sz w:val="20"/>
                <w:szCs w:val="20"/>
                <w:color w:val="auto"/>
              </w:rPr>
            </w:pPr>
            <w:r>
              <w:rPr>
                <w:rFonts w:ascii="Arial" w:cs="Arial" w:eastAsia="Arial" w:hAnsi="Arial"/>
                <w:sz w:val="18"/>
                <w:szCs w:val="18"/>
                <w:color w:val="auto"/>
              </w:rPr>
              <w:t>(184,311)</w:t>
            </w:r>
          </w:p>
        </w:tc>
        <w:tc>
          <w:tcPr>
            <w:tcW w:w="80" w:type="dxa"/>
            <w:vAlign w:val="bottom"/>
            <w:shd w:val="clear" w:color="auto" w:fill="EEEEEE"/>
          </w:tcPr>
          <w:p>
            <w:pPr>
              <w:spacing w:after="0"/>
              <w:rPr>
                <w:sz w:val="19"/>
                <w:szCs w:val="19"/>
                <w:color w:val="auto"/>
              </w:rPr>
            </w:pPr>
          </w:p>
        </w:tc>
        <w:tc>
          <w:tcPr>
            <w:tcW w:w="220" w:type="dxa"/>
            <w:vAlign w:val="bottom"/>
            <w:shd w:val="clear" w:color="auto" w:fill="EEEEEE"/>
          </w:tcPr>
          <w:p>
            <w:pPr>
              <w:spacing w:after="0"/>
              <w:rPr>
                <w:sz w:val="19"/>
                <w:szCs w:val="19"/>
                <w:color w:val="auto"/>
              </w:rPr>
            </w:pPr>
          </w:p>
        </w:tc>
        <w:tc>
          <w:tcPr>
            <w:tcW w:w="1040" w:type="dxa"/>
            <w:vAlign w:val="bottom"/>
            <w:gridSpan w:val="2"/>
            <w:shd w:val="clear" w:color="auto" w:fill="EEEEEE"/>
          </w:tcPr>
          <w:p>
            <w:pPr>
              <w:jc w:val="right"/>
              <w:ind w:right="40"/>
              <w:spacing w:after="0"/>
              <w:rPr>
                <w:sz w:val="20"/>
                <w:szCs w:val="20"/>
                <w:color w:val="auto"/>
              </w:rPr>
            </w:pPr>
            <w:r>
              <w:rPr>
                <w:rFonts w:ascii="Arial" w:cs="Arial" w:eastAsia="Arial" w:hAnsi="Arial"/>
                <w:sz w:val="18"/>
                <w:szCs w:val="18"/>
                <w:color w:val="auto"/>
              </w:rPr>
              <w:t>(184,311)</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4640" w:type="dxa"/>
            <w:vAlign w:val="bottom"/>
            <w:tcBorders>
              <w:top w:val="single" w:sz="8" w:color="EEEEEE"/>
            </w:tcBorders>
          </w:tcPr>
          <w:p>
            <w:pPr>
              <w:spacing w:after="0"/>
              <w:rPr>
                <w:sz w:val="18"/>
                <w:szCs w:val="18"/>
                <w:color w:val="auto"/>
              </w:rPr>
            </w:pPr>
          </w:p>
        </w:tc>
        <w:tc>
          <w:tcPr>
            <w:tcW w:w="1140" w:type="dxa"/>
            <w:vAlign w:val="bottom"/>
            <w:tcBorders>
              <w:top w:val="single" w:sz="8" w:color="auto"/>
            </w:tcBorders>
          </w:tcPr>
          <w:p>
            <w:pPr>
              <w:spacing w:after="0"/>
              <w:rPr>
                <w:sz w:val="18"/>
                <w:szCs w:val="18"/>
                <w:color w:val="auto"/>
              </w:rPr>
            </w:pPr>
          </w:p>
        </w:tc>
        <w:tc>
          <w:tcPr>
            <w:tcW w:w="220" w:type="dxa"/>
            <w:vAlign w:val="bottom"/>
            <w:tcBorders>
              <w:top w:val="single" w:sz="8" w:color="EEEEEE"/>
            </w:tcBorders>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1000" w:type="dxa"/>
            <w:vAlign w:val="bottom"/>
            <w:tcBorders>
              <w:top w:val="single" w:sz="8" w:color="auto"/>
            </w:tcBorders>
          </w:tcPr>
          <w:p>
            <w:pPr>
              <w:spacing w:after="0"/>
              <w:rPr>
                <w:sz w:val="18"/>
                <w:szCs w:val="18"/>
                <w:color w:val="auto"/>
              </w:rPr>
            </w:pPr>
          </w:p>
        </w:tc>
        <w:tc>
          <w:tcPr>
            <w:tcW w:w="220" w:type="dxa"/>
            <w:vAlign w:val="bottom"/>
            <w:tcBorders>
              <w:top w:val="single" w:sz="8" w:color="EEEEEE"/>
            </w:tcBorders>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1040" w:type="dxa"/>
            <w:vAlign w:val="bottom"/>
            <w:tcBorders>
              <w:top w:val="single" w:sz="8" w:color="auto"/>
            </w:tcBorders>
          </w:tcPr>
          <w:p>
            <w:pPr>
              <w:spacing w:after="0"/>
              <w:rPr>
                <w:sz w:val="18"/>
                <w:szCs w:val="18"/>
                <w:color w:val="auto"/>
              </w:rPr>
            </w:pPr>
          </w:p>
        </w:tc>
        <w:tc>
          <w:tcPr>
            <w:tcW w:w="220" w:type="dxa"/>
            <w:vAlign w:val="bottom"/>
            <w:tcBorders>
              <w:top w:val="single" w:sz="8" w:color="EEEEEE"/>
            </w:tcBorders>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1040" w:type="dxa"/>
            <w:vAlign w:val="bottom"/>
            <w:tcBorders>
              <w:top w:val="single" w:sz="8" w:color="auto"/>
            </w:tcBorders>
          </w:tcPr>
          <w:p>
            <w:pPr>
              <w:spacing w:after="0"/>
              <w:rPr>
                <w:sz w:val="18"/>
                <w:szCs w:val="18"/>
                <w:color w:val="auto"/>
              </w:rPr>
            </w:pPr>
          </w:p>
        </w:tc>
        <w:tc>
          <w:tcPr>
            <w:tcW w:w="140" w:type="dxa"/>
            <w:vAlign w:val="bottom"/>
            <w:tcBorders>
              <w:top w:val="single" w:sz="8" w:color="EEEEEE"/>
            </w:tcBorders>
          </w:tcPr>
          <w:p>
            <w:pPr>
              <w:spacing w:after="0"/>
              <w:rPr>
                <w:sz w:val="18"/>
                <w:szCs w:val="18"/>
                <w:color w:val="auto"/>
              </w:rPr>
            </w:pPr>
          </w:p>
        </w:tc>
        <w:tc>
          <w:tcPr>
            <w:tcW w:w="80" w:type="dxa"/>
            <w:vAlign w:val="bottom"/>
            <w:tcBorders>
              <w:top w:val="single" w:sz="8" w:color="EEEEEE"/>
            </w:tcBorders>
          </w:tcPr>
          <w:p>
            <w:pPr>
              <w:spacing w:after="0"/>
              <w:rPr>
                <w:sz w:val="18"/>
                <w:szCs w:val="18"/>
                <w:color w:val="auto"/>
              </w:rPr>
            </w:pPr>
          </w:p>
        </w:tc>
        <w:tc>
          <w:tcPr>
            <w:tcW w:w="220" w:type="dxa"/>
            <w:vAlign w:val="bottom"/>
            <w:tcBorders>
              <w:top w:val="single" w:sz="8" w:color="auto"/>
            </w:tcBorders>
          </w:tcPr>
          <w:p>
            <w:pPr>
              <w:spacing w:after="0"/>
              <w:rPr>
                <w:sz w:val="18"/>
                <w:szCs w:val="18"/>
                <w:color w:val="auto"/>
              </w:rPr>
            </w:pPr>
          </w:p>
        </w:tc>
        <w:tc>
          <w:tcPr>
            <w:tcW w:w="940" w:type="dxa"/>
            <w:vAlign w:val="bottom"/>
            <w:tcBorders>
              <w:top w:val="single" w:sz="8" w:color="auto"/>
            </w:tcBorders>
          </w:tcPr>
          <w:p>
            <w:pPr>
              <w:spacing w:after="0"/>
              <w:rPr>
                <w:sz w:val="18"/>
                <w:szCs w:val="18"/>
                <w:color w:val="auto"/>
              </w:rPr>
            </w:pPr>
          </w:p>
        </w:tc>
        <w:tc>
          <w:tcPr>
            <w:tcW w:w="100" w:type="dxa"/>
            <w:vAlign w:val="bottom"/>
            <w:tcBorders>
              <w:top w:val="single" w:sz="8" w:color="EEEEEE"/>
            </w:tcBorders>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640" w:type="dxa"/>
            <w:vAlign w:val="bottom"/>
            <w:shd w:val="clear" w:color="auto" w:fill="EEEEEE"/>
          </w:tcPr>
          <w:p>
            <w:pPr>
              <w:spacing w:after="0"/>
              <w:rPr>
                <w:sz w:val="20"/>
                <w:szCs w:val="20"/>
                <w:color w:val="auto"/>
              </w:rPr>
            </w:pPr>
            <w:r>
              <w:rPr>
                <w:rFonts w:ascii="Arial" w:cs="Arial" w:eastAsia="Arial" w:hAnsi="Arial"/>
                <w:sz w:val="18"/>
                <w:szCs w:val="18"/>
                <w:color w:val="auto"/>
              </w:rPr>
              <w:t>Balance, December 31, 2006</w:t>
            </w:r>
          </w:p>
        </w:tc>
        <w:tc>
          <w:tcPr>
            <w:tcW w:w="1140" w:type="dxa"/>
            <w:vAlign w:val="bottom"/>
            <w:shd w:val="clear" w:color="auto" w:fill="EEEEEE"/>
          </w:tcPr>
          <w:p>
            <w:pPr>
              <w:spacing w:after="0"/>
              <w:rPr>
                <w:sz w:val="18"/>
                <w:szCs w:val="18"/>
                <w:color w:val="auto"/>
              </w:rPr>
            </w:pPr>
          </w:p>
        </w:tc>
        <w:tc>
          <w:tcPr>
            <w:tcW w:w="220" w:type="dxa"/>
            <w:vAlign w:val="bottom"/>
            <w:shd w:val="clear" w:color="auto" w:fill="EEEEEE"/>
          </w:tcPr>
          <w:p>
            <w:pPr>
              <w:spacing w:after="0"/>
              <w:rPr>
                <w:sz w:val="18"/>
                <w:szCs w:val="18"/>
                <w:color w:val="auto"/>
              </w:rPr>
            </w:pPr>
          </w:p>
        </w:tc>
        <w:tc>
          <w:tcPr>
            <w:tcW w:w="160" w:type="dxa"/>
            <w:vAlign w:val="bottom"/>
            <w:shd w:val="clear" w:color="auto" w:fill="EEEEEE"/>
          </w:tcPr>
          <w:p>
            <w:pPr>
              <w:spacing w:after="0"/>
              <w:rPr>
                <w:sz w:val="18"/>
                <w:szCs w:val="18"/>
                <w:color w:val="auto"/>
              </w:rPr>
            </w:pPr>
          </w:p>
        </w:tc>
        <w:tc>
          <w:tcPr>
            <w:tcW w:w="1000" w:type="dxa"/>
            <w:vAlign w:val="bottom"/>
            <w:shd w:val="clear" w:color="auto" w:fill="EEEEEE"/>
          </w:tcPr>
          <w:p>
            <w:pPr>
              <w:jc w:val="right"/>
              <w:spacing w:after="0"/>
              <w:rPr>
                <w:sz w:val="20"/>
                <w:szCs w:val="20"/>
                <w:color w:val="auto"/>
              </w:rPr>
            </w:pPr>
            <w:r>
              <w:rPr>
                <w:rFonts w:ascii="Arial" w:cs="Arial" w:eastAsia="Arial" w:hAnsi="Arial"/>
                <w:sz w:val="18"/>
                <w:szCs w:val="18"/>
                <w:color w:val="auto"/>
              </w:rPr>
              <w:t>0</w:t>
            </w:r>
          </w:p>
        </w:tc>
        <w:tc>
          <w:tcPr>
            <w:tcW w:w="220" w:type="dxa"/>
            <w:vAlign w:val="bottom"/>
            <w:shd w:val="clear" w:color="auto" w:fill="EEEEEE"/>
          </w:tcPr>
          <w:p>
            <w:pPr>
              <w:spacing w:after="0"/>
              <w:rPr>
                <w:sz w:val="18"/>
                <w:szCs w:val="18"/>
                <w:color w:val="auto"/>
              </w:rPr>
            </w:pPr>
          </w:p>
        </w:tc>
        <w:tc>
          <w:tcPr>
            <w:tcW w:w="120" w:type="dxa"/>
            <w:vAlign w:val="bottom"/>
            <w:shd w:val="clear" w:color="auto" w:fill="EEEEEE"/>
          </w:tcPr>
          <w:p>
            <w:pPr>
              <w:spacing w:after="0"/>
              <w:rPr>
                <w:sz w:val="18"/>
                <w:szCs w:val="18"/>
                <w:color w:val="auto"/>
              </w:rPr>
            </w:pPr>
          </w:p>
        </w:tc>
        <w:tc>
          <w:tcPr>
            <w:tcW w:w="1040" w:type="dxa"/>
            <w:vAlign w:val="bottom"/>
            <w:shd w:val="clear" w:color="auto" w:fill="EEEEEE"/>
          </w:tcPr>
          <w:p>
            <w:pPr>
              <w:jc w:val="right"/>
              <w:spacing w:after="0"/>
              <w:rPr>
                <w:sz w:val="20"/>
                <w:szCs w:val="20"/>
                <w:color w:val="auto"/>
              </w:rPr>
            </w:pPr>
            <w:r>
              <w:rPr>
                <w:rFonts w:ascii="Arial" w:cs="Arial" w:eastAsia="Arial" w:hAnsi="Arial"/>
                <w:sz w:val="18"/>
                <w:szCs w:val="18"/>
                <w:color w:val="auto"/>
              </w:rPr>
              <w:t>0</w:t>
            </w:r>
          </w:p>
        </w:tc>
        <w:tc>
          <w:tcPr>
            <w:tcW w:w="220" w:type="dxa"/>
            <w:vAlign w:val="bottom"/>
            <w:shd w:val="clear" w:color="auto" w:fill="EEEEEE"/>
          </w:tcPr>
          <w:p>
            <w:pPr>
              <w:spacing w:after="0"/>
              <w:rPr>
                <w:sz w:val="18"/>
                <w:szCs w:val="18"/>
                <w:color w:val="auto"/>
              </w:rPr>
            </w:pPr>
          </w:p>
        </w:tc>
        <w:tc>
          <w:tcPr>
            <w:tcW w:w="120" w:type="dxa"/>
            <w:vAlign w:val="bottom"/>
            <w:shd w:val="clear" w:color="auto" w:fill="EEEEEE"/>
          </w:tcPr>
          <w:p>
            <w:pPr>
              <w:spacing w:after="0"/>
              <w:rPr>
                <w:sz w:val="18"/>
                <w:szCs w:val="18"/>
                <w:color w:val="auto"/>
              </w:rPr>
            </w:pPr>
          </w:p>
        </w:tc>
        <w:tc>
          <w:tcPr>
            <w:tcW w:w="1040" w:type="dxa"/>
            <w:vAlign w:val="bottom"/>
            <w:shd w:val="clear" w:color="auto" w:fill="EEEEEE"/>
          </w:tcPr>
          <w:p>
            <w:pPr>
              <w:jc w:val="right"/>
              <w:spacing w:after="0"/>
              <w:rPr>
                <w:sz w:val="20"/>
                <w:szCs w:val="20"/>
                <w:color w:val="auto"/>
              </w:rPr>
            </w:pPr>
            <w:r>
              <w:rPr>
                <w:rFonts w:ascii="Arial" w:cs="Arial" w:eastAsia="Arial" w:hAnsi="Arial"/>
                <w:sz w:val="18"/>
                <w:szCs w:val="18"/>
                <w:color w:val="auto"/>
              </w:rPr>
              <w:t>40,289</w:t>
            </w:r>
          </w:p>
        </w:tc>
        <w:tc>
          <w:tcPr>
            <w:tcW w:w="140" w:type="dxa"/>
            <w:vAlign w:val="bottom"/>
            <w:shd w:val="clear" w:color="auto" w:fill="EEEEEE"/>
          </w:tcPr>
          <w:p>
            <w:pPr>
              <w:spacing w:after="0"/>
              <w:rPr>
                <w:sz w:val="18"/>
                <w:szCs w:val="18"/>
                <w:color w:val="auto"/>
              </w:rPr>
            </w:pPr>
          </w:p>
        </w:tc>
        <w:tc>
          <w:tcPr>
            <w:tcW w:w="80" w:type="dxa"/>
            <w:vAlign w:val="bottom"/>
            <w:shd w:val="clear" w:color="auto" w:fill="EEEEEE"/>
          </w:tcPr>
          <w:p>
            <w:pPr>
              <w:spacing w:after="0"/>
              <w:rPr>
                <w:sz w:val="18"/>
                <w:szCs w:val="18"/>
                <w:color w:val="auto"/>
              </w:rPr>
            </w:pPr>
          </w:p>
        </w:tc>
        <w:tc>
          <w:tcPr>
            <w:tcW w:w="220" w:type="dxa"/>
            <w:vAlign w:val="bottom"/>
            <w:shd w:val="clear" w:color="auto" w:fill="EEEEEE"/>
          </w:tcPr>
          <w:p>
            <w:pPr>
              <w:spacing w:after="0"/>
              <w:rPr>
                <w:sz w:val="18"/>
                <w:szCs w:val="18"/>
                <w:color w:val="auto"/>
              </w:rPr>
            </w:pPr>
          </w:p>
        </w:tc>
        <w:tc>
          <w:tcPr>
            <w:tcW w:w="940" w:type="dxa"/>
            <w:vAlign w:val="bottom"/>
            <w:shd w:val="clear" w:color="auto" w:fill="EEEEEE"/>
          </w:tcPr>
          <w:p>
            <w:pPr>
              <w:jc w:val="right"/>
              <w:spacing w:after="0"/>
              <w:rPr>
                <w:sz w:val="20"/>
                <w:szCs w:val="20"/>
                <w:color w:val="auto"/>
              </w:rPr>
            </w:pPr>
            <w:r>
              <w:rPr>
                <w:rFonts w:ascii="Arial" w:cs="Arial" w:eastAsia="Arial" w:hAnsi="Arial"/>
                <w:sz w:val="18"/>
                <w:szCs w:val="18"/>
                <w:color w:val="auto"/>
              </w:rPr>
              <w:t>40,289</w:t>
            </w:r>
          </w:p>
        </w:tc>
        <w:tc>
          <w:tcPr>
            <w:tcW w:w="100" w:type="dxa"/>
            <w:vAlign w:val="bottom"/>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464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640" w:type="dxa"/>
            <w:vAlign w:val="bottom"/>
            <w:shd w:val="clear" w:color="auto" w:fill="EEEEEE"/>
          </w:tcPr>
          <w:p>
            <w:pPr>
              <w:spacing w:after="0"/>
              <w:rPr>
                <w:sz w:val="20"/>
                <w:szCs w:val="20"/>
                <w:color w:val="auto"/>
              </w:rPr>
            </w:pPr>
            <w:r>
              <w:rPr>
                <w:rFonts w:ascii="Arial" w:cs="Arial" w:eastAsia="Arial" w:hAnsi="Arial"/>
                <w:sz w:val="18"/>
                <w:szCs w:val="18"/>
                <w:color w:val="auto"/>
              </w:rPr>
              <w:t>Member Contributions</w:t>
            </w:r>
          </w:p>
        </w:tc>
        <w:tc>
          <w:tcPr>
            <w:tcW w:w="1140" w:type="dxa"/>
            <w:vAlign w:val="bottom"/>
            <w:shd w:val="clear" w:color="auto" w:fill="EEEEEE"/>
          </w:tcPr>
          <w:p>
            <w:pPr>
              <w:spacing w:after="0"/>
              <w:rPr>
                <w:sz w:val="18"/>
                <w:szCs w:val="18"/>
                <w:color w:val="auto"/>
              </w:rPr>
            </w:pPr>
          </w:p>
        </w:tc>
        <w:tc>
          <w:tcPr>
            <w:tcW w:w="220" w:type="dxa"/>
            <w:vAlign w:val="bottom"/>
            <w:shd w:val="clear" w:color="auto" w:fill="EEEEEE"/>
          </w:tcPr>
          <w:p>
            <w:pPr>
              <w:spacing w:after="0"/>
              <w:rPr>
                <w:sz w:val="18"/>
                <w:szCs w:val="18"/>
                <w:color w:val="auto"/>
              </w:rPr>
            </w:pPr>
          </w:p>
        </w:tc>
        <w:tc>
          <w:tcPr>
            <w:tcW w:w="160" w:type="dxa"/>
            <w:vAlign w:val="bottom"/>
            <w:shd w:val="clear" w:color="auto" w:fill="EEEEEE"/>
          </w:tcPr>
          <w:p>
            <w:pPr>
              <w:spacing w:after="0"/>
              <w:rPr>
                <w:sz w:val="18"/>
                <w:szCs w:val="18"/>
                <w:color w:val="auto"/>
              </w:rPr>
            </w:pPr>
          </w:p>
        </w:tc>
        <w:tc>
          <w:tcPr>
            <w:tcW w:w="1000" w:type="dxa"/>
            <w:vAlign w:val="bottom"/>
            <w:shd w:val="clear" w:color="auto" w:fill="EEEEEE"/>
          </w:tcPr>
          <w:p>
            <w:pPr>
              <w:spacing w:after="0"/>
              <w:rPr>
                <w:sz w:val="18"/>
                <w:szCs w:val="18"/>
                <w:color w:val="auto"/>
              </w:rPr>
            </w:pPr>
          </w:p>
        </w:tc>
        <w:tc>
          <w:tcPr>
            <w:tcW w:w="220" w:type="dxa"/>
            <w:vAlign w:val="bottom"/>
            <w:shd w:val="clear" w:color="auto" w:fill="EEEEEE"/>
          </w:tcPr>
          <w:p>
            <w:pPr>
              <w:spacing w:after="0"/>
              <w:rPr>
                <w:sz w:val="18"/>
                <w:szCs w:val="18"/>
                <w:color w:val="auto"/>
              </w:rPr>
            </w:pPr>
          </w:p>
        </w:tc>
        <w:tc>
          <w:tcPr>
            <w:tcW w:w="120" w:type="dxa"/>
            <w:vAlign w:val="bottom"/>
            <w:shd w:val="clear" w:color="auto" w:fill="EEEEEE"/>
          </w:tcPr>
          <w:p>
            <w:pPr>
              <w:spacing w:after="0"/>
              <w:rPr>
                <w:sz w:val="18"/>
                <w:szCs w:val="18"/>
                <w:color w:val="auto"/>
              </w:rPr>
            </w:pPr>
          </w:p>
        </w:tc>
        <w:tc>
          <w:tcPr>
            <w:tcW w:w="1040" w:type="dxa"/>
            <w:vAlign w:val="bottom"/>
            <w:shd w:val="clear" w:color="auto" w:fill="EEEEEE"/>
          </w:tcPr>
          <w:p>
            <w:pPr>
              <w:spacing w:after="0"/>
              <w:rPr>
                <w:sz w:val="18"/>
                <w:szCs w:val="18"/>
                <w:color w:val="auto"/>
              </w:rPr>
            </w:pPr>
          </w:p>
        </w:tc>
        <w:tc>
          <w:tcPr>
            <w:tcW w:w="220" w:type="dxa"/>
            <w:vAlign w:val="bottom"/>
            <w:shd w:val="clear" w:color="auto" w:fill="EEEEEE"/>
          </w:tcPr>
          <w:p>
            <w:pPr>
              <w:spacing w:after="0"/>
              <w:rPr>
                <w:sz w:val="18"/>
                <w:szCs w:val="18"/>
                <w:color w:val="auto"/>
              </w:rPr>
            </w:pPr>
          </w:p>
        </w:tc>
        <w:tc>
          <w:tcPr>
            <w:tcW w:w="120" w:type="dxa"/>
            <w:vAlign w:val="bottom"/>
            <w:shd w:val="clear" w:color="auto" w:fill="EEEEEE"/>
          </w:tcPr>
          <w:p>
            <w:pPr>
              <w:spacing w:after="0"/>
              <w:rPr>
                <w:sz w:val="18"/>
                <w:szCs w:val="18"/>
                <w:color w:val="auto"/>
              </w:rPr>
            </w:pPr>
          </w:p>
        </w:tc>
        <w:tc>
          <w:tcPr>
            <w:tcW w:w="1040" w:type="dxa"/>
            <w:vAlign w:val="bottom"/>
            <w:shd w:val="clear" w:color="auto" w:fill="EEEEEE"/>
          </w:tcPr>
          <w:p>
            <w:pPr>
              <w:jc w:val="right"/>
              <w:spacing w:after="0"/>
              <w:rPr>
                <w:sz w:val="20"/>
                <w:szCs w:val="20"/>
                <w:color w:val="auto"/>
              </w:rPr>
            </w:pPr>
            <w:r>
              <w:rPr>
                <w:rFonts w:ascii="Arial" w:cs="Arial" w:eastAsia="Arial" w:hAnsi="Arial"/>
                <w:sz w:val="18"/>
                <w:szCs w:val="18"/>
                <w:color w:val="auto"/>
              </w:rPr>
              <w:t>180,000</w:t>
            </w:r>
          </w:p>
        </w:tc>
        <w:tc>
          <w:tcPr>
            <w:tcW w:w="140" w:type="dxa"/>
            <w:vAlign w:val="bottom"/>
            <w:shd w:val="clear" w:color="auto" w:fill="EEEEEE"/>
          </w:tcPr>
          <w:p>
            <w:pPr>
              <w:spacing w:after="0"/>
              <w:rPr>
                <w:sz w:val="18"/>
                <w:szCs w:val="18"/>
                <w:color w:val="auto"/>
              </w:rPr>
            </w:pPr>
          </w:p>
        </w:tc>
        <w:tc>
          <w:tcPr>
            <w:tcW w:w="80" w:type="dxa"/>
            <w:vAlign w:val="bottom"/>
            <w:shd w:val="clear" w:color="auto" w:fill="EEEEEE"/>
          </w:tcPr>
          <w:p>
            <w:pPr>
              <w:spacing w:after="0"/>
              <w:rPr>
                <w:sz w:val="18"/>
                <w:szCs w:val="18"/>
                <w:color w:val="auto"/>
              </w:rPr>
            </w:pPr>
          </w:p>
        </w:tc>
        <w:tc>
          <w:tcPr>
            <w:tcW w:w="220" w:type="dxa"/>
            <w:vAlign w:val="bottom"/>
            <w:shd w:val="clear" w:color="auto" w:fill="EEEEEE"/>
          </w:tcPr>
          <w:p>
            <w:pPr>
              <w:spacing w:after="0"/>
              <w:rPr>
                <w:sz w:val="18"/>
                <w:szCs w:val="18"/>
                <w:color w:val="auto"/>
              </w:rPr>
            </w:pPr>
          </w:p>
        </w:tc>
        <w:tc>
          <w:tcPr>
            <w:tcW w:w="940" w:type="dxa"/>
            <w:vAlign w:val="bottom"/>
            <w:shd w:val="clear" w:color="auto" w:fill="EEEEEE"/>
          </w:tcPr>
          <w:p>
            <w:pPr>
              <w:jc w:val="right"/>
              <w:spacing w:after="0"/>
              <w:rPr>
                <w:sz w:val="20"/>
                <w:szCs w:val="20"/>
                <w:color w:val="auto"/>
              </w:rPr>
            </w:pPr>
            <w:r>
              <w:rPr>
                <w:rFonts w:ascii="Arial" w:cs="Arial" w:eastAsia="Arial" w:hAnsi="Arial"/>
                <w:sz w:val="18"/>
                <w:szCs w:val="18"/>
                <w:color w:val="auto"/>
              </w:rPr>
              <w:t>180,000</w:t>
            </w:r>
          </w:p>
        </w:tc>
        <w:tc>
          <w:tcPr>
            <w:tcW w:w="100" w:type="dxa"/>
            <w:vAlign w:val="bottom"/>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464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640" w:type="dxa"/>
            <w:vAlign w:val="bottom"/>
            <w:shd w:val="clear" w:color="auto" w:fill="EEEEEE"/>
          </w:tcPr>
          <w:p>
            <w:pPr>
              <w:spacing w:after="0"/>
              <w:rPr>
                <w:sz w:val="20"/>
                <w:szCs w:val="20"/>
                <w:color w:val="auto"/>
              </w:rPr>
            </w:pPr>
            <w:r>
              <w:rPr>
                <w:rFonts w:ascii="Arial" w:cs="Arial" w:eastAsia="Arial" w:hAnsi="Arial"/>
                <w:sz w:val="18"/>
                <w:szCs w:val="18"/>
                <w:color w:val="auto"/>
              </w:rPr>
              <w:t>Member Distributions</w:t>
            </w:r>
          </w:p>
        </w:tc>
        <w:tc>
          <w:tcPr>
            <w:tcW w:w="1140" w:type="dxa"/>
            <w:vAlign w:val="bottom"/>
            <w:shd w:val="clear" w:color="auto" w:fill="EEEEEE"/>
          </w:tcPr>
          <w:p>
            <w:pPr>
              <w:spacing w:after="0"/>
              <w:rPr>
                <w:sz w:val="18"/>
                <w:szCs w:val="18"/>
                <w:color w:val="auto"/>
              </w:rPr>
            </w:pPr>
          </w:p>
        </w:tc>
        <w:tc>
          <w:tcPr>
            <w:tcW w:w="220" w:type="dxa"/>
            <w:vAlign w:val="bottom"/>
            <w:shd w:val="clear" w:color="auto" w:fill="EEEEEE"/>
          </w:tcPr>
          <w:p>
            <w:pPr>
              <w:spacing w:after="0"/>
              <w:rPr>
                <w:sz w:val="18"/>
                <w:szCs w:val="18"/>
                <w:color w:val="auto"/>
              </w:rPr>
            </w:pPr>
          </w:p>
        </w:tc>
        <w:tc>
          <w:tcPr>
            <w:tcW w:w="160" w:type="dxa"/>
            <w:vAlign w:val="bottom"/>
            <w:shd w:val="clear" w:color="auto" w:fill="EEEEEE"/>
          </w:tcPr>
          <w:p>
            <w:pPr>
              <w:spacing w:after="0"/>
              <w:rPr>
                <w:sz w:val="18"/>
                <w:szCs w:val="18"/>
                <w:color w:val="auto"/>
              </w:rPr>
            </w:pPr>
          </w:p>
        </w:tc>
        <w:tc>
          <w:tcPr>
            <w:tcW w:w="1000" w:type="dxa"/>
            <w:vAlign w:val="bottom"/>
            <w:shd w:val="clear" w:color="auto" w:fill="EEEEEE"/>
          </w:tcPr>
          <w:p>
            <w:pPr>
              <w:spacing w:after="0"/>
              <w:rPr>
                <w:sz w:val="18"/>
                <w:szCs w:val="18"/>
                <w:color w:val="auto"/>
              </w:rPr>
            </w:pPr>
          </w:p>
        </w:tc>
        <w:tc>
          <w:tcPr>
            <w:tcW w:w="220" w:type="dxa"/>
            <w:vAlign w:val="bottom"/>
            <w:shd w:val="clear" w:color="auto" w:fill="EEEEEE"/>
          </w:tcPr>
          <w:p>
            <w:pPr>
              <w:spacing w:after="0"/>
              <w:rPr>
                <w:sz w:val="18"/>
                <w:szCs w:val="18"/>
                <w:color w:val="auto"/>
              </w:rPr>
            </w:pPr>
          </w:p>
        </w:tc>
        <w:tc>
          <w:tcPr>
            <w:tcW w:w="120" w:type="dxa"/>
            <w:vAlign w:val="bottom"/>
            <w:shd w:val="clear" w:color="auto" w:fill="EEEEEE"/>
          </w:tcPr>
          <w:p>
            <w:pPr>
              <w:spacing w:after="0"/>
              <w:rPr>
                <w:sz w:val="18"/>
                <w:szCs w:val="18"/>
                <w:color w:val="auto"/>
              </w:rPr>
            </w:pPr>
          </w:p>
        </w:tc>
        <w:tc>
          <w:tcPr>
            <w:tcW w:w="1040" w:type="dxa"/>
            <w:vAlign w:val="bottom"/>
            <w:shd w:val="clear" w:color="auto" w:fill="EEEEEE"/>
          </w:tcPr>
          <w:p>
            <w:pPr>
              <w:spacing w:after="0"/>
              <w:rPr>
                <w:sz w:val="18"/>
                <w:szCs w:val="18"/>
                <w:color w:val="auto"/>
              </w:rPr>
            </w:pPr>
          </w:p>
        </w:tc>
        <w:tc>
          <w:tcPr>
            <w:tcW w:w="220" w:type="dxa"/>
            <w:vAlign w:val="bottom"/>
            <w:shd w:val="clear" w:color="auto" w:fill="EEEEEE"/>
          </w:tcPr>
          <w:p>
            <w:pPr>
              <w:spacing w:after="0"/>
              <w:rPr>
                <w:sz w:val="18"/>
                <w:szCs w:val="18"/>
                <w:color w:val="auto"/>
              </w:rPr>
            </w:pPr>
          </w:p>
        </w:tc>
        <w:tc>
          <w:tcPr>
            <w:tcW w:w="120" w:type="dxa"/>
            <w:vAlign w:val="bottom"/>
            <w:shd w:val="clear" w:color="auto" w:fill="EEEEEE"/>
          </w:tcPr>
          <w:p>
            <w:pPr>
              <w:spacing w:after="0"/>
              <w:rPr>
                <w:sz w:val="18"/>
                <w:szCs w:val="18"/>
                <w:color w:val="auto"/>
              </w:rPr>
            </w:pPr>
          </w:p>
        </w:tc>
        <w:tc>
          <w:tcPr>
            <w:tcW w:w="1180" w:type="dxa"/>
            <w:vAlign w:val="bottom"/>
            <w:gridSpan w:val="2"/>
            <w:shd w:val="clear" w:color="auto" w:fill="EEEEEE"/>
          </w:tcPr>
          <w:p>
            <w:pPr>
              <w:jc w:val="right"/>
              <w:ind w:right="80"/>
              <w:spacing w:after="0"/>
              <w:rPr>
                <w:sz w:val="20"/>
                <w:szCs w:val="20"/>
                <w:color w:val="auto"/>
              </w:rPr>
            </w:pPr>
            <w:r>
              <w:rPr>
                <w:rFonts w:ascii="Arial" w:cs="Arial" w:eastAsia="Arial" w:hAnsi="Arial"/>
                <w:sz w:val="18"/>
                <w:szCs w:val="18"/>
                <w:color w:val="auto"/>
              </w:rPr>
              <w:t>(253,750)</w:t>
            </w:r>
          </w:p>
        </w:tc>
        <w:tc>
          <w:tcPr>
            <w:tcW w:w="80" w:type="dxa"/>
            <w:vAlign w:val="bottom"/>
            <w:shd w:val="clear" w:color="auto" w:fill="EEEEEE"/>
          </w:tcPr>
          <w:p>
            <w:pPr>
              <w:spacing w:after="0"/>
              <w:rPr>
                <w:sz w:val="18"/>
                <w:szCs w:val="18"/>
                <w:color w:val="auto"/>
              </w:rPr>
            </w:pPr>
          </w:p>
        </w:tc>
        <w:tc>
          <w:tcPr>
            <w:tcW w:w="220" w:type="dxa"/>
            <w:vAlign w:val="bottom"/>
            <w:shd w:val="clear" w:color="auto" w:fill="EEEEEE"/>
          </w:tcPr>
          <w:p>
            <w:pPr>
              <w:spacing w:after="0"/>
              <w:rPr>
                <w:sz w:val="18"/>
                <w:szCs w:val="18"/>
                <w:color w:val="auto"/>
              </w:rPr>
            </w:pPr>
          </w:p>
        </w:tc>
        <w:tc>
          <w:tcPr>
            <w:tcW w:w="1040" w:type="dxa"/>
            <w:vAlign w:val="bottom"/>
            <w:gridSpan w:val="2"/>
            <w:shd w:val="clear" w:color="auto" w:fill="EEEEEE"/>
          </w:tcPr>
          <w:p>
            <w:pPr>
              <w:jc w:val="right"/>
              <w:ind w:right="40"/>
              <w:spacing w:after="0"/>
              <w:rPr>
                <w:sz w:val="20"/>
                <w:szCs w:val="20"/>
                <w:color w:val="auto"/>
              </w:rPr>
            </w:pPr>
            <w:r>
              <w:rPr>
                <w:rFonts w:ascii="Arial" w:cs="Arial" w:eastAsia="Arial" w:hAnsi="Arial"/>
                <w:sz w:val="18"/>
                <w:szCs w:val="18"/>
                <w:color w:val="auto"/>
              </w:rPr>
              <w:t>(253,750)</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464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640" w:type="dxa"/>
            <w:vAlign w:val="bottom"/>
            <w:shd w:val="clear" w:color="auto" w:fill="EEEEEE"/>
          </w:tcPr>
          <w:p>
            <w:pPr>
              <w:spacing w:after="0"/>
              <w:rPr>
                <w:sz w:val="20"/>
                <w:szCs w:val="20"/>
                <w:color w:val="auto"/>
              </w:rPr>
            </w:pPr>
            <w:r>
              <w:rPr>
                <w:rFonts w:ascii="Arial" w:cs="Arial" w:eastAsia="Arial" w:hAnsi="Arial"/>
                <w:sz w:val="18"/>
                <w:szCs w:val="18"/>
                <w:color w:val="auto"/>
              </w:rPr>
              <w:t>Issuance of common stock to former LLC members</w:t>
            </w:r>
          </w:p>
        </w:tc>
        <w:tc>
          <w:tcPr>
            <w:tcW w:w="1140" w:type="dxa"/>
            <w:vAlign w:val="bottom"/>
            <w:shd w:val="clear" w:color="auto" w:fill="EEEEEE"/>
          </w:tcPr>
          <w:p>
            <w:pPr>
              <w:jc w:val="right"/>
              <w:spacing w:after="0"/>
              <w:rPr>
                <w:sz w:val="20"/>
                <w:szCs w:val="20"/>
                <w:color w:val="auto"/>
              </w:rPr>
            </w:pPr>
            <w:r>
              <w:rPr>
                <w:rFonts w:ascii="Arial" w:cs="Arial" w:eastAsia="Arial" w:hAnsi="Arial"/>
                <w:sz w:val="18"/>
                <w:szCs w:val="18"/>
                <w:color w:val="auto"/>
              </w:rPr>
              <w:t>10,000,000</w:t>
            </w:r>
          </w:p>
        </w:tc>
        <w:tc>
          <w:tcPr>
            <w:tcW w:w="220" w:type="dxa"/>
            <w:vAlign w:val="bottom"/>
            <w:shd w:val="clear" w:color="auto" w:fill="EEEEEE"/>
          </w:tcPr>
          <w:p>
            <w:pPr>
              <w:spacing w:after="0"/>
              <w:rPr>
                <w:sz w:val="18"/>
                <w:szCs w:val="18"/>
                <w:color w:val="auto"/>
              </w:rPr>
            </w:pPr>
          </w:p>
        </w:tc>
        <w:tc>
          <w:tcPr>
            <w:tcW w:w="160" w:type="dxa"/>
            <w:vAlign w:val="bottom"/>
            <w:shd w:val="clear" w:color="auto" w:fill="EEEEEE"/>
          </w:tcPr>
          <w:p>
            <w:pPr>
              <w:spacing w:after="0"/>
              <w:rPr>
                <w:sz w:val="18"/>
                <w:szCs w:val="18"/>
                <w:color w:val="auto"/>
              </w:rPr>
            </w:pPr>
          </w:p>
        </w:tc>
        <w:tc>
          <w:tcPr>
            <w:tcW w:w="1000" w:type="dxa"/>
            <w:vAlign w:val="bottom"/>
            <w:shd w:val="clear" w:color="auto" w:fill="EEEEEE"/>
          </w:tcPr>
          <w:p>
            <w:pPr>
              <w:jc w:val="right"/>
              <w:spacing w:after="0"/>
              <w:rPr>
                <w:sz w:val="20"/>
                <w:szCs w:val="20"/>
                <w:color w:val="auto"/>
              </w:rPr>
            </w:pPr>
            <w:r>
              <w:rPr>
                <w:rFonts w:ascii="Arial" w:cs="Arial" w:eastAsia="Arial" w:hAnsi="Arial"/>
                <w:sz w:val="18"/>
                <w:szCs w:val="18"/>
                <w:color w:val="auto"/>
              </w:rPr>
              <w:t>10,000</w:t>
            </w:r>
          </w:p>
        </w:tc>
        <w:tc>
          <w:tcPr>
            <w:tcW w:w="220" w:type="dxa"/>
            <w:vAlign w:val="bottom"/>
            <w:shd w:val="clear" w:color="auto" w:fill="EEEEEE"/>
          </w:tcPr>
          <w:p>
            <w:pPr>
              <w:spacing w:after="0"/>
              <w:rPr>
                <w:sz w:val="18"/>
                <w:szCs w:val="18"/>
                <w:color w:val="auto"/>
              </w:rPr>
            </w:pPr>
          </w:p>
        </w:tc>
        <w:tc>
          <w:tcPr>
            <w:tcW w:w="120" w:type="dxa"/>
            <w:vAlign w:val="bottom"/>
            <w:shd w:val="clear" w:color="auto" w:fill="EEEEEE"/>
          </w:tcPr>
          <w:p>
            <w:pPr>
              <w:spacing w:after="0"/>
              <w:rPr>
                <w:sz w:val="18"/>
                <w:szCs w:val="18"/>
                <w:color w:val="auto"/>
              </w:rPr>
            </w:pPr>
          </w:p>
        </w:tc>
        <w:tc>
          <w:tcPr>
            <w:tcW w:w="1260" w:type="dxa"/>
            <w:vAlign w:val="bottom"/>
            <w:gridSpan w:val="2"/>
            <w:shd w:val="clear" w:color="auto" w:fill="EEEEEE"/>
          </w:tcPr>
          <w:p>
            <w:pPr>
              <w:jc w:val="right"/>
              <w:ind w:right="160"/>
              <w:spacing w:after="0"/>
              <w:rPr>
                <w:sz w:val="20"/>
                <w:szCs w:val="20"/>
                <w:color w:val="auto"/>
              </w:rPr>
            </w:pPr>
            <w:r>
              <w:rPr>
                <w:rFonts w:ascii="Arial" w:cs="Arial" w:eastAsia="Arial" w:hAnsi="Arial"/>
                <w:sz w:val="18"/>
                <w:szCs w:val="18"/>
                <w:color w:val="auto"/>
              </w:rPr>
              <w:t>(10,000)</w:t>
            </w:r>
          </w:p>
        </w:tc>
        <w:tc>
          <w:tcPr>
            <w:tcW w:w="120" w:type="dxa"/>
            <w:vAlign w:val="bottom"/>
            <w:shd w:val="clear" w:color="auto" w:fill="EEEEEE"/>
          </w:tcPr>
          <w:p>
            <w:pPr>
              <w:spacing w:after="0"/>
              <w:rPr>
                <w:sz w:val="18"/>
                <w:szCs w:val="18"/>
                <w:color w:val="auto"/>
              </w:rPr>
            </w:pPr>
          </w:p>
        </w:tc>
        <w:tc>
          <w:tcPr>
            <w:tcW w:w="1040" w:type="dxa"/>
            <w:vAlign w:val="bottom"/>
            <w:shd w:val="clear" w:color="auto" w:fill="EEEEEE"/>
          </w:tcPr>
          <w:p>
            <w:pPr>
              <w:spacing w:after="0"/>
              <w:rPr>
                <w:sz w:val="18"/>
                <w:szCs w:val="18"/>
                <w:color w:val="auto"/>
              </w:rPr>
            </w:pPr>
          </w:p>
        </w:tc>
        <w:tc>
          <w:tcPr>
            <w:tcW w:w="140" w:type="dxa"/>
            <w:vAlign w:val="bottom"/>
            <w:shd w:val="clear" w:color="auto" w:fill="EEEEEE"/>
          </w:tcPr>
          <w:p>
            <w:pPr>
              <w:spacing w:after="0"/>
              <w:rPr>
                <w:sz w:val="18"/>
                <w:szCs w:val="18"/>
                <w:color w:val="auto"/>
              </w:rPr>
            </w:pPr>
          </w:p>
        </w:tc>
        <w:tc>
          <w:tcPr>
            <w:tcW w:w="80" w:type="dxa"/>
            <w:vAlign w:val="bottom"/>
            <w:shd w:val="clear" w:color="auto" w:fill="EEEEEE"/>
          </w:tcPr>
          <w:p>
            <w:pPr>
              <w:spacing w:after="0"/>
              <w:rPr>
                <w:sz w:val="18"/>
                <w:szCs w:val="18"/>
                <w:color w:val="auto"/>
              </w:rPr>
            </w:pPr>
          </w:p>
        </w:tc>
        <w:tc>
          <w:tcPr>
            <w:tcW w:w="220" w:type="dxa"/>
            <w:vAlign w:val="bottom"/>
            <w:shd w:val="clear" w:color="auto" w:fill="EEEEEE"/>
          </w:tcPr>
          <w:p>
            <w:pPr>
              <w:spacing w:after="0"/>
              <w:rPr>
                <w:sz w:val="18"/>
                <w:szCs w:val="18"/>
                <w:color w:val="auto"/>
              </w:rPr>
            </w:pPr>
          </w:p>
        </w:tc>
        <w:tc>
          <w:tcPr>
            <w:tcW w:w="940" w:type="dxa"/>
            <w:vAlign w:val="bottom"/>
            <w:shd w:val="clear" w:color="auto" w:fill="EEEEEE"/>
          </w:tcPr>
          <w:p>
            <w:pPr>
              <w:jc w:val="right"/>
              <w:spacing w:after="0"/>
              <w:rPr>
                <w:sz w:val="20"/>
                <w:szCs w:val="20"/>
                <w:color w:val="auto"/>
              </w:rPr>
            </w:pPr>
            <w:r>
              <w:rPr>
                <w:rFonts w:ascii="Arial" w:cs="Arial" w:eastAsia="Arial" w:hAnsi="Arial"/>
                <w:sz w:val="18"/>
                <w:szCs w:val="18"/>
                <w:color w:val="auto"/>
              </w:rPr>
              <w:t>0</w:t>
            </w:r>
          </w:p>
        </w:tc>
        <w:tc>
          <w:tcPr>
            <w:tcW w:w="100" w:type="dxa"/>
            <w:vAlign w:val="bottom"/>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464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640" w:type="dxa"/>
            <w:vAlign w:val="bottom"/>
            <w:shd w:val="clear" w:color="auto" w:fill="EEEEEE"/>
          </w:tcPr>
          <w:p>
            <w:pPr>
              <w:spacing w:after="0"/>
              <w:rPr>
                <w:sz w:val="20"/>
                <w:szCs w:val="20"/>
                <w:color w:val="auto"/>
              </w:rPr>
            </w:pPr>
            <w:r>
              <w:rPr>
                <w:rFonts w:ascii="Arial" w:cs="Arial" w:eastAsia="Arial" w:hAnsi="Arial"/>
                <w:sz w:val="18"/>
                <w:szCs w:val="18"/>
                <w:color w:val="auto"/>
              </w:rPr>
              <w:t>Issuance of common stock, private offering</w:t>
            </w:r>
          </w:p>
        </w:tc>
        <w:tc>
          <w:tcPr>
            <w:tcW w:w="1140" w:type="dxa"/>
            <w:vAlign w:val="bottom"/>
            <w:shd w:val="clear" w:color="auto" w:fill="EEEEEE"/>
          </w:tcPr>
          <w:p>
            <w:pPr>
              <w:jc w:val="right"/>
              <w:spacing w:after="0"/>
              <w:rPr>
                <w:sz w:val="20"/>
                <w:szCs w:val="20"/>
                <w:color w:val="auto"/>
              </w:rPr>
            </w:pPr>
            <w:r>
              <w:rPr>
                <w:rFonts w:ascii="Arial" w:cs="Arial" w:eastAsia="Arial" w:hAnsi="Arial"/>
                <w:sz w:val="18"/>
                <w:szCs w:val="18"/>
                <w:color w:val="auto"/>
              </w:rPr>
              <w:t>300,000</w:t>
            </w:r>
          </w:p>
        </w:tc>
        <w:tc>
          <w:tcPr>
            <w:tcW w:w="220" w:type="dxa"/>
            <w:vAlign w:val="bottom"/>
            <w:shd w:val="clear" w:color="auto" w:fill="EEEEEE"/>
          </w:tcPr>
          <w:p>
            <w:pPr>
              <w:spacing w:after="0"/>
              <w:rPr>
                <w:sz w:val="18"/>
                <w:szCs w:val="18"/>
                <w:color w:val="auto"/>
              </w:rPr>
            </w:pPr>
          </w:p>
        </w:tc>
        <w:tc>
          <w:tcPr>
            <w:tcW w:w="160" w:type="dxa"/>
            <w:vAlign w:val="bottom"/>
            <w:shd w:val="clear" w:color="auto" w:fill="EEEEEE"/>
          </w:tcPr>
          <w:p>
            <w:pPr>
              <w:spacing w:after="0"/>
              <w:rPr>
                <w:sz w:val="18"/>
                <w:szCs w:val="18"/>
                <w:color w:val="auto"/>
              </w:rPr>
            </w:pPr>
          </w:p>
        </w:tc>
        <w:tc>
          <w:tcPr>
            <w:tcW w:w="1000" w:type="dxa"/>
            <w:vAlign w:val="bottom"/>
            <w:shd w:val="clear" w:color="auto" w:fill="EEEEEE"/>
          </w:tcPr>
          <w:p>
            <w:pPr>
              <w:jc w:val="right"/>
              <w:spacing w:after="0"/>
              <w:rPr>
                <w:sz w:val="20"/>
                <w:szCs w:val="20"/>
                <w:color w:val="auto"/>
              </w:rPr>
            </w:pPr>
            <w:r>
              <w:rPr>
                <w:rFonts w:ascii="Arial" w:cs="Arial" w:eastAsia="Arial" w:hAnsi="Arial"/>
                <w:sz w:val="18"/>
                <w:szCs w:val="18"/>
                <w:color w:val="auto"/>
              </w:rPr>
              <w:t>300</w:t>
            </w:r>
          </w:p>
        </w:tc>
        <w:tc>
          <w:tcPr>
            <w:tcW w:w="220" w:type="dxa"/>
            <w:vAlign w:val="bottom"/>
            <w:shd w:val="clear" w:color="auto" w:fill="EEEEEE"/>
          </w:tcPr>
          <w:p>
            <w:pPr>
              <w:spacing w:after="0"/>
              <w:rPr>
                <w:sz w:val="18"/>
                <w:szCs w:val="18"/>
                <w:color w:val="auto"/>
              </w:rPr>
            </w:pPr>
          </w:p>
        </w:tc>
        <w:tc>
          <w:tcPr>
            <w:tcW w:w="120" w:type="dxa"/>
            <w:vAlign w:val="bottom"/>
            <w:shd w:val="clear" w:color="auto" w:fill="EEEEEE"/>
          </w:tcPr>
          <w:p>
            <w:pPr>
              <w:spacing w:after="0"/>
              <w:rPr>
                <w:sz w:val="18"/>
                <w:szCs w:val="18"/>
                <w:color w:val="auto"/>
              </w:rPr>
            </w:pPr>
          </w:p>
        </w:tc>
        <w:tc>
          <w:tcPr>
            <w:tcW w:w="1040" w:type="dxa"/>
            <w:vAlign w:val="bottom"/>
            <w:shd w:val="clear" w:color="auto" w:fill="EEEEEE"/>
          </w:tcPr>
          <w:p>
            <w:pPr>
              <w:jc w:val="right"/>
              <w:spacing w:after="0"/>
              <w:rPr>
                <w:sz w:val="20"/>
                <w:szCs w:val="20"/>
                <w:color w:val="auto"/>
              </w:rPr>
            </w:pPr>
            <w:r>
              <w:rPr>
                <w:rFonts w:ascii="Arial" w:cs="Arial" w:eastAsia="Arial" w:hAnsi="Arial"/>
                <w:sz w:val="18"/>
                <w:szCs w:val="18"/>
                <w:color w:val="auto"/>
              </w:rPr>
              <w:t>299,700</w:t>
            </w:r>
          </w:p>
        </w:tc>
        <w:tc>
          <w:tcPr>
            <w:tcW w:w="220" w:type="dxa"/>
            <w:vAlign w:val="bottom"/>
            <w:shd w:val="clear" w:color="auto" w:fill="EEEEEE"/>
          </w:tcPr>
          <w:p>
            <w:pPr>
              <w:spacing w:after="0"/>
              <w:rPr>
                <w:sz w:val="18"/>
                <w:szCs w:val="18"/>
                <w:color w:val="auto"/>
              </w:rPr>
            </w:pPr>
          </w:p>
        </w:tc>
        <w:tc>
          <w:tcPr>
            <w:tcW w:w="120" w:type="dxa"/>
            <w:vAlign w:val="bottom"/>
            <w:shd w:val="clear" w:color="auto" w:fill="EEEEEE"/>
          </w:tcPr>
          <w:p>
            <w:pPr>
              <w:spacing w:after="0"/>
              <w:rPr>
                <w:sz w:val="18"/>
                <w:szCs w:val="18"/>
                <w:color w:val="auto"/>
              </w:rPr>
            </w:pPr>
          </w:p>
        </w:tc>
        <w:tc>
          <w:tcPr>
            <w:tcW w:w="1040" w:type="dxa"/>
            <w:vAlign w:val="bottom"/>
            <w:shd w:val="clear" w:color="auto" w:fill="EEEEEE"/>
          </w:tcPr>
          <w:p>
            <w:pPr>
              <w:spacing w:after="0"/>
              <w:rPr>
                <w:sz w:val="18"/>
                <w:szCs w:val="18"/>
                <w:color w:val="auto"/>
              </w:rPr>
            </w:pPr>
          </w:p>
        </w:tc>
        <w:tc>
          <w:tcPr>
            <w:tcW w:w="140" w:type="dxa"/>
            <w:vAlign w:val="bottom"/>
            <w:shd w:val="clear" w:color="auto" w:fill="EEEEEE"/>
          </w:tcPr>
          <w:p>
            <w:pPr>
              <w:spacing w:after="0"/>
              <w:rPr>
                <w:sz w:val="18"/>
                <w:szCs w:val="18"/>
                <w:color w:val="auto"/>
              </w:rPr>
            </w:pPr>
          </w:p>
        </w:tc>
        <w:tc>
          <w:tcPr>
            <w:tcW w:w="80" w:type="dxa"/>
            <w:vAlign w:val="bottom"/>
            <w:shd w:val="clear" w:color="auto" w:fill="EEEEEE"/>
          </w:tcPr>
          <w:p>
            <w:pPr>
              <w:spacing w:after="0"/>
              <w:rPr>
                <w:sz w:val="18"/>
                <w:szCs w:val="18"/>
                <w:color w:val="auto"/>
              </w:rPr>
            </w:pPr>
          </w:p>
        </w:tc>
        <w:tc>
          <w:tcPr>
            <w:tcW w:w="220" w:type="dxa"/>
            <w:vAlign w:val="bottom"/>
            <w:shd w:val="clear" w:color="auto" w:fill="EEEEEE"/>
          </w:tcPr>
          <w:p>
            <w:pPr>
              <w:spacing w:after="0"/>
              <w:rPr>
                <w:sz w:val="18"/>
                <w:szCs w:val="18"/>
                <w:color w:val="auto"/>
              </w:rPr>
            </w:pPr>
          </w:p>
        </w:tc>
        <w:tc>
          <w:tcPr>
            <w:tcW w:w="940" w:type="dxa"/>
            <w:vAlign w:val="bottom"/>
            <w:shd w:val="clear" w:color="auto" w:fill="EEEEEE"/>
          </w:tcPr>
          <w:p>
            <w:pPr>
              <w:jc w:val="right"/>
              <w:spacing w:after="0"/>
              <w:rPr>
                <w:sz w:val="20"/>
                <w:szCs w:val="20"/>
                <w:color w:val="auto"/>
              </w:rPr>
            </w:pPr>
            <w:r>
              <w:rPr>
                <w:rFonts w:ascii="Arial" w:cs="Arial" w:eastAsia="Arial" w:hAnsi="Arial"/>
                <w:sz w:val="18"/>
                <w:szCs w:val="18"/>
                <w:color w:val="auto"/>
              </w:rPr>
              <w:t>300,000</w:t>
            </w:r>
          </w:p>
        </w:tc>
        <w:tc>
          <w:tcPr>
            <w:tcW w:w="100" w:type="dxa"/>
            <w:vAlign w:val="bottom"/>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464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vMerge w:val="continue"/>
          </w:tcPr>
          <w:p>
            <w:pPr>
              <w:spacing w:after="0"/>
              <w:rPr>
                <w:sz w:val="19"/>
                <w:szCs w:val="19"/>
                <w:color w:val="auto"/>
              </w:rPr>
            </w:pPr>
          </w:p>
        </w:tc>
        <w:tc>
          <w:tcPr>
            <w:tcW w:w="4640" w:type="dxa"/>
            <w:vAlign w:val="bottom"/>
            <w:shd w:val="clear" w:color="auto" w:fill="EEEEEE"/>
          </w:tcPr>
          <w:p>
            <w:pPr>
              <w:spacing w:after="0"/>
              <w:rPr>
                <w:sz w:val="20"/>
                <w:szCs w:val="20"/>
                <w:color w:val="auto"/>
              </w:rPr>
            </w:pPr>
            <w:r>
              <w:rPr>
                <w:rFonts w:ascii="Arial" w:cs="Arial" w:eastAsia="Arial" w:hAnsi="Arial"/>
                <w:sz w:val="18"/>
                <w:szCs w:val="18"/>
                <w:color w:val="auto"/>
              </w:rPr>
              <w:t>Net Loss for the Year Ended December 31, 2007</w:t>
            </w:r>
          </w:p>
        </w:tc>
        <w:tc>
          <w:tcPr>
            <w:tcW w:w="1140" w:type="dxa"/>
            <w:vAlign w:val="bottom"/>
            <w:shd w:val="clear" w:color="auto" w:fill="EEEEEE"/>
          </w:tcPr>
          <w:p>
            <w:pPr>
              <w:spacing w:after="0"/>
              <w:rPr>
                <w:sz w:val="19"/>
                <w:szCs w:val="19"/>
                <w:color w:val="auto"/>
              </w:rPr>
            </w:pPr>
          </w:p>
        </w:tc>
        <w:tc>
          <w:tcPr>
            <w:tcW w:w="220" w:type="dxa"/>
            <w:vAlign w:val="bottom"/>
            <w:shd w:val="clear" w:color="auto" w:fill="EEEEEE"/>
          </w:tcPr>
          <w:p>
            <w:pPr>
              <w:spacing w:after="0"/>
              <w:rPr>
                <w:sz w:val="19"/>
                <w:szCs w:val="19"/>
                <w:color w:val="auto"/>
              </w:rPr>
            </w:pPr>
          </w:p>
        </w:tc>
        <w:tc>
          <w:tcPr>
            <w:tcW w:w="160" w:type="dxa"/>
            <w:vAlign w:val="bottom"/>
            <w:shd w:val="clear" w:color="auto" w:fill="EEEEEE"/>
          </w:tcPr>
          <w:p>
            <w:pPr>
              <w:spacing w:after="0"/>
              <w:rPr>
                <w:sz w:val="19"/>
                <w:szCs w:val="19"/>
                <w:color w:val="auto"/>
              </w:rPr>
            </w:pPr>
          </w:p>
        </w:tc>
        <w:tc>
          <w:tcPr>
            <w:tcW w:w="1000" w:type="dxa"/>
            <w:vAlign w:val="bottom"/>
            <w:shd w:val="clear" w:color="auto" w:fill="EEEEEE"/>
          </w:tcPr>
          <w:p>
            <w:pPr>
              <w:spacing w:after="0"/>
              <w:rPr>
                <w:sz w:val="19"/>
                <w:szCs w:val="19"/>
                <w:color w:val="auto"/>
              </w:rPr>
            </w:pPr>
          </w:p>
        </w:tc>
        <w:tc>
          <w:tcPr>
            <w:tcW w:w="220" w:type="dxa"/>
            <w:vAlign w:val="bottom"/>
            <w:shd w:val="clear" w:color="auto" w:fill="EEEEEE"/>
          </w:tcPr>
          <w:p>
            <w:pPr>
              <w:spacing w:after="0"/>
              <w:rPr>
                <w:sz w:val="19"/>
                <w:szCs w:val="19"/>
                <w:color w:val="auto"/>
              </w:rPr>
            </w:pPr>
          </w:p>
        </w:tc>
        <w:tc>
          <w:tcPr>
            <w:tcW w:w="120" w:type="dxa"/>
            <w:vAlign w:val="bottom"/>
            <w:shd w:val="clear" w:color="auto" w:fill="EEEEEE"/>
          </w:tcPr>
          <w:p>
            <w:pPr>
              <w:spacing w:after="0"/>
              <w:rPr>
                <w:sz w:val="19"/>
                <w:szCs w:val="19"/>
                <w:color w:val="auto"/>
              </w:rPr>
            </w:pPr>
          </w:p>
        </w:tc>
        <w:tc>
          <w:tcPr>
            <w:tcW w:w="1040" w:type="dxa"/>
            <w:vAlign w:val="bottom"/>
            <w:shd w:val="clear" w:color="auto" w:fill="EEEEEE"/>
          </w:tcPr>
          <w:p>
            <w:pPr>
              <w:spacing w:after="0"/>
              <w:rPr>
                <w:sz w:val="19"/>
                <w:szCs w:val="19"/>
                <w:color w:val="auto"/>
              </w:rPr>
            </w:pPr>
          </w:p>
        </w:tc>
        <w:tc>
          <w:tcPr>
            <w:tcW w:w="220" w:type="dxa"/>
            <w:vAlign w:val="bottom"/>
            <w:shd w:val="clear" w:color="auto" w:fill="EEEEEE"/>
          </w:tcPr>
          <w:p>
            <w:pPr>
              <w:spacing w:after="0"/>
              <w:rPr>
                <w:sz w:val="19"/>
                <w:szCs w:val="19"/>
                <w:color w:val="auto"/>
              </w:rPr>
            </w:pPr>
          </w:p>
        </w:tc>
        <w:tc>
          <w:tcPr>
            <w:tcW w:w="120" w:type="dxa"/>
            <w:vAlign w:val="bottom"/>
            <w:shd w:val="clear" w:color="auto" w:fill="EEEEEE"/>
          </w:tcPr>
          <w:p>
            <w:pPr>
              <w:spacing w:after="0"/>
              <w:rPr>
                <w:sz w:val="19"/>
                <w:szCs w:val="19"/>
                <w:color w:val="auto"/>
              </w:rPr>
            </w:pPr>
          </w:p>
        </w:tc>
        <w:tc>
          <w:tcPr>
            <w:tcW w:w="1180" w:type="dxa"/>
            <w:vAlign w:val="bottom"/>
            <w:gridSpan w:val="2"/>
            <w:shd w:val="clear" w:color="auto" w:fill="EEEEEE"/>
          </w:tcPr>
          <w:p>
            <w:pPr>
              <w:jc w:val="right"/>
              <w:ind w:right="80"/>
              <w:spacing w:after="0"/>
              <w:rPr>
                <w:sz w:val="20"/>
                <w:szCs w:val="20"/>
                <w:color w:val="auto"/>
              </w:rPr>
            </w:pPr>
            <w:r>
              <w:rPr>
                <w:rFonts w:ascii="Arial" w:cs="Arial" w:eastAsia="Arial" w:hAnsi="Arial"/>
                <w:sz w:val="18"/>
                <w:szCs w:val="18"/>
                <w:color w:val="auto"/>
              </w:rPr>
              <w:t>(361,466)</w:t>
            </w:r>
          </w:p>
        </w:tc>
        <w:tc>
          <w:tcPr>
            <w:tcW w:w="80" w:type="dxa"/>
            <w:vAlign w:val="bottom"/>
            <w:shd w:val="clear" w:color="auto" w:fill="EEEEEE"/>
          </w:tcPr>
          <w:p>
            <w:pPr>
              <w:spacing w:after="0"/>
              <w:rPr>
                <w:sz w:val="19"/>
                <w:szCs w:val="19"/>
                <w:color w:val="auto"/>
              </w:rPr>
            </w:pPr>
          </w:p>
        </w:tc>
        <w:tc>
          <w:tcPr>
            <w:tcW w:w="220" w:type="dxa"/>
            <w:vAlign w:val="bottom"/>
            <w:shd w:val="clear" w:color="auto" w:fill="EEEEEE"/>
          </w:tcPr>
          <w:p>
            <w:pPr>
              <w:spacing w:after="0"/>
              <w:rPr>
                <w:sz w:val="19"/>
                <w:szCs w:val="19"/>
                <w:color w:val="auto"/>
              </w:rPr>
            </w:pPr>
          </w:p>
        </w:tc>
        <w:tc>
          <w:tcPr>
            <w:tcW w:w="1040" w:type="dxa"/>
            <w:vAlign w:val="bottom"/>
            <w:gridSpan w:val="2"/>
            <w:shd w:val="clear" w:color="auto" w:fill="EEEEEE"/>
          </w:tcPr>
          <w:p>
            <w:pPr>
              <w:jc w:val="right"/>
              <w:ind w:right="40"/>
              <w:spacing w:after="0"/>
              <w:rPr>
                <w:sz w:val="20"/>
                <w:szCs w:val="20"/>
                <w:color w:val="auto"/>
              </w:rPr>
            </w:pPr>
            <w:r>
              <w:rPr>
                <w:rFonts w:ascii="Arial" w:cs="Arial" w:eastAsia="Arial" w:hAnsi="Arial"/>
                <w:sz w:val="18"/>
                <w:szCs w:val="18"/>
                <w:color w:val="auto"/>
              </w:rPr>
              <w:t>(361,466)</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4640" w:type="dxa"/>
            <w:vAlign w:val="bottom"/>
            <w:tcBorders>
              <w:top w:val="single" w:sz="8" w:color="EEEEEE"/>
            </w:tcBorders>
          </w:tcPr>
          <w:p>
            <w:pPr>
              <w:spacing w:after="0"/>
              <w:rPr>
                <w:sz w:val="18"/>
                <w:szCs w:val="18"/>
                <w:color w:val="auto"/>
              </w:rPr>
            </w:pPr>
          </w:p>
        </w:tc>
        <w:tc>
          <w:tcPr>
            <w:tcW w:w="1140" w:type="dxa"/>
            <w:vAlign w:val="bottom"/>
            <w:tcBorders>
              <w:top w:val="single" w:sz="8" w:color="auto"/>
            </w:tcBorders>
          </w:tcPr>
          <w:p>
            <w:pPr>
              <w:spacing w:after="0"/>
              <w:rPr>
                <w:sz w:val="18"/>
                <w:szCs w:val="18"/>
                <w:color w:val="auto"/>
              </w:rPr>
            </w:pPr>
          </w:p>
        </w:tc>
        <w:tc>
          <w:tcPr>
            <w:tcW w:w="220" w:type="dxa"/>
            <w:vAlign w:val="bottom"/>
            <w:tcBorders>
              <w:top w:val="single" w:sz="8" w:color="EEEEEE"/>
            </w:tcBorders>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1000" w:type="dxa"/>
            <w:vAlign w:val="bottom"/>
            <w:tcBorders>
              <w:top w:val="single" w:sz="8" w:color="auto"/>
            </w:tcBorders>
          </w:tcPr>
          <w:p>
            <w:pPr>
              <w:spacing w:after="0"/>
              <w:rPr>
                <w:sz w:val="18"/>
                <w:szCs w:val="18"/>
                <w:color w:val="auto"/>
              </w:rPr>
            </w:pPr>
          </w:p>
        </w:tc>
        <w:tc>
          <w:tcPr>
            <w:tcW w:w="220" w:type="dxa"/>
            <w:vAlign w:val="bottom"/>
            <w:tcBorders>
              <w:top w:val="single" w:sz="8" w:color="EEEEEE"/>
            </w:tcBorders>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1040" w:type="dxa"/>
            <w:vAlign w:val="bottom"/>
            <w:tcBorders>
              <w:top w:val="single" w:sz="8" w:color="auto"/>
            </w:tcBorders>
          </w:tcPr>
          <w:p>
            <w:pPr>
              <w:spacing w:after="0"/>
              <w:rPr>
                <w:sz w:val="18"/>
                <w:szCs w:val="18"/>
                <w:color w:val="auto"/>
              </w:rPr>
            </w:pPr>
          </w:p>
        </w:tc>
        <w:tc>
          <w:tcPr>
            <w:tcW w:w="220" w:type="dxa"/>
            <w:vAlign w:val="bottom"/>
            <w:tcBorders>
              <w:top w:val="single" w:sz="8" w:color="EEEEEE"/>
            </w:tcBorders>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1040" w:type="dxa"/>
            <w:vAlign w:val="bottom"/>
            <w:tcBorders>
              <w:top w:val="single" w:sz="8" w:color="auto"/>
            </w:tcBorders>
          </w:tcPr>
          <w:p>
            <w:pPr>
              <w:spacing w:after="0"/>
              <w:rPr>
                <w:sz w:val="18"/>
                <w:szCs w:val="18"/>
                <w:color w:val="auto"/>
              </w:rPr>
            </w:pPr>
          </w:p>
        </w:tc>
        <w:tc>
          <w:tcPr>
            <w:tcW w:w="140" w:type="dxa"/>
            <w:vAlign w:val="bottom"/>
            <w:tcBorders>
              <w:top w:val="single" w:sz="8" w:color="EEEEEE"/>
            </w:tcBorders>
          </w:tcPr>
          <w:p>
            <w:pPr>
              <w:spacing w:after="0"/>
              <w:rPr>
                <w:sz w:val="18"/>
                <w:szCs w:val="18"/>
                <w:color w:val="auto"/>
              </w:rPr>
            </w:pPr>
          </w:p>
        </w:tc>
        <w:tc>
          <w:tcPr>
            <w:tcW w:w="80" w:type="dxa"/>
            <w:vAlign w:val="bottom"/>
            <w:tcBorders>
              <w:top w:val="single" w:sz="8" w:color="EEEEEE"/>
            </w:tcBorders>
          </w:tcPr>
          <w:p>
            <w:pPr>
              <w:spacing w:after="0"/>
              <w:rPr>
                <w:sz w:val="18"/>
                <w:szCs w:val="18"/>
                <w:color w:val="auto"/>
              </w:rPr>
            </w:pPr>
          </w:p>
        </w:tc>
        <w:tc>
          <w:tcPr>
            <w:tcW w:w="220" w:type="dxa"/>
            <w:vAlign w:val="bottom"/>
            <w:tcBorders>
              <w:top w:val="single" w:sz="8" w:color="auto"/>
            </w:tcBorders>
          </w:tcPr>
          <w:p>
            <w:pPr>
              <w:spacing w:after="0"/>
              <w:rPr>
                <w:sz w:val="18"/>
                <w:szCs w:val="18"/>
                <w:color w:val="auto"/>
              </w:rPr>
            </w:pPr>
          </w:p>
        </w:tc>
        <w:tc>
          <w:tcPr>
            <w:tcW w:w="940" w:type="dxa"/>
            <w:vAlign w:val="bottom"/>
            <w:tcBorders>
              <w:top w:val="single" w:sz="8" w:color="auto"/>
            </w:tcBorders>
          </w:tcPr>
          <w:p>
            <w:pPr>
              <w:spacing w:after="0"/>
              <w:rPr>
                <w:sz w:val="18"/>
                <w:szCs w:val="18"/>
                <w:color w:val="auto"/>
              </w:rPr>
            </w:pPr>
          </w:p>
        </w:tc>
        <w:tc>
          <w:tcPr>
            <w:tcW w:w="100" w:type="dxa"/>
            <w:vAlign w:val="bottom"/>
            <w:tcBorders>
              <w:top w:val="single" w:sz="8" w:color="EEEEEE"/>
            </w:tcBorders>
          </w:tcPr>
          <w:p>
            <w:pPr>
              <w:spacing w:after="0"/>
              <w:rPr>
                <w:sz w:val="18"/>
                <w:szCs w:val="18"/>
                <w:color w:val="auto"/>
              </w:rPr>
            </w:pPr>
          </w:p>
        </w:tc>
        <w:tc>
          <w:tcPr>
            <w:tcW w:w="0" w:type="dxa"/>
            <w:vAlign w:val="bottom"/>
          </w:tcPr>
          <w:p>
            <w:pPr>
              <w:spacing w:after="0"/>
              <w:rPr>
                <w:sz w:val="1"/>
                <w:szCs w:val="1"/>
                <w:color w:val="auto"/>
              </w:rPr>
            </w:pPr>
          </w:p>
        </w:tc>
      </w:tr>
      <w:tr>
        <w:trPr>
          <w:trHeight w:val="237"/>
        </w:trPr>
        <w:tc>
          <w:tcPr>
            <w:tcW w:w="20" w:type="dxa"/>
            <w:vAlign w:val="bottom"/>
            <w:vMerge w:val="continue"/>
          </w:tcPr>
          <w:p>
            <w:pPr>
              <w:spacing w:after="0"/>
              <w:rPr>
                <w:sz w:val="20"/>
                <w:szCs w:val="20"/>
                <w:color w:val="auto"/>
              </w:rPr>
            </w:pPr>
          </w:p>
        </w:tc>
        <w:tc>
          <w:tcPr>
            <w:tcW w:w="4640" w:type="dxa"/>
            <w:vAlign w:val="bottom"/>
            <w:shd w:val="clear" w:color="auto" w:fill="EEEEEE"/>
          </w:tcPr>
          <w:p>
            <w:pPr>
              <w:spacing w:after="0"/>
              <w:rPr>
                <w:sz w:val="20"/>
                <w:szCs w:val="20"/>
                <w:color w:val="auto"/>
              </w:rPr>
            </w:pPr>
            <w:r>
              <w:rPr>
                <w:rFonts w:ascii="Arial" w:cs="Arial" w:eastAsia="Arial" w:hAnsi="Arial"/>
                <w:sz w:val="18"/>
                <w:szCs w:val="18"/>
                <w:color w:val="auto"/>
              </w:rPr>
              <w:t>Ending Balance, December 31, 2007</w:t>
            </w:r>
          </w:p>
        </w:tc>
        <w:tc>
          <w:tcPr>
            <w:tcW w:w="1140" w:type="dxa"/>
            <w:vAlign w:val="bottom"/>
            <w:shd w:val="clear" w:color="auto" w:fill="EEEEEE"/>
          </w:tcPr>
          <w:p>
            <w:pPr>
              <w:jc w:val="right"/>
              <w:spacing w:after="0"/>
              <w:rPr>
                <w:sz w:val="20"/>
                <w:szCs w:val="20"/>
                <w:color w:val="auto"/>
              </w:rPr>
            </w:pPr>
            <w:r>
              <w:rPr>
                <w:rFonts w:ascii="Arial" w:cs="Arial" w:eastAsia="Arial" w:hAnsi="Arial"/>
                <w:sz w:val="18"/>
                <w:szCs w:val="18"/>
                <w:color w:val="auto"/>
              </w:rPr>
              <w:t>10,300,000</w:t>
            </w:r>
          </w:p>
        </w:tc>
        <w:tc>
          <w:tcPr>
            <w:tcW w:w="380" w:type="dxa"/>
            <w:vAlign w:val="bottom"/>
            <w:gridSpan w:val="2"/>
            <w:shd w:val="clear" w:color="auto" w:fill="EEEEEE"/>
          </w:tcPr>
          <w:p>
            <w:pPr>
              <w:jc w:val="right"/>
              <w:ind w:right="80"/>
              <w:spacing w:after="0"/>
              <w:rPr>
                <w:sz w:val="20"/>
                <w:szCs w:val="20"/>
                <w:color w:val="auto"/>
              </w:rPr>
            </w:pPr>
            <w:r>
              <w:rPr>
                <w:rFonts w:ascii="Arial" w:cs="Arial" w:eastAsia="Arial" w:hAnsi="Arial"/>
                <w:sz w:val="18"/>
                <w:szCs w:val="18"/>
                <w:color w:val="auto"/>
              </w:rPr>
              <w:t>$</w:t>
            </w:r>
          </w:p>
        </w:tc>
        <w:tc>
          <w:tcPr>
            <w:tcW w:w="1000" w:type="dxa"/>
            <w:vAlign w:val="bottom"/>
            <w:shd w:val="clear" w:color="auto" w:fill="EEEEEE"/>
          </w:tcPr>
          <w:p>
            <w:pPr>
              <w:jc w:val="right"/>
              <w:spacing w:after="0"/>
              <w:rPr>
                <w:sz w:val="20"/>
                <w:szCs w:val="20"/>
                <w:color w:val="auto"/>
              </w:rPr>
            </w:pPr>
            <w:r>
              <w:rPr>
                <w:rFonts w:ascii="Arial" w:cs="Arial" w:eastAsia="Arial" w:hAnsi="Arial"/>
                <w:sz w:val="18"/>
                <w:szCs w:val="18"/>
                <w:color w:val="auto"/>
              </w:rPr>
              <w:t>10,300</w:t>
            </w:r>
          </w:p>
        </w:tc>
        <w:tc>
          <w:tcPr>
            <w:tcW w:w="340" w:type="dxa"/>
            <w:vAlign w:val="bottom"/>
            <w:gridSpan w:val="2"/>
            <w:shd w:val="clear" w:color="auto" w:fill="EEEEEE"/>
          </w:tcPr>
          <w:p>
            <w:pPr>
              <w:jc w:val="right"/>
              <w:ind w:right="40"/>
              <w:spacing w:after="0"/>
              <w:rPr>
                <w:sz w:val="20"/>
                <w:szCs w:val="20"/>
                <w:color w:val="auto"/>
              </w:rPr>
            </w:pPr>
            <w:r>
              <w:rPr>
                <w:rFonts w:ascii="Arial" w:cs="Arial" w:eastAsia="Arial" w:hAnsi="Arial"/>
                <w:sz w:val="18"/>
                <w:szCs w:val="18"/>
                <w:color w:val="auto"/>
              </w:rPr>
              <w:t>$</w:t>
            </w:r>
          </w:p>
        </w:tc>
        <w:tc>
          <w:tcPr>
            <w:tcW w:w="1040" w:type="dxa"/>
            <w:vAlign w:val="bottom"/>
            <w:shd w:val="clear" w:color="auto" w:fill="EEEEEE"/>
          </w:tcPr>
          <w:p>
            <w:pPr>
              <w:jc w:val="right"/>
              <w:spacing w:after="0"/>
              <w:rPr>
                <w:sz w:val="20"/>
                <w:szCs w:val="20"/>
                <w:color w:val="auto"/>
              </w:rPr>
            </w:pPr>
            <w:r>
              <w:rPr>
                <w:rFonts w:ascii="Arial" w:cs="Arial" w:eastAsia="Arial" w:hAnsi="Arial"/>
                <w:sz w:val="18"/>
                <w:szCs w:val="18"/>
                <w:color w:val="auto"/>
              </w:rPr>
              <w:t>289,700</w:t>
            </w:r>
          </w:p>
        </w:tc>
        <w:tc>
          <w:tcPr>
            <w:tcW w:w="220" w:type="dxa"/>
            <w:vAlign w:val="bottom"/>
            <w:shd w:val="clear" w:color="auto" w:fill="EEEEEE"/>
          </w:tcPr>
          <w:p>
            <w:pPr>
              <w:spacing w:after="0"/>
              <w:rPr>
                <w:sz w:val="20"/>
                <w:szCs w:val="20"/>
                <w:color w:val="auto"/>
              </w:rPr>
            </w:pPr>
          </w:p>
        </w:tc>
        <w:tc>
          <w:tcPr>
            <w:tcW w:w="120" w:type="dxa"/>
            <w:vAlign w:val="bottom"/>
            <w:shd w:val="clear" w:color="auto" w:fill="EEEEEE"/>
          </w:tcPr>
          <w:p>
            <w:pPr>
              <w:jc w:val="right"/>
              <w:spacing w:after="0"/>
              <w:rPr>
                <w:sz w:val="20"/>
                <w:szCs w:val="20"/>
                <w:color w:val="auto"/>
              </w:rPr>
            </w:pPr>
            <w:r>
              <w:rPr>
                <w:rFonts w:ascii="Arial" w:cs="Arial" w:eastAsia="Arial" w:hAnsi="Arial"/>
                <w:sz w:val="15"/>
                <w:szCs w:val="15"/>
                <w:color w:val="auto"/>
                <w:w w:val="71"/>
              </w:rPr>
              <w:t>$</w:t>
            </w:r>
          </w:p>
        </w:tc>
        <w:tc>
          <w:tcPr>
            <w:tcW w:w="1180" w:type="dxa"/>
            <w:vAlign w:val="bottom"/>
            <w:gridSpan w:val="2"/>
            <w:shd w:val="clear" w:color="auto" w:fill="EEEEEE"/>
          </w:tcPr>
          <w:p>
            <w:pPr>
              <w:jc w:val="right"/>
              <w:ind w:right="80"/>
              <w:spacing w:after="0"/>
              <w:rPr>
                <w:sz w:val="20"/>
                <w:szCs w:val="20"/>
                <w:color w:val="auto"/>
              </w:rPr>
            </w:pPr>
            <w:r>
              <w:rPr>
                <w:rFonts w:ascii="Arial" w:cs="Arial" w:eastAsia="Arial" w:hAnsi="Arial"/>
                <w:sz w:val="18"/>
                <w:szCs w:val="18"/>
                <w:color w:val="auto"/>
              </w:rPr>
              <w:t>( 394,927)</w:t>
            </w:r>
          </w:p>
        </w:tc>
        <w:tc>
          <w:tcPr>
            <w:tcW w:w="300" w:type="dxa"/>
            <w:vAlign w:val="bottom"/>
            <w:gridSpan w:val="2"/>
            <w:shd w:val="clear" w:color="auto" w:fill="EEEEEE"/>
          </w:tcPr>
          <w:p>
            <w:pPr>
              <w:jc w:val="right"/>
              <w:ind w:right="140"/>
              <w:spacing w:after="0"/>
              <w:rPr>
                <w:sz w:val="20"/>
                <w:szCs w:val="20"/>
                <w:color w:val="auto"/>
              </w:rPr>
            </w:pPr>
            <w:r>
              <w:rPr>
                <w:rFonts w:ascii="Arial" w:cs="Arial" w:eastAsia="Arial" w:hAnsi="Arial"/>
                <w:sz w:val="18"/>
                <w:szCs w:val="18"/>
                <w:color w:val="auto"/>
              </w:rPr>
              <w:t>$</w:t>
            </w:r>
          </w:p>
        </w:tc>
        <w:tc>
          <w:tcPr>
            <w:tcW w:w="1040" w:type="dxa"/>
            <w:vAlign w:val="bottom"/>
            <w:gridSpan w:val="2"/>
            <w:shd w:val="clear" w:color="auto" w:fill="EEEEEE"/>
          </w:tcPr>
          <w:p>
            <w:pPr>
              <w:jc w:val="right"/>
              <w:ind w:right="40"/>
              <w:spacing w:after="0"/>
              <w:rPr>
                <w:sz w:val="20"/>
                <w:szCs w:val="20"/>
                <w:color w:val="auto"/>
              </w:rPr>
            </w:pPr>
            <w:r>
              <w:rPr>
                <w:rFonts w:ascii="Arial" w:cs="Arial" w:eastAsia="Arial" w:hAnsi="Arial"/>
                <w:sz w:val="18"/>
                <w:szCs w:val="18"/>
                <w:color w:val="auto"/>
              </w:rPr>
              <w:t>(94,927)</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640" w:type="dxa"/>
            <w:vAlign w:val="bottom"/>
            <w:tcBorders>
              <w:top w:val="single" w:sz="8" w:color="EEEEEE"/>
            </w:tcBorders>
            <w:shd w:val="clear" w:color="auto" w:fill="EEEEEE"/>
          </w:tcPr>
          <w:p>
            <w:pPr>
              <w:spacing w:after="0" w:line="20" w:lineRule="exact"/>
              <w:rPr>
                <w:sz w:val="1"/>
                <w:szCs w:val="1"/>
                <w:color w:val="auto"/>
              </w:rPr>
            </w:pPr>
          </w:p>
        </w:tc>
        <w:tc>
          <w:tcPr>
            <w:tcW w:w="114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EEEEEE"/>
            </w:tcBorders>
            <w:shd w:val="clear" w:color="auto" w:fill="EEEEEE"/>
          </w:tcPr>
          <w:p>
            <w:pPr>
              <w:spacing w:after="0" w:line="20" w:lineRule="exact"/>
              <w:rPr>
                <w:sz w:val="1"/>
                <w:szCs w:val="1"/>
                <w:color w:val="auto"/>
              </w:rPr>
            </w:pPr>
          </w:p>
        </w:tc>
        <w:tc>
          <w:tcPr>
            <w:tcW w:w="160" w:type="dxa"/>
            <w:vAlign w:val="bottom"/>
            <w:tcBorders>
              <w:top w:val="single" w:sz="8" w:color="auto"/>
            </w:tcBorders>
            <w:shd w:val="clear" w:color="auto" w:fill="000000"/>
          </w:tcPr>
          <w:p>
            <w:pPr>
              <w:spacing w:after="0" w:line="20" w:lineRule="exact"/>
              <w:rPr>
                <w:sz w:val="1"/>
                <w:szCs w:val="1"/>
                <w:color w:val="auto"/>
              </w:rPr>
            </w:pPr>
          </w:p>
        </w:tc>
        <w:tc>
          <w:tcPr>
            <w:tcW w:w="100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EEEEEE"/>
            </w:tcBorders>
            <w:shd w:val="clear" w:color="auto" w:fill="EEEEEE"/>
          </w:tcPr>
          <w:p>
            <w:pPr>
              <w:spacing w:after="0" w:line="20" w:lineRule="exact"/>
              <w:rPr>
                <w:sz w:val="1"/>
                <w:szCs w:val="1"/>
                <w:color w:val="auto"/>
              </w:rPr>
            </w:pPr>
          </w:p>
        </w:tc>
        <w:tc>
          <w:tcPr>
            <w:tcW w:w="120" w:type="dxa"/>
            <w:vAlign w:val="bottom"/>
            <w:tcBorders>
              <w:top w:val="single" w:sz="8" w:color="auto"/>
            </w:tcBorders>
            <w:shd w:val="clear" w:color="auto" w:fill="000000"/>
          </w:tcPr>
          <w:p>
            <w:pPr>
              <w:spacing w:after="0" w:line="20" w:lineRule="exact"/>
              <w:rPr>
                <w:sz w:val="1"/>
                <w:szCs w:val="1"/>
                <w:color w:val="auto"/>
              </w:rPr>
            </w:pPr>
          </w:p>
        </w:tc>
        <w:tc>
          <w:tcPr>
            <w:tcW w:w="104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EEEEEE"/>
            </w:tcBorders>
            <w:shd w:val="clear" w:color="auto" w:fill="EEEEEE"/>
          </w:tcPr>
          <w:p>
            <w:pPr>
              <w:spacing w:after="0" w:line="20" w:lineRule="exact"/>
              <w:rPr>
                <w:sz w:val="1"/>
                <w:szCs w:val="1"/>
                <w:color w:val="auto"/>
              </w:rPr>
            </w:pPr>
          </w:p>
        </w:tc>
        <w:tc>
          <w:tcPr>
            <w:tcW w:w="120" w:type="dxa"/>
            <w:vAlign w:val="bottom"/>
            <w:tcBorders>
              <w:top w:val="single" w:sz="8" w:color="auto"/>
            </w:tcBorders>
            <w:shd w:val="clear" w:color="auto" w:fill="000000"/>
          </w:tcPr>
          <w:p>
            <w:pPr>
              <w:spacing w:after="0" w:line="20" w:lineRule="exact"/>
              <w:rPr>
                <w:sz w:val="1"/>
                <w:szCs w:val="1"/>
                <w:color w:val="auto"/>
              </w:rPr>
            </w:pPr>
          </w:p>
        </w:tc>
        <w:tc>
          <w:tcPr>
            <w:tcW w:w="1040" w:type="dxa"/>
            <w:vAlign w:val="bottom"/>
            <w:tcBorders>
              <w:top w:val="single" w:sz="8" w:color="auto"/>
            </w:tcBorders>
            <w:shd w:val="clear" w:color="auto" w:fill="000000"/>
          </w:tcPr>
          <w:p>
            <w:pPr>
              <w:spacing w:after="0" w:line="20" w:lineRule="exact"/>
              <w:rPr>
                <w:sz w:val="1"/>
                <w:szCs w:val="1"/>
                <w:color w:val="auto"/>
              </w:rPr>
            </w:pPr>
          </w:p>
        </w:tc>
        <w:tc>
          <w:tcPr>
            <w:tcW w:w="140" w:type="dxa"/>
            <w:vAlign w:val="bottom"/>
            <w:tcBorders>
              <w:top w:val="single" w:sz="8" w:color="EEEEEE"/>
            </w:tcBorders>
            <w:shd w:val="clear" w:color="auto" w:fill="EEEEEE"/>
          </w:tcPr>
          <w:p>
            <w:pPr>
              <w:spacing w:after="0" w:line="20" w:lineRule="exact"/>
              <w:rPr>
                <w:sz w:val="1"/>
                <w:szCs w:val="1"/>
                <w:color w:val="auto"/>
              </w:rPr>
            </w:pPr>
          </w:p>
        </w:tc>
        <w:tc>
          <w:tcPr>
            <w:tcW w:w="80" w:type="dxa"/>
            <w:vAlign w:val="bottom"/>
            <w:tcBorders>
              <w:top w:val="single" w:sz="8" w:color="EEEEEE"/>
            </w:tcBorders>
            <w:shd w:val="clear" w:color="auto" w:fill="EEEEEE"/>
          </w:tcPr>
          <w:p>
            <w:pPr>
              <w:spacing w:after="0" w:line="20" w:lineRule="exact"/>
              <w:rPr>
                <w:sz w:val="1"/>
                <w:szCs w:val="1"/>
                <w:color w:val="auto"/>
              </w:rPr>
            </w:pPr>
          </w:p>
        </w:tc>
        <w:tc>
          <w:tcPr>
            <w:tcW w:w="220" w:type="dxa"/>
            <w:vAlign w:val="bottom"/>
            <w:tcBorders>
              <w:top w:val="single" w:sz="8" w:color="auto"/>
            </w:tcBorders>
            <w:shd w:val="clear" w:color="auto" w:fill="000000"/>
          </w:tcPr>
          <w:p>
            <w:pPr>
              <w:spacing w:after="0" w:line="20" w:lineRule="exact"/>
              <w:rPr>
                <w:sz w:val="1"/>
                <w:szCs w:val="1"/>
                <w:color w:val="auto"/>
              </w:rPr>
            </w:pPr>
          </w:p>
        </w:tc>
        <w:tc>
          <w:tcPr>
            <w:tcW w:w="94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EEEEEE"/>
            </w:tcBorders>
            <w:shd w:val="clear" w:color="auto" w:fill="EEEEEE"/>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5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accompanying notes are an integral part of the financial statements.</w:t>
      </w:r>
    </w:p>
    <w:p>
      <w:pPr>
        <w:spacing w:after="0" w:line="200" w:lineRule="exact"/>
        <w:rPr>
          <w:sz w:val="20"/>
          <w:szCs w:val="20"/>
          <w:color w:val="auto"/>
        </w:rPr>
      </w:pPr>
    </w:p>
    <w:p>
      <w:pPr>
        <w:spacing w:after="0" w:line="32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246620" cy="8890"/>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634" w:right="239" w:bottom="1440" w:gutter="0" w:footer="0" w:header="0"/>
        </w:sectPr>
      </w:pPr>
    </w:p>
    <w:bookmarkStart w:id="46" w:name="page47"/>
    <w:bookmarkEnd w:id="46"/>
    <w:p>
      <w:pPr>
        <w:jc w:val="center"/>
        <w:spacing w:after="0"/>
        <w:rPr>
          <w:sz w:val="20"/>
          <w:szCs w:val="20"/>
          <w:color w:val="auto"/>
        </w:rPr>
      </w:pPr>
      <w:r>
        <w:rPr>
          <w:rFonts w:ascii="Arial" w:cs="Arial" w:eastAsia="Arial" w:hAnsi="Arial"/>
          <w:sz w:val="18"/>
          <w:szCs w:val="18"/>
          <w:b w:val="1"/>
          <w:bCs w:val="1"/>
          <w:color w:val="auto"/>
        </w:rPr>
        <w:t>OPTIMIZERx CORPORATION</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OPTIMIZER SYSTEMS, LLC</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 DEVELOPMENT STAGE COMPANY)</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STATEMENTS OF CASH FLOWS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FOR THE YEARS ENDED DECEMBER 31, 2007 AND 2006</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FOR THE PERIOD FROM JANUARY 31, 2006 (INCEPTION) TO DECEMBER 31, 2007</w:t>
      </w:r>
    </w:p>
    <w:p>
      <w:pPr>
        <w:spacing w:after="0" w:line="200" w:lineRule="exact"/>
        <w:rPr>
          <w:sz w:val="20"/>
          <w:szCs w:val="20"/>
          <w:color w:val="auto"/>
        </w:rPr>
      </w:pPr>
    </w:p>
    <w:p>
      <w:pPr>
        <w:spacing w:after="0" w:line="331"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20" w:type="dxa"/>
            <w:vAlign w:val="bottom"/>
          </w:tcPr>
          <w:p>
            <w:pPr>
              <w:spacing w:after="0"/>
              <w:rPr>
                <w:sz w:val="18"/>
                <w:szCs w:val="18"/>
                <w:color w:val="auto"/>
              </w:rPr>
            </w:pPr>
          </w:p>
        </w:tc>
        <w:tc>
          <w:tcPr>
            <w:tcW w:w="63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500" w:type="dxa"/>
            <w:vAlign w:val="bottom"/>
            <w:gridSpan w:val="2"/>
          </w:tcPr>
          <w:p>
            <w:pPr>
              <w:jc w:val="center"/>
              <w:ind w:right="360"/>
              <w:spacing w:after="0"/>
              <w:rPr>
                <w:sz w:val="20"/>
                <w:szCs w:val="20"/>
                <w:color w:val="auto"/>
              </w:rPr>
            </w:pPr>
            <w:r>
              <w:rPr>
                <w:rFonts w:ascii="Arial" w:cs="Arial" w:eastAsia="Arial" w:hAnsi="Arial"/>
                <w:sz w:val="18"/>
                <w:szCs w:val="18"/>
                <w:b w:val="1"/>
                <w:bCs w:val="1"/>
                <w:color w:val="auto"/>
                <w:w w:val="93"/>
              </w:rPr>
              <w:t>Period from</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3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40" w:type="dxa"/>
            <w:vAlign w:val="bottom"/>
            <w:gridSpan w:val="3"/>
          </w:tcPr>
          <w:p>
            <w:pPr>
              <w:jc w:val="center"/>
              <w:ind w:right="200"/>
              <w:spacing w:after="0"/>
              <w:rPr>
                <w:sz w:val="20"/>
                <w:szCs w:val="20"/>
                <w:color w:val="auto"/>
              </w:rPr>
            </w:pPr>
            <w:r>
              <w:rPr>
                <w:rFonts w:ascii="Arial" w:cs="Arial" w:eastAsia="Arial" w:hAnsi="Arial"/>
                <w:sz w:val="18"/>
                <w:szCs w:val="18"/>
                <w:b w:val="1"/>
                <w:bCs w:val="1"/>
                <w:color w:val="auto"/>
                <w:w w:val="91"/>
              </w:rPr>
              <w:t>January 31, 2006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3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500" w:type="dxa"/>
            <w:vAlign w:val="bottom"/>
            <w:gridSpan w:val="2"/>
          </w:tcPr>
          <w:p>
            <w:pPr>
              <w:jc w:val="center"/>
              <w:ind w:right="360"/>
              <w:spacing w:after="0"/>
              <w:rPr>
                <w:sz w:val="20"/>
                <w:szCs w:val="20"/>
                <w:color w:val="auto"/>
              </w:rPr>
            </w:pPr>
            <w:r>
              <w:rPr>
                <w:rFonts w:ascii="Arial" w:cs="Arial" w:eastAsia="Arial" w:hAnsi="Arial"/>
                <w:sz w:val="18"/>
                <w:szCs w:val="18"/>
                <w:b w:val="1"/>
                <w:bCs w:val="1"/>
                <w:color w:val="auto"/>
                <w:w w:val="89"/>
              </w:rPr>
              <w:t>(inception) to</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3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500" w:type="dxa"/>
            <w:vAlign w:val="bottom"/>
            <w:gridSpan w:val="2"/>
          </w:tcPr>
          <w:p>
            <w:pPr>
              <w:jc w:val="center"/>
              <w:ind w:right="360"/>
              <w:spacing w:after="0"/>
              <w:rPr>
                <w:sz w:val="20"/>
                <w:szCs w:val="20"/>
                <w:color w:val="auto"/>
              </w:rPr>
            </w:pPr>
            <w:r>
              <w:rPr>
                <w:rFonts w:ascii="Arial" w:cs="Arial" w:eastAsia="Arial" w:hAnsi="Arial"/>
                <w:sz w:val="18"/>
                <w:szCs w:val="18"/>
                <w:b w:val="1"/>
                <w:bCs w:val="1"/>
                <w:color w:val="auto"/>
                <w:w w:val="90"/>
              </w:rPr>
              <w:t>December 31,</w:t>
            </w:r>
          </w:p>
        </w:tc>
        <w:tc>
          <w:tcPr>
            <w:tcW w:w="0" w:type="dxa"/>
            <w:vAlign w:val="bottom"/>
          </w:tcPr>
          <w:p>
            <w:pPr>
              <w:spacing w:after="0"/>
              <w:rPr>
                <w:sz w:val="1"/>
                <w:szCs w:val="1"/>
                <w:color w:val="auto"/>
              </w:rPr>
            </w:pPr>
          </w:p>
        </w:tc>
      </w:tr>
      <w:tr>
        <w:trPr>
          <w:trHeight w:val="241"/>
        </w:trPr>
        <w:tc>
          <w:tcPr>
            <w:tcW w:w="20" w:type="dxa"/>
            <w:vAlign w:val="bottom"/>
          </w:tcPr>
          <w:p>
            <w:pPr>
              <w:spacing w:after="0"/>
              <w:rPr>
                <w:sz w:val="20"/>
                <w:szCs w:val="20"/>
                <w:color w:val="auto"/>
              </w:rPr>
            </w:pPr>
          </w:p>
        </w:tc>
        <w:tc>
          <w:tcPr>
            <w:tcW w:w="6300" w:type="dxa"/>
            <w:vAlign w:val="bottom"/>
          </w:tcPr>
          <w:p>
            <w:pPr>
              <w:spacing w:after="0"/>
              <w:rPr>
                <w:sz w:val="20"/>
                <w:szCs w:val="20"/>
                <w:color w:val="auto"/>
              </w:rPr>
            </w:pPr>
          </w:p>
        </w:tc>
        <w:tc>
          <w:tcPr>
            <w:tcW w:w="320" w:type="dxa"/>
            <w:vAlign w:val="bottom"/>
            <w:tcBorders>
              <w:bottom w:val="single" w:sz="8" w:color="auto"/>
            </w:tcBorders>
          </w:tcPr>
          <w:p>
            <w:pPr>
              <w:spacing w:after="0"/>
              <w:rPr>
                <w:sz w:val="20"/>
                <w:szCs w:val="20"/>
                <w:color w:val="auto"/>
              </w:rPr>
            </w:pPr>
          </w:p>
        </w:tc>
        <w:tc>
          <w:tcPr>
            <w:tcW w:w="1200" w:type="dxa"/>
            <w:vAlign w:val="bottom"/>
            <w:tcBorders>
              <w:bottom w:val="single" w:sz="8" w:color="auto"/>
            </w:tcBorders>
          </w:tcPr>
          <w:p>
            <w:pPr>
              <w:jc w:val="right"/>
              <w:ind w:right="530"/>
              <w:spacing w:after="0"/>
              <w:rPr>
                <w:sz w:val="20"/>
                <w:szCs w:val="20"/>
                <w:color w:val="auto"/>
              </w:rPr>
            </w:pPr>
            <w:r>
              <w:rPr>
                <w:rFonts w:ascii="Arial" w:cs="Arial" w:eastAsia="Arial" w:hAnsi="Arial"/>
                <w:sz w:val="18"/>
                <w:szCs w:val="18"/>
                <w:b w:val="1"/>
                <w:bCs w:val="1"/>
                <w:color w:val="auto"/>
              </w:rPr>
              <w:t>2007</w:t>
            </w:r>
          </w:p>
        </w:tc>
        <w:tc>
          <w:tcPr>
            <w:tcW w:w="220" w:type="dxa"/>
            <w:vAlign w:val="bottom"/>
          </w:tcPr>
          <w:p>
            <w:pPr>
              <w:spacing w:after="0"/>
              <w:rPr>
                <w:sz w:val="20"/>
                <w:szCs w:val="20"/>
                <w:color w:val="auto"/>
              </w:rPr>
            </w:pPr>
          </w:p>
        </w:tc>
        <w:tc>
          <w:tcPr>
            <w:tcW w:w="300" w:type="dxa"/>
            <w:vAlign w:val="bottom"/>
            <w:tcBorders>
              <w:bottom w:val="single" w:sz="8" w:color="auto"/>
            </w:tcBorders>
          </w:tcPr>
          <w:p>
            <w:pPr>
              <w:spacing w:after="0"/>
              <w:rPr>
                <w:sz w:val="20"/>
                <w:szCs w:val="20"/>
                <w:color w:val="auto"/>
              </w:rPr>
            </w:pPr>
          </w:p>
        </w:tc>
        <w:tc>
          <w:tcPr>
            <w:tcW w:w="1200" w:type="dxa"/>
            <w:vAlign w:val="bottom"/>
            <w:tcBorders>
              <w:bottom w:val="single" w:sz="8" w:color="auto"/>
            </w:tcBorders>
          </w:tcPr>
          <w:p>
            <w:pPr>
              <w:jc w:val="right"/>
              <w:ind w:right="530"/>
              <w:spacing w:after="0"/>
              <w:rPr>
                <w:sz w:val="20"/>
                <w:szCs w:val="20"/>
                <w:color w:val="auto"/>
              </w:rPr>
            </w:pPr>
            <w:r>
              <w:rPr>
                <w:rFonts w:ascii="Arial" w:cs="Arial" w:eastAsia="Arial" w:hAnsi="Arial"/>
                <w:sz w:val="18"/>
                <w:szCs w:val="18"/>
                <w:b w:val="1"/>
                <w:bCs w:val="1"/>
                <w:color w:val="auto"/>
              </w:rPr>
              <w:t>2006</w:t>
            </w:r>
          </w:p>
        </w:tc>
        <w:tc>
          <w:tcPr>
            <w:tcW w:w="1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1380" w:type="dxa"/>
            <w:vAlign w:val="bottom"/>
            <w:tcBorders>
              <w:bottom w:val="single" w:sz="8" w:color="auto"/>
            </w:tcBorders>
          </w:tcPr>
          <w:p>
            <w:pPr>
              <w:jc w:val="center"/>
              <w:ind w:right="130"/>
              <w:spacing w:after="0"/>
              <w:rPr>
                <w:sz w:val="20"/>
                <w:szCs w:val="20"/>
                <w:color w:val="auto"/>
              </w:rPr>
            </w:pPr>
            <w:r>
              <w:rPr>
                <w:rFonts w:ascii="Arial" w:cs="Arial" w:eastAsia="Arial" w:hAnsi="Arial"/>
                <w:sz w:val="18"/>
                <w:szCs w:val="18"/>
                <w:b w:val="1"/>
                <w:bCs w:val="1"/>
                <w:color w:val="auto"/>
                <w:w w:val="89"/>
              </w:rPr>
              <w:t>2007</w:t>
            </w:r>
          </w:p>
        </w:tc>
        <w:tc>
          <w:tcPr>
            <w:tcW w:w="1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300" w:type="dxa"/>
            <w:vAlign w:val="bottom"/>
            <w:shd w:val="clear" w:color="auto" w:fill="EEEEEE"/>
          </w:tcPr>
          <w:p>
            <w:pPr>
              <w:spacing w:after="0"/>
              <w:rPr>
                <w:sz w:val="20"/>
                <w:szCs w:val="20"/>
                <w:color w:val="auto"/>
              </w:rPr>
            </w:pPr>
            <w:r>
              <w:rPr>
                <w:rFonts w:ascii="Arial" w:cs="Arial" w:eastAsia="Arial" w:hAnsi="Arial"/>
                <w:sz w:val="18"/>
                <w:szCs w:val="18"/>
                <w:b w:val="1"/>
                <w:bCs w:val="1"/>
                <w:color w:val="auto"/>
              </w:rPr>
              <w:t>Cash Flows from Operating Activities:</w:t>
            </w:r>
          </w:p>
        </w:tc>
        <w:tc>
          <w:tcPr>
            <w:tcW w:w="320" w:type="dxa"/>
            <w:vAlign w:val="bottom"/>
            <w:shd w:val="clear" w:color="auto" w:fill="EEEEEE"/>
          </w:tcPr>
          <w:p>
            <w:pPr>
              <w:spacing w:after="0"/>
              <w:rPr>
                <w:sz w:val="18"/>
                <w:szCs w:val="18"/>
                <w:color w:val="auto"/>
              </w:rPr>
            </w:pPr>
          </w:p>
        </w:tc>
        <w:tc>
          <w:tcPr>
            <w:tcW w:w="1200" w:type="dxa"/>
            <w:vAlign w:val="bottom"/>
            <w:shd w:val="clear" w:color="auto" w:fill="EEEEEE"/>
          </w:tcPr>
          <w:p>
            <w:pPr>
              <w:spacing w:after="0"/>
              <w:rPr>
                <w:sz w:val="18"/>
                <w:szCs w:val="18"/>
                <w:color w:val="auto"/>
              </w:rPr>
            </w:pPr>
          </w:p>
        </w:tc>
        <w:tc>
          <w:tcPr>
            <w:tcW w:w="220" w:type="dxa"/>
            <w:vAlign w:val="bottom"/>
            <w:shd w:val="clear" w:color="auto" w:fill="EEEEEE"/>
          </w:tcPr>
          <w:p>
            <w:pPr>
              <w:spacing w:after="0"/>
              <w:rPr>
                <w:sz w:val="18"/>
                <w:szCs w:val="18"/>
                <w:color w:val="auto"/>
              </w:rPr>
            </w:pPr>
          </w:p>
        </w:tc>
        <w:tc>
          <w:tcPr>
            <w:tcW w:w="300" w:type="dxa"/>
            <w:vAlign w:val="bottom"/>
            <w:shd w:val="clear" w:color="auto" w:fill="EEEEEE"/>
          </w:tcPr>
          <w:p>
            <w:pPr>
              <w:spacing w:after="0"/>
              <w:rPr>
                <w:sz w:val="18"/>
                <w:szCs w:val="18"/>
                <w:color w:val="auto"/>
              </w:rPr>
            </w:pPr>
          </w:p>
        </w:tc>
        <w:tc>
          <w:tcPr>
            <w:tcW w:w="1200" w:type="dxa"/>
            <w:vAlign w:val="bottom"/>
            <w:shd w:val="clear" w:color="auto" w:fill="EEEEEE"/>
          </w:tcPr>
          <w:p>
            <w:pPr>
              <w:spacing w:after="0"/>
              <w:rPr>
                <w:sz w:val="18"/>
                <w:szCs w:val="18"/>
                <w:color w:val="auto"/>
              </w:rPr>
            </w:pPr>
          </w:p>
        </w:tc>
        <w:tc>
          <w:tcPr>
            <w:tcW w:w="140" w:type="dxa"/>
            <w:vAlign w:val="bottom"/>
            <w:shd w:val="clear" w:color="auto" w:fill="EEEEEE"/>
          </w:tcPr>
          <w:p>
            <w:pPr>
              <w:spacing w:after="0"/>
              <w:rPr>
                <w:sz w:val="18"/>
                <w:szCs w:val="18"/>
                <w:color w:val="auto"/>
              </w:rPr>
            </w:pPr>
          </w:p>
        </w:tc>
        <w:tc>
          <w:tcPr>
            <w:tcW w:w="80" w:type="dxa"/>
            <w:vAlign w:val="bottom"/>
            <w:shd w:val="clear" w:color="auto" w:fill="EEEEEE"/>
          </w:tcPr>
          <w:p>
            <w:pPr>
              <w:spacing w:after="0"/>
              <w:rPr>
                <w:sz w:val="18"/>
                <w:szCs w:val="18"/>
                <w:color w:val="auto"/>
              </w:rPr>
            </w:pPr>
          </w:p>
        </w:tc>
        <w:tc>
          <w:tcPr>
            <w:tcW w:w="140" w:type="dxa"/>
            <w:vAlign w:val="bottom"/>
            <w:shd w:val="clear" w:color="auto" w:fill="EEEEEE"/>
          </w:tcPr>
          <w:p>
            <w:pPr>
              <w:spacing w:after="0"/>
              <w:rPr>
                <w:sz w:val="18"/>
                <w:szCs w:val="18"/>
                <w:color w:val="auto"/>
              </w:rPr>
            </w:pPr>
          </w:p>
        </w:tc>
        <w:tc>
          <w:tcPr>
            <w:tcW w:w="1380" w:type="dxa"/>
            <w:vAlign w:val="bottom"/>
            <w:shd w:val="clear" w:color="auto" w:fill="EEEEEE"/>
          </w:tcPr>
          <w:p>
            <w:pPr>
              <w:spacing w:after="0"/>
              <w:rPr>
                <w:sz w:val="18"/>
                <w:szCs w:val="18"/>
                <w:color w:val="auto"/>
              </w:rPr>
            </w:pPr>
          </w:p>
        </w:tc>
        <w:tc>
          <w:tcPr>
            <w:tcW w:w="120" w:type="dxa"/>
            <w:vAlign w:val="bottom"/>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300" w:type="dxa"/>
            <w:vAlign w:val="bottom"/>
          </w:tcPr>
          <w:p>
            <w:pPr>
              <w:ind w:left="160"/>
              <w:spacing w:after="0"/>
              <w:rPr>
                <w:sz w:val="20"/>
                <w:szCs w:val="20"/>
                <w:color w:val="auto"/>
              </w:rPr>
            </w:pPr>
            <w:r>
              <w:rPr>
                <w:rFonts w:ascii="Arial" w:cs="Arial" w:eastAsia="Arial" w:hAnsi="Arial"/>
                <w:sz w:val="18"/>
                <w:szCs w:val="18"/>
                <w:color w:val="auto"/>
              </w:rPr>
              <w:t>Net Loss</w:t>
            </w:r>
          </w:p>
        </w:tc>
        <w:tc>
          <w:tcPr>
            <w:tcW w:w="320" w:type="dxa"/>
            <w:vAlign w:val="bottom"/>
          </w:tcPr>
          <w:p>
            <w:pPr>
              <w:jc w:val="right"/>
              <w:ind w:right="130"/>
              <w:spacing w:after="0"/>
              <w:rPr>
                <w:sz w:val="20"/>
                <w:szCs w:val="20"/>
                <w:color w:val="auto"/>
              </w:rPr>
            </w:pPr>
            <w:r>
              <w:rPr>
                <w:rFonts w:ascii="Arial" w:cs="Arial" w:eastAsia="Arial" w:hAnsi="Arial"/>
                <w:sz w:val="18"/>
                <w:szCs w:val="18"/>
                <w:color w:val="auto"/>
                <w:w w:val="79"/>
              </w:rPr>
              <w:t>$</w:t>
            </w:r>
          </w:p>
        </w:tc>
        <w:tc>
          <w:tcPr>
            <w:tcW w:w="1420" w:type="dxa"/>
            <w:vAlign w:val="bottom"/>
            <w:gridSpan w:val="2"/>
          </w:tcPr>
          <w:p>
            <w:pPr>
              <w:jc w:val="right"/>
              <w:ind w:right="160"/>
              <w:spacing w:after="0"/>
              <w:rPr>
                <w:sz w:val="20"/>
                <w:szCs w:val="20"/>
                <w:color w:val="auto"/>
              </w:rPr>
            </w:pPr>
            <w:r>
              <w:rPr>
                <w:rFonts w:ascii="Arial" w:cs="Arial" w:eastAsia="Arial" w:hAnsi="Arial"/>
                <w:sz w:val="18"/>
                <w:szCs w:val="18"/>
                <w:color w:val="auto"/>
              </w:rPr>
              <w:t>(361,466)</w:t>
            </w:r>
          </w:p>
        </w:tc>
        <w:tc>
          <w:tcPr>
            <w:tcW w:w="300" w:type="dxa"/>
            <w:vAlign w:val="bottom"/>
          </w:tcPr>
          <w:p>
            <w:pPr>
              <w:jc w:val="right"/>
              <w:ind w:right="145"/>
              <w:spacing w:after="0"/>
              <w:rPr>
                <w:sz w:val="20"/>
                <w:szCs w:val="20"/>
                <w:color w:val="auto"/>
              </w:rPr>
            </w:pPr>
            <w:r>
              <w:rPr>
                <w:rFonts w:ascii="Arial" w:cs="Arial" w:eastAsia="Arial" w:hAnsi="Arial"/>
                <w:sz w:val="15"/>
                <w:szCs w:val="15"/>
                <w:color w:val="auto"/>
                <w:w w:val="71"/>
              </w:rPr>
              <w:t>$</w:t>
            </w:r>
          </w:p>
        </w:tc>
        <w:tc>
          <w:tcPr>
            <w:tcW w:w="1340" w:type="dxa"/>
            <w:vAlign w:val="bottom"/>
            <w:gridSpan w:val="2"/>
          </w:tcPr>
          <w:p>
            <w:pPr>
              <w:jc w:val="right"/>
              <w:ind w:right="80"/>
              <w:spacing w:after="0"/>
              <w:rPr>
                <w:sz w:val="20"/>
                <w:szCs w:val="20"/>
                <w:color w:val="auto"/>
              </w:rPr>
            </w:pPr>
            <w:r>
              <w:rPr>
                <w:rFonts w:ascii="Arial" w:cs="Arial" w:eastAsia="Arial" w:hAnsi="Arial"/>
                <w:sz w:val="18"/>
                <w:szCs w:val="18"/>
                <w:color w:val="auto"/>
              </w:rPr>
              <w:t>(184,311)</w:t>
            </w:r>
          </w:p>
        </w:tc>
        <w:tc>
          <w:tcPr>
            <w:tcW w:w="2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500" w:type="dxa"/>
            <w:vAlign w:val="bottom"/>
            <w:gridSpan w:val="2"/>
          </w:tcPr>
          <w:p>
            <w:pPr>
              <w:jc w:val="right"/>
              <w:ind w:right="60"/>
              <w:spacing w:after="0"/>
              <w:rPr>
                <w:sz w:val="20"/>
                <w:szCs w:val="20"/>
                <w:color w:val="auto"/>
              </w:rPr>
            </w:pPr>
            <w:r>
              <w:rPr>
                <w:rFonts w:ascii="Arial" w:cs="Arial" w:eastAsia="Arial" w:hAnsi="Arial"/>
                <w:sz w:val="18"/>
                <w:szCs w:val="18"/>
                <w:color w:val="auto"/>
              </w:rPr>
              <w:t>(545,777)</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6300" w:type="dxa"/>
            <w:vAlign w:val="bottom"/>
            <w:shd w:val="clear" w:color="auto" w:fill="EEEEEE"/>
          </w:tcPr>
          <w:p>
            <w:pPr>
              <w:spacing w:after="0"/>
              <w:rPr>
                <w:sz w:val="18"/>
                <w:szCs w:val="18"/>
                <w:color w:val="auto"/>
              </w:rPr>
            </w:pPr>
          </w:p>
        </w:tc>
        <w:tc>
          <w:tcPr>
            <w:tcW w:w="320" w:type="dxa"/>
            <w:vAlign w:val="bottom"/>
            <w:shd w:val="clear" w:color="auto" w:fill="EEEEEE"/>
          </w:tcPr>
          <w:p>
            <w:pPr>
              <w:spacing w:after="0"/>
              <w:rPr>
                <w:sz w:val="18"/>
                <w:szCs w:val="18"/>
                <w:color w:val="auto"/>
              </w:rPr>
            </w:pPr>
          </w:p>
        </w:tc>
        <w:tc>
          <w:tcPr>
            <w:tcW w:w="1200" w:type="dxa"/>
            <w:vAlign w:val="bottom"/>
            <w:shd w:val="clear" w:color="auto" w:fill="EEEEEE"/>
          </w:tcPr>
          <w:p>
            <w:pPr>
              <w:spacing w:after="0"/>
              <w:rPr>
                <w:sz w:val="18"/>
                <w:szCs w:val="18"/>
                <w:color w:val="auto"/>
              </w:rPr>
            </w:pPr>
          </w:p>
        </w:tc>
        <w:tc>
          <w:tcPr>
            <w:tcW w:w="220" w:type="dxa"/>
            <w:vAlign w:val="bottom"/>
            <w:shd w:val="clear" w:color="auto" w:fill="EEEEEE"/>
          </w:tcPr>
          <w:p>
            <w:pPr>
              <w:spacing w:after="0"/>
              <w:rPr>
                <w:sz w:val="18"/>
                <w:szCs w:val="18"/>
                <w:color w:val="auto"/>
              </w:rPr>
            </w:pPr>
          </w:p>
        </w:tc>
        <w:tc>
          <w:tcPr>
            <w:tcW w:w="300" w:type="dxa"/>
            <w:vAlign w:val="bottom"/>
            <w:shd w:val="clear" w:color="auto" w:fill="EEEEEE"/>
          </w:tcPr>
          <w:p>
            <w:pPr>
              <w:spacing w:after="0"/>
              <w:rPr>
                <w:sz w:val="18"/>
                <w:szCs w:val="18"/>
                <w:color w:val="auto"/>
              </w:rPr>
            </w:pPr>
          </w:p>
        </w:tc>
        <w:tc>
          <w:tcPr>
            <w:tcW w:w="1200" w:type="dxa"/>
            <w:vAlign w:val="bottom"/>
            <w:shd w:val="clear" w:color="auto" w:fill="EEEEEE"/>
          </w:tcPr>
          <w:p>
            <w:pPr>
              <w:spacing w:after="0"/>
              <w:rPr>
                <w:sz w:val="18"/>
                <w:szCs w:val="18"/>
                <w:color w:val="auto"/>
              </w:rPr>
            </w:pPr>
          </w:p>
        </w:tc>
        <w:tc>
          <w:tcPr>
            <w:tcW w:w="140" w:type="dxa"/>
            <w:vAlign w:val="bottom"/>
            <w:shd w:val="clear" w:color="auto" w:fill="EEEEEE"/>
          </w:tcPr>
          <w:p>
            <w:pPr>
              <w:spacing w:after="0"/>
              <w:rPr>
                <w:sz w:val="18"/>
                <w:szCs w:val="18"/>
                <w:color w:val="auto"/>
              </w:rPr>
            </w:pPr>
          </w:p>
        </w:tc>
        <w:tc>
          <w:tcPr>
            <w:tcW w:w="80" w:type="dxa"/>
            <w:vAlign w:val="bottom"/>
            <w:shd w:val="clear" w:color="auto" w:fill="EEEEEE"/>
          </w:tcPr>
          <w:p>
            <w:pPr>
              <w:spacing w:after="0"/>
              <w:rPr>
                <w:sz w:val="18"/>
                <w:szCs w:val="18"/>
                <w:color w:val="auto"/>
              </w:rPr>
            </w:pPr>
          </w:p>
        </w:tc>
        <w:tc>
          <w:tcPr>
            <w:tcW w:w="140" w:type="dxa"/>
            <w:vAlign w:val="bottom"/>
            <w:shd w:val="clear" w:color="auto" w:fill="EEEEEE"/>
          </w:tcPr>
          <w:p>
            <w:pPr>
              <w:spacing w:after="0"/>
              <w:rPr>
                <w:sz w:val="18"/>
                <w:szCs w:val="18"/>
                <w:color w:val="auto"/>
              </w:rPr>
            </w:pPr>
          </w:p>
        </w:tc>
        <w:tc>
          <w:tcPr>
            <w:tcW w:w="1380" w:type="dxa"/>
            <w:vAlign w:val="bottom"/>
            <w:shd w:val="clear" w:color="auto" w:fill="EEEEEE"/>
          </w:tcPr>
          <w:p>
            <w:pPr>
              <w:spacing w:after="0"/>
              <w:rPr>
                <w:sz w:val="18"/>
                <w:szCs w:val="18"/>
                <w:color w:val="auto"/>
              </w:rPr>
            </w:pPr>
          </w:p>
        </w:tc>
        <w:tc>
          <w:tcPr>
            <w:tcW w:w="120" w:type="dxa"/>
            <w:vAlign w:val="bottom"/>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300" w:type="dxa"/>
            <w:vAlign w:val="bottom"/>
          </w:tcPr>
          <w:p>
            <w:pPr>
              <w:spacing w:after="0"/>
              <w:rPr>
                <w:sz w:val="20"/>
                <w:szCs w:val="20"/>
                <w:color w:val="auto"/>
              </w:rPr>
            </w:pPr>
            <w:r>
              <w:rPr>
                <w:rFonts w:ascii="Arial" w:cs="Arial" w:eastAsia="Arial" w:hAnsi="Arial"/>
                <w:sz w:val="18"/>
                <w:szCs w:val="18"/>
                <w:b w:val="1"/>
                <w:bCs w:val="1"/>
                <w:color w:val="auto"/>
                <w:w w:val="95"/>
              </w:rPr>
              <w:t>Adjustments to Reconcile Net Loss to Net Cash Used in Operating Activities:</w:t>
            </w:r>
          </w:p>
        </w:tc>
        <w:tc>
          <w:tcPr>
            <w:tcW w:w="32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3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300" w:type="dxa"/>
            <w:vAlign w:val="bottom"/>
            <w:shd w:val="clear" w:color="auto" w:fill="EEEEEE"/>
          </w:tcPr>
          <w:p>
            <w:pPr>
              <w:ind w:left="320"/>
              <w:spacing w:after="0"/>
              <w:rPr>
                <w:sz w:val="20"/>
                <w:szCs w:val="20"/>
                <w:color w:val="auto"/>
              </w:rPr>
            </w:pPr>
            <w:r>
              <w:rPr>
                <w:rFonts w:ascii="Arial" w:cs="Arial" w:eastAsia="Arial" w:hAnsi="Arial"/>
                <w:sz w:val="18"/>
                <w:szCs w:val="18"/>
                <w:color w:val="auto"/>
              </w:rPr>
              <w:t>Depreciation and amortization expense</w:t>
            </w:r>
          </w:p>
        </w:tc>
        <w:tc>
          <w:tcPr>
            <w:tcW w:w="320" w:type="dxa"/>
            <w:vAlign w:val="bottom"/>
            <w:shd w:val="clear" w:color="auto" w:fill="EEEEEE"/>
          </w:tcPr>
          <w:p>
            <w:pPr>
              <w:spacing w:after="0"/>
              <w:rPr>
                <w:sz w:val="18"/>
                <w:szCs w:val="18"/>
                <w:color w:val="auto"/>
              </w:rPr>
            </w:pPr>
          </w:p>
        </w:tc>
        <w:tc>
          <w:tcPr>
            <w:tcW w:w="1200" w:type="dxa"/>
            <w:vAlign w:val="bottom"/>
            <w:shd w:val="clear" w:color="auto" w:fill="EEEEEE"/>
          </w:tcPr>
          <w:p>
            <w:pPr>
              <w:jc w:val="right"/>
              <w:spacing w:after="0"/>
              <w:rPr>
                <w:sz w:val="20"/>
                <w:szCs w:val="20"/>
                <w:color w:val="auto"/>
              </w:rPr>
            </w:pPr>
            <w:r>
              <w:rPr>
                <w:rFonts w:ascii="Arial" w:cs="Arial" w:eastAsia="Arial" w:hAnsi="Arial"/>
                <w:sz w:val="18"/>
                <w:szCs w:val="18"/>
                <w:color w:val="auto"/>
              </w:rPr>
              <w:t>2,824</w:t>
            </w:r>
          </w:p>
        </w:tc>
        <w:tc>
          <w:tcPr>
            <w:tcW w:w="220" w:type="dxa"/>
            <w:vAlign w:val="bottom"/>
            <w:shd w:val="clear" w:color="auto" w:fill="EEEEEE"/>
          </w:tcPr>
          <w:p>
            <w:pPr>
              <w:spacing w:after="0"/>
              <w:rPr>
                <w:sz w:val="18"/>
                <w:szCs w:val="18"/>
                <w:color w:val="auto"/>
              </w:rPr>
            </w:pPr>
          </w:p>
        </w:tc>
        <w:tc>
          <w:tcPr>
            <w:tcW w:w="300" w:type="dxa"/>
            <w:vAlign w:val="bottom"/>
            <w:shd w:val="clear" w:color="auto" w:fill="EEEEEE"/>
          </w:tcPr>
          <w:p>
            <w:pPr>
              <w:spacing w:after="0"/>
              <w:rPr>
                <w:sz w:val="18"/>
                <w:szCs w:val="18"/>
                <w:color w:val="auto"/>
              </w:rPr>
            </w:pPr>
          </w:p>
        </w:tc>
        <w:tc>
          <w:tcPr>
            <w:tcW w:w="1200" w:type="dxa"/>
            <w:vAlign w:val="bottom"/>
            <w:shd w:val="clear" w:color="auto" w:fill="EEEEEE"/>
          </w:tcPr>
          <w:p>
            <w:pPr>
              <w:jc w:val="right"/>
              <w:spacing w:after="0"/>
              <w:rPr>
                <w:sz w:val="20"/>
                <w:szCs w:val="20"/>
                <w:color w:val="auto"/>
              </w:rPr>
            </w:pPr>
            <w:r>
              <w:rPr>
                <w:rFonts w:ascii="Arial" w:cs="Arial" w:eastAsia="Arial" w:hAnsi="Arial"/>
                <w:sz w:val="18"/>
                <w:szCs w:val="18"/>
                <w:color w:val="auto"/>
              </w:rPr>
              <w:t>39</w:t>
            </w:r>
          </w:p>
        </w:tc>
        <w:tc>
          <w:tcPr>
            <w:tcW w:w="140" w:type="dxa"/>
            <w:vAlign w:val="bottom"/>
            <w:shd w:val="clear" w:color="auto" w:fill="EEEEEE"/>
          </w:tcPr>
          <w:p>
            <w:pPr>
              <w:spacing w:after="0"/>
              <w:rPr>
                <w:sz w:val="18"/>
                <w:szCs w:val="18"/>
                <w:color w:val="auto"/>
              </w:rPr>
            </w:pPr>
          </w:p>
        </w:tc>
        <w:tc>
          <w:tcPr>
            <w:tcW w:w="80" w:type="dxa"/>
            <w:vAlign w:val="bottom"/>
            <w:shd w:val="clear" w:color="auto" w:fill="EEEEEE"/>
          </w:tcPr>
          <w:p>
            <w:pPr>
              <w:spacing w:after="0"/>
              <w:rPr>
                <w:sz w:val="18"/>
                <w:szCs w:val="18"/>
                <w:color w:val="auto"/>
              </w:rPr>
            </w:pPr>
          </w:p>
        </w:tc>
        <w:tc>
          <w:tcPr>
            <w:tcW w:w="140" w:type="dxa"/>
            <w:vAlign w:val="bottom"/>
            <w:shd w:val="clear" w:color="auto" w:fill="EEEEEE"/>
          </w:tcPr>
          <w:p>
            <w:pPr>
              <w:spacing w:after="0"/>
              <w:rPr>
                <w:sz w:val="18"/>
                <w:szCs w:val="18"/>
                <w:color w:val="auto"/>
              </w:rPr>
            </w:pPr>
          </w:p>
        </w:tc>
        <w:tc>
          <w:tcPr>
            <w:tcW w:w="1380" w:type="dxa"/>
            <w:vAlign w:val="bottom"/>
            <w:shd w:val="clear" w:color="auto" w:fill="EEEEEE"/>
          </w:tcPr>
          <w:p>
            <w:pPr>
              <w:jc w:val="right"/>
              <w:spacing w:after="0"/>
              <w:rPr>
                <w:sz w:val="20"/>
                <w:szCs w:val="20"/>
                <w:color w:val="auto"/>
              </w:rPr>
            </w:pPr>
            <w:r>
              <w:rPr>
                <w:rFonts w:ascii="Arial" w:cs="Arial" w:eastAsia="Arial" w:hAnsi="Arial"/>
                <w:sz w:val="18"/>
                <w:szCs w:val="18"/>
                <w:color w:val="auto"/>
              </w:rPr>
              <w:t>2,863</w:t>
            </w:r>
          </w:p>
        </w:tc>
        <w:tc>
          <w:tcPr>
            <w:tcW w:w="120" w:type="dxa"/>
            <w:vAlign w:val="bottom"/>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300" w:type="dxa"/>
            <w:vAlign w:val="bottom"/>
          </w:tcPr>
          <w:p>
            <w:pPr>
              <w:spacing w:after="0"/>
              <w:rPr>
                <w:sz w:val="20"/>
                <w:szCs w:val="20"/>
                <w:color w:val="auto"/>
              </w:rPr>
            </w:pPr>
            <w:r>
              <w:rPr>
                <w:rFonts w:ascii="Arial" w:cs="Arial" w:eastAsia="Arial" w:hAnsi="Arial"/>
                <w:sz w:val="18"/>
                <w:szCs w:val="18"/>
                <w:b w:val="1"/>
                <w:bCs w:val="1"/>
                <w:color w:val="auto"/>
              </w:rPr>
              <w:t>Changes in Assets and Liabilities</w:t>
            </w:r>
          </w:p>
        </w:tc>
        <w:tc>
          <w:tcPr>
            <w:tcW w:w="32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3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300" w:type="dxa"/>
            <w:vAlign w:val="bottom"/>
            <w:shd w:val="clear" w:color="auto" w:fill="EEEEEE"/>
          </w:tcPr>
          <w:p>
            <w:pPr>
              <w:ind w:left="320"/>
              <w:spacing w:after="0"/>
              <w:rPr>
                <w:sz w:val="20"/>
                <w:szCs w:val="20"/>
                <w:color w:val="auto"/>
              </w:rPr>
            </w:pPr>
            <w:r>
              <w:rPr>
                <w:rFonts w:ascii="Arial" w:cs="Arial" w:eastAsia="Arial" w:hAnsi="Arial"/>
                <w:sz w:val="18"/>
                <w:szCs w:val="18"/>
                <w:color w:val="auto"/>
              </w:rPr>
              <w:t>(Increase) in prepaid rent</w:t>
            </w:r>
          </w:p>
        </w:tc>
        <w:tc>
          <w:tcPr>
            <w:tcW w:w="320" w:type="dxa"/>
            <w:vAlign w:val="bottom"/>
            <w:shd w:val="clear" w:color="auto" w:fill="EEEEEE"/>
          </w:tcPr>
          <w:p>
            <w:pPr>
              <w:spacing w:after="0"/>
              <w:rPr>
                <w:sz w:val="18"/>
                <w:szCs w:val="18"/>
                <w:color w:val="auto"/>
              </w:rPr>
            </w:pPr>
          </w:p>
        </w:tc>
        <w:tc>
          <w:tcPr>
            <w:tcW w:w="1420" w:type="dxa"/>
            <w:vAlign w:val="bottom"/>
            <w:gridSpan w:val="2"/>
            <w:shd w:val="clear" w:color="auto" w:fill="EEEEEE"/>
          </w:tcPr>
          <w:p>
            <w:pPr>
              <w:jc w:val="right"/>
              <w:ind w:right="160"/>
              <w:spacing w:after="0"/>
              <w:rPr>
                <w:sz w:val="20"/>
                <w:szCs w:val="20"/>
                <w:color w:val="auto"/>
              </w:rPr>
            </w:pPr>
            <w:r>
              <w:rPr>
                <w:rFonts w:ascii="Arial" w:cs="Arial" w:eastAsia="Arial" w:hAnsi="Arial"/>
                <w:sz w:val="18"/>
                <w:szCs w:val="18"/>
                <w:color w:val="auto"/>
              </w:rPr>
              <w:t>(2,000)</w:t>
            </w:r>
          </w:p>
        </w:tc>
        <w:tc>
          <w:tcPr>
            <w:tcW w:w="300" w:type="dxa"/>
            <w:vAlign w:val="bottom"/>
            <w:shd w:val="clear" w:color="auto" w:fill="EEEEEE"/>
          </w:tcPr>
          <w:p>
            <w:pPr>
              <w:spacing w:after="0"/>
              <w:rPr>
                <w:sz w:val="18"/>
                <w:szCs w:val="18"/>
                <w:color w:val="auto"/>
              </w:rPr>
            </w:pPr>
          </w:p>
        </w:tc>
        <w:tc>
          <w:tcPr>
            <w:tcW w:w="1200" w:type="dxa"/>
            <w:vAlign w:val="bottom"/>
            <w:shd w:val="clear" w:color="auto" w:fill="EEEEEE"/>
          </w:tcPr>
          <w:p>
            <w:pPr>
              <w:jc w:val="right"/>
              <w:spacing w:after="0"/>
              <w:rPr>
                <w:sz w:val="20"/>
                <w:szCs w:val="20"/>
                <w:color w:val="auto"/>
              </w:rPr>
            </w:pPr>
            <w:r>
              <w:rPr>
                <w:rFonts w:ascii="Arial" w:cs="Arial" w:eastAsia="Arial" w:hAnsi="Arial"/>
                <w:sz w:val="18"/>
                <w:szCs w:val="18"/>
                <w:color w:val="auto"/>
              </w:rPr>
              <w:t>-0-</w:t>
            </w:r>
          </w:p>
        </w:tc>
        <w:tc>
          <w:tcPr>
            <w:tcW w:w="140" w:type="dxa"/>
            <w:vAlign w:val="bottom"/>
            <w:shd w:val="clear" w:color="auto" w:fill="EEEEEE"/>
          </w:tcPr>
          <w:p>
            <w:pPr>
              <w:spacing w:after="0"/>
              <w:rPr>
                <w:sz w:val="18"/>
                <w:szCs w:val="18"/>
                <w:color w:val="auto"/>
              </w:rPr>
            </w:pPr>
          </w:p>
        </w:tc>
        <w:tc>
          <w:tcPr>
            <w:tcW w:w="80" w:type="dxa"/>
            <w:vAlign w:val="bottom"/>
            <w:shd w:val="clear" w:color="auto" w:fill="EEEEEE"/>
          </w:tcPr>
          <w:p>
            <w:pPr>
              <w:spacing w:after="0"/>
              <w:rPr>
                <w:sz w:val="18"/>
                <w:szCs w:val="18"/>
                <w:color w:val="auto"/>
              </w:rPr>
            </w:pPr>
          </w:p>
        </w:tc>
        <w:tc>
          <w:tcPr>
            <w:tcW w:w="140" w:type="dxa"/>
            <w:vAlign w:val="bottom"/>
            <w:shd w:val="clear" w:color="auto" w:fill="EEEEEE"/>
          </w:tcPr>
          <w:p>
            <w:pPr>
              <w:spacing w:after="0"/>
              <w:rPr>
                <w:sz w:val="18"/>
                <w:szCs w:val="18"/>
                <w:color w:val="auto"/>
              </w:rPr>
            </w:pPr>
          </w:p>
        </w:tc>
        <w:tc>
          <w:tcPr>
            <w:tcW w:w="1500" w:type="dxa"/>
            <w:vAlign w:val="bottom"/>
            <w:gridSpan w:val="2"/>
            <w:shd w:val="clear" w:color="auto" w:fill="EEEEEE"/>
          </w:tcPr>
          <w:p>
            <w:pPr>
              <w:jc w:val="right"/>
              <w:ind w:right="60"/>
              <w:spacing w:after="0"/>
              <w:rPr>
                <w:sz w:val="20"/>
                <w:szCs w:val="20"/>
                <w:color w:val="auto"/>
              </w:rPr>
            </w:pPr>
            <w:r>
              <w:rPr>
                <w:rFonts w:ascii="Arial" w:cs="Arial" w:eastAsia="Arial" w:hAnsi="Arial"/>
                <w:sz w:val="18"/>
                <w:szCs w:val="18"/>
                <w:color w:val="auto"/>
              </w:rPr>
              <w:t>(2,000)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300" w:type="dxa"/>
            <w:vAlign w:val="bottom"/>
          </w:tcPr>
          <w:p>
            <w:pPr>
              <w:ind w:left="320"/>
              <w:spacing w:after="0"/>
              <w:rPr>
                <w:sz w:val="20"/>
                <w:szCs w:val="20"/>
                <w:color w:val="auto"/>
              </w:rPr>
            </w:pPr>
            <w:r>
              <w:rPr>
                <w:rFonts w:ascii="Arial" w:cs="Arial" w:eastAsia="Arial" w:hAnsi="Arial"/>
                <w:sz w:val="18"/>
                <w:szCs w:val="18"/>
                <w:color w:val="auto"/>
              </w:rPr>
              <w:t>Increase in accounts payable</w:t>
            </w:r>
          </w:p>
        </w:tc>
        <w:tc>
          <w:tcPr>
            <w:tcW w:w="32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43,216</w:t>
            </w:r>
          </w:p>
        </w:tc>
        <w:tc>
          <w:tcPr>
            <w:tcW w:w="2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-0-</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380" w:type="dxa"/>
            <w:vAlign w:val="bottom"/>
          </w:tcPr>
          <w:p>
            <w:pPr>
              <w:jc w:val="right"/>
              <w:spacing w:after="0"/>
              <w:rPr>
                <w:sz w:val="20"/>
                <w:szCs w:val="20"/>
                <w:color w:val="auto"/>
              </w:rPr>
            </w:pPr>
            <w:r>
              <w:rPr>
                <w:rFonts w:ascii="Arial" w:cs="Arial" w:eastAsia="Arial" w:hAnsi="Arial"/>
                <w:sz w:val="18"/>
                <w:szCs w:val="18"/>
                <w:color w:val="auto"/>
              </w:rPr>
              <w:t>43,216</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6300" w:type="dxa"/>
            <w:vAlign w:val="bottom"/>
            <w:tcBorders>
              <w:bottom w:val="single" w:sz="8" w:color="EEEEEE"/>
            </w:tcBorders>
            <w:shd w:val="clear" w:color="auto" w:fill="EEEEEE"/>
          </w:tcPr>
          <w:p>
            <w:pPr>
              <w:ind w:left="320"/>
              <w:spacing w:after="0"/>
              <w:rPr>
                <w:sz w:val="20"/>
                <w:szCs w:val="20"/>
                <w:color w:val="auto"/>
              </w:rPr>
            </w:pPr>
            <w:r>
              <w:rPr>
                <w:rFonts w:ascii="Arial" w:cs="Arial" w:eastAsia="Arial" w:hAnsi="Arial"/>
                <w:sz w:val="18"/>
                <w:szCs w:val="18"/>
                <w:color w:val="auto"/>
              </w:rPr>
              <w:t>Increase in accrued expenses</w:t>
            </w:r>
          </w:p>
        </w:tc>
        <w:tc>
          <w:tcPr>
            <w:tcW w:w="320" w:type="dxa"/>
            <w:vAlign w:val="bottom"/>
            <w:tcBorders>
              <w:bottom w:val="single" w:sz="8" w:color="auto"/>
            </w:tcBorders>
            <w:shd w:val="clear" w:color="auto" w:fill="EEEEEE"/>
          </w:tcPr>
          <w:p>
            <w:pPr>
              <w:spacing w:after="0"/>
              <w:rPr>
                <w:sz w:val="19"/>
                <w:szCs w:val="19"/>
                <w:color w:val="auto"/>
              </w:rPr>
            </w:pPr>
          </w:p>
        </w:tc>
        <w:tc>
          <w:tcPr>
            <w:tcW w:w="1200" w:type="dxa"/>
            <w:vAlign w:val="bottom"/>
            <w:tcBorders>
              <w:bottom w:val="single" w:sz="8" w:color="auto"/>
            </w:tcBorders>
            <w:shd w:val="clear" w:color="auto" w:fill="EEEEEE"/>
          </w:tcPr>
          <w:p>
            <w:pPr>
              <w:jc w:val="right"/>
              <w:spacing w:after="0"/>
              <w:rPr>
                <w:sz w:val="20"/>
                <w:szCs w:val="20"/>
                <w:color w:val="auto"/>
              </w:rPr>
            </w:pPr>
            <w:r>
              <w:rPr>
                <w:rFonts w:ascii="Arial" w:cs="Arial" w:eastAsia="Arial" w:hAnsi="Arial"/>
                <w:sz w:val="18"/>
                <w:szCs w:val="18"/>
                <w:color w:val="auto"/>
              </w:rPr>
              <w:t>13,793</w:t>
            </w:r>
          </w:p>
        </w:tc>
        <w:tc>
          <w:tcPr>
            <w:tcW w:w="220" w:type="dxa"/>
            <w:vAlign w:val="bottom"/>
            <w:tcBorders>
              <w:bottom w:val="single" w:sz="8" w:color="EEEEEE"/>
            </w:tcBorders>
            <w:shd w:val="clear" w:color="auto" w:fill="EEEEEE"/>
          </w:tcPr>
          <w:p>
            <w:pPr>
              <w:spacing w:after="0"/>
              <w:rPr>
                <w:sz w:val="19"/>
                <w:szCs w:val="19"/>
                <w:color w:val="auto"/>
              </w:rPr>
            </w:pPr>
          </w:p>
        </w:tc>
        <w:tc>
          <w:tcPr>
            <w:tcW w:w="300" w:type="dxa"/>
            <w:vAlign w:val="bottom"/>
            <w:tcBorders>
              <w:bottom w:val="single" w:sz="8" w:color="auto"/>
            </w:tcBorders>
            <w:shd w:val="clear" w:color="auto" w:fill="EEEEEE"/>
          </w:tcPr>
          <w:p>
            <w:pPr>
              <w:spacing w:after="0"/>
              <w:rPr>
                <w:sz w:val="19"/>
                <w:szCs w:val="19"/>
                <w:color w:val="auto"/>
              </w:rPr>
            </w:pPr>
          </w:p>
        </w:tc>
        <w:tc>
          <w:tcPr>
            <w:tcW w:w="1200" w:type="dxa"/>
            <w:vAlign w:val="bottom"/>
            <w:tcBorders>
              <w:bottom w:val="single" w:sz="8" w:color="auto"/>
            </w:tcBorders>
            <w:shd w:val="clear" w:color="auto" w:fill="EEEEEE"/>
          </w:tcPr>
          <w:p>
            <w:pPr>
              <w:jc w:val="right"/>
              <w:spacing w:after="0"/>
              <w:rPr>
                <w:sz w:val="20"/>
                <w:szCs w:val="20"/>
                <w:color w:val="auto"/>
              </w:rPr>
            </w:pPr>
            <w:r>
              <w:rPr>
                <w:rFonts w:ascii="Arial" w:cs="Arial" w:eastAsia="Arial" w:hAnsi="Arial"/>
                <w:sz w:val="18"/>
                <w:szCs w:val="18"/>
                <w:color w:val="auto"/>
              </w:rPr>
              <w:t>5,133</w:t>
            </w:r>
          </w:p>
        </w:tc>
        <w:tc>
          <w:tcPr>
            <w:tcW w:w="140" w:type="dxa"/>
            <w:vAlign w:val="bottom"/>
            <w:tcBorders>
              <w:bottom w:val="single" w:sz="8" w:color="EEEEEE"/>
            </w:tcBorders>
            <w:shd w:val="clear" w:color="auto" w:fill="EEEEEE"/>
          </w:tcPr>
          <w:p>
            <w:pPr>
              <w:spacing w:after="0"/>
              <w:rPr>
                <w:sz w:val="19"/>
                <w:szCs w:val="19"/>
                <w:color w:val="auto"/>
              </w:rPr>
            </w:pPr>
          </w:p>
        </w:tc>
        <w:tc>
          <w:tcPr>
            <w:tcW w:w="80" w:type="dxa"/>
            <w:vAlign w:val="bottom"/>
            <w:tcBorders>
              <w:bottom w:val="single" w:sz="8" w:color="EEEEEE"/>
            </w:tcBorders>
            <w:shd w:val="clear" w:color="auto" w:fill="EEEEEE"/>
          </w:tcPr>
          <w:p>
            <w:pPr>
              <w:spacing w:after="0"/>
              <w:rPr>
                <w:sz w:val="19"/>
                <w:szCs w:val="19"/>
                <w:color w:val="auto"/>
              </w:rPr>
            </w:pPr>
          </w:p>
        </w:tc>
        <w:tc>
          <w:tcPr>
            <w:tcW w:w="140" w:type="dxa"/>
            <w:vAlign w:val="bottom"/>
            <w:tcBorders>
              <w:bottom w:val="single" w:sz="8" w:color="auto"/>
            </w:tcBorders>
            <w:shd w:val="clear" w:color="auto" w:fill="EEEEEE"/>
          </w:tcPr>
          <w:p>
            <w:pPr>
              <w:spacing w:after="0"/>
              <w:rPr>
                <w:sz w:val="19"/>
                <w:szCs w:val="19"/>
                <w:color w:val="auto"/>
              </w:rPr>
            </w:pPr>
          </w:p>
        </w:tc>
        <w:tc>
          <w:tcPr>
            <w:tcW w:w="1380" w:type="dxa"/>
            <w:vAlign w:val="bottom"/>
            <w:tcBorders>
              <w:bottom w:val="single" w:sz="8" w:color="auto"/>
            </w:tcBorders>
            <w:shd w:val="clear" w:color="auto" w:fill="EEEEEE"/>
          </w:tcPr>
          <w:p>
            <w:pPr>
              <w:jc w:val="right"/>
              <w:spacing w:after="0"/>
              <w:rPr>
                <w:sz w:val="20"/>
                <w:szCs w:val="20"/>
                <w:color w:val="auto"/>
              </w:rPr>
            </w:pPr>
            <w:r>
              <w:rPr>
                <w:rFonts w:ascii="Arial" w:cs="Arial" w:eastAsia="Arial" w:hAnsi="Arial"/>
                <w:sz w:val="18"/>
                <w:szCs w:val="18"/>
                <w:color w:val="auto"/>
              </w:rPr>
              <w:t>18,926</w:t>
            </w:r>
          </w:p>
        </w:tc>
        <w:tc>
          <w:tcPr>
            <w:tcW w:w="120" w:type="dxa"/>
            <w:vAlign w:val="bottom"/>
            <w:tcBorders>
              <w:bottom w:val="single" w:sz="8" w:color="EEEEEE"/>
            </w:tcBorders>
            <w:shd w:val="clear" w:color="auto" w:fill="EEEEEE"/>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6300" w:type="dxa"/>
            <w:vAlign w:val="bottom"/>
          </w:tcPr>
          <w:p>
            <w:pPr>
              <w:spacing w:after="0"/>
              <w:rPr>
                <w:sz w:val="20"/>
                <w:szCs w:val="20"/>
                <w:color w:val="auto"/>
              </w:rPr>
            </w:pPr>
            <w:r>
              <w:rPr>
                <w:rFonts w:ascii="Arial" w:cs="Arial" w:eastAsia="Arial" w:hAnsi="Arial"/>
                <w:sz w:val="18"/>
                <w:szCs w:val="18"/>
                <w:b w:val="1"/>
                <w:bCs w:val="1"/>
                <w:color w:val="auto"/>
              </w:rPr>
              <w:t>Net Cash Used in Operating Activities</w:t>
            </w:r>
          </w:p>
        </w:tc>
        <w:tc>
          <w:tcPr>
            <w:tcW w:w="320" w:type="dxa"/>
            <w:vAlign w:val="bottom"/>
          </w:tcPr>
          <w:p>
            <w:pPr>
              <w:spacing w:after="0"/>
              <w:rPr>
                <w:sz w:val="19"/>
                <w:szCs w:val="19"/>
                <w:color w:val="auto"/>
              </w:rPr>
            </w:pPr>
          </w:p>
        </w:tc>
        <w:tc>
          <w:tcPr>
            <w:tcW w:w="1420" w:type="dxa"/>
            <w:vAlign w:val="bottom"/>
            <w:gridSpan w:val="2"/>
          </w:tcPr>
          <w:p>
            <w:pPr>
              <w:jc w:val="right"/>
              <w:ind w:right="160"/>
              <w:spacing w:after="0"/>
              <w:rPr>
                <w:sz w:val="20"/>
                <w:szCs w:val="20"/>
                <w:color w:val="auto"/>
              </w:rPr>
            </w:pPr>
            <w:r>
              <w:rPr>
                <w:rFonts w:ascii="Arial" w:cs="Arial" w:eastAsia="Arial" w:hAnsi="Arial"/>
                <w:sz w:val="18"/>
                <w:szCs w:val="18"/>
                <w:color w:val="auto"/>
              </w:rPr>
              <w:t>(303,633)</w:t>
            </w:r>
          </w:p>
        </w:tc>
        <w:tc>
          <w:tcPr>
            <w:tcW w:w="300" w:type="dxa"/>
            <w:vAlign w:val="bottom"/>
          </w:tcPr>
          <w:p>
            <w:pPr>
              <w:spacing w:after="0"/>
              <w:rPr>
                <w:sz w:val="19"/>
                <w:szCs w:val="19"/>
                <w:color w:val="auto"/>
              </w:rPr>
            </w:pPr>
          </w:p>
        </w:tc>
        <w:tc>
          <w:tcPr>
            <w:tcW w:w="1340" w:type="dxa"/>
            <w:vAlign w:val="bottom"/>
            <w:gridSpan w:val="2"/>
          </w:tcPr>
          <w:p>
            <w:pPr>
              <w:jc w:val="right"/>
              <w:ind w:right="80"/>
              <w:spacing w:after="0"/>
              <w:rPr>
                <w:sz w:val="20"/>
                <w:szCs w:val="20"/>
                <w:color w:val="auto"/>
              </w:rPr>
            </w:pPr>
            <w:r>
              <w:rPr>
                <w:rFonts w:ascii="Arial" w:cs="Arial" w:eastAsia="Arial" w:hAnsi="Arial"/>
                <w:sz w:val="18"/>
                <w:szCs w:val="18"/>
                <w:color w:val="auto"/>
              </w:rPr>
              <w:t>(179,139)</w:t>
            </w:r>
          </w:p>
        </w:tc>
        <w:tc>
          <w:tcPr>
            <w:tcW w:w="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500" w:type="dxa"/>
            <w:vAlign w:val="bottom"/>
            <w:gridSpan w:val="2"/>
          </w:tcPr>
          <w:p>
            <w:pPr>
              <w:jc w:val="right"/>
              <w:ind w:right="60"/>
              <w:spacing w:after="0"/>
              <w:rPr>
                <w:sz w:val="20"/>
                <w:szCs w:val="20"/>
                <w:color w:val="auto"/>
              </w:rPr>
            </w:pPr>
            <w:r>
              <w:rPr>
                <w:rFonts w:ascii="Arial" w:cs="Arial" w:eastAsia="Arial" w:hAnsi="Arial"/>
                <w:sz w:val="18"/>
                <w:szCs w:val="18"/>
                <w:color w:val="auto"/>
              </w:rPr>
              <w:t>(482,772)</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6300" w:type="dxa"/>
            <w:vAlign w:val="bottom"/>
            <w:shd w:val="clear" w:color="auto" w:fill="EEEEEE"/>
          </w:tcPr>
          <w:p>
            <w:pPr>
              <w:spacing w:after="0"/>
              <w:rPr>
                <w:sz w:val="18"/>
                <w:szCs w:val="18"/>
                <w:color w:val="auto"/>
              </w:rPr>
            </w:pPr>
          </w:p>
        </w:tc>
        <w:tc>
          <w:tcPr>
            <w:tcW w:w="320" w:type="dxa"/>
            <w:vAlign w:val="bottom"/>
            <w:tcBorders>
              <w:top w:val="single" w:sz="8" w:color="auto"/>
            </w:tcBorders>
            <w:shd w:val="clear" w:color="auto" w:fill="EEEEEE"/>
          </w:tcPr>
          <w:p>
            <w:pPr>
              <w:spacing w:after="0"/>
              <w:rPr>
                <w:sz w:val="18"/>
                <w:szCs w:val="18"/>
                <w:color w:val="auto"/>
              </w:rPr>
            </w:pPr>
          </w:p>
        </w:tc>
        <w:tc>
          <w:tcPr>
            <w:tcW w:w="1200" w:type="dxa"/>
            <w:vAlign w:val="bottom"/>
            <w:tcBorders>
              <w:top w:val="single" w:sz="8" w:color="auto"/>
            </w:tcBorders>
            <w:shd w:val="clear" w:color="auto" w:fill="EEEEEE"/>
          </w:tcPr>
          <w:p>
            <w:pPr>
              <w:spacing w:after="0"/>
              <w:rPr>
                <w:sz w:val="18"/>
                <w:szCs w:val="18"/>
                <w:color w:val="auto"/>
              </w:rPr>
            </w:pPr>
          </w:p>
        </w:tc>
        <w:tc>
          <w:tcPr>
            <w:tcW w:w="220" w:type="dxa"/>
            <w:vAlign w:val="bottom"/>
            <w:shd w:val="clear" w:color="auto" w:fill="EEEEEE"/>
          </w:tcPr>
          <w:p>
            <w:pPr>
              <w:spacing w:after="0"/>
              <w:rPr>
                <w:sz w:val="18"/>
                <w:szCs w:val="18"/>
                <w:color w:val="auto"/>
              </w:rPr>
            </w:pPr>
          </w:p>
        </w:tc>
        <w:tc>
          <w:tcPr>
            <w:tcW w:w="300" w:type="dxa"/>
            <w:vAlign w:val="bottom"/>
            <w:tcBorders>
              <w:top w:val="single" w:sz="8" w:color="auto"/>
            </w:tcBorders>
            <w:shd w:val="clear" w:color="auto" w:fill="EEEEEE"/>
          </w:tcPr>
          <w:p>
            <w:pPr>
              <w:spacing w:after="0"/>
              <w:rPr>
                <w:sz w:val="18"/>
                <w:szCs w:val="18"/>
                <w:color w:val="auto"/>
              </w:rPr>
            </w:pPr>
          </w:p>
        </w:tc>
        <w:tc>
          <w:tcPr>
            <w:tcW w:w="1200" w:type="dxa"/>
            <w:vAlign w:val="bottom"/>
            <w:tcBorders>
              <w:top w:val="single" w:sz="8" w:color="auto"/>
            </w:tcBorders>
            <w:shd w:val="clear" w:color="auto" w:fill="EEEEEE"/>
          </w:tcPr>
          <w:p>
            <w:pPr>
              <w:spacing w:after="0"/>
              <w:rPr>
                <w:sz w:val="18"/>
                <w:szCs w:val="18"/>
                <w:color w:val="auto"/>
              </w:rPr>
            </w:pPr>
          </w:p>
        </w:tc>
        <w:tc>
          <w:tcPr>
            <w:tcW w:w="140" w:type="dxa"/>
            <w:vAlign w:val="bottom"/>
            <w:shd w:val="clear" w:color="auto" w:fill="EEEEEE"/>
          </w:tcPr>
          <w:p>
            <w:pPr>
              <w:spacing w:after="0"/>
              <w:rPr>
                <w:sz w:val="18"/>
                <w:szCs w:val="18"/>
                <w:color w:val="auto"/>
              </w:rPr>
            </w:pPr>
          </w:p>
        </w:tc>
        <w:tc>
          <w:tcPr>
            <w:tcW w:w="80" w:type="dxa"/>
            <w:vAlign w:val="bottom"/>
            <w:shd w:val="clear" w:color="auto" w:fill="EEEEEE"/>
          </w:tcPr>
          <w:p>
            <w:pPr>
              <w:spacing w:after="0"/>
              <w:rPr>
                <w:sz w:val="18"/>
                <w:szCs w:val="18"/>
                <w:color w:val="auto"/>
              </w:rPr>
            </w:pPr>
          </w:p>
        </w:tc>
        <w:tc>
          <w:tcPr>
            <w:tcW w:w="140" w:type="dxa"/>
            <w:vAlign w:val="bottom"/>
            <w:tcBorders>
              <w:top w:val="single" w:sz="8" w:color="auto"/>
            </w:tcBorders>
            <w:shd w:val="clear" w:color="auto" w:fill="EEEEEE"/>
          </w:tcPr>
          <w:p>
            <w:pPr>
              <w:spacing w:after="0"/>
              <w:rPr>
                <w:sz w:val="18"/>
                <w:szCs w:val="18"/>
                <w:color w:val="auto"/>
              </w:rPr>
            </w:pPr>
          </w:p>
        </w:tc>
        <w:tc>
          <w:tcPr>
            <w:tcW w:w="1380" w:type="dxa"/>
            <w:vAlign w:val="bottom"/>
            <w:tcBorders>
              <w:top w:val="single" w:sz="8" w:color="auto"/>
            </w:tcBorders>
            <w:shd w:val="clear" w:color="auto" w:fill="EEEEEE"/>
          </w:tcPr>
          <w:p>
            <w:pPr>
              <w:spacing w:after="0"/>
              <w:rPr>
                <w:sz w:val="18"/>
                <w:szCs w:val="18"/>
                <w:color w:val="auto"/>
              </w:rPr>
            </w:pPr>
          </w:p>
        </w:tc>
        <w:tc>
          <w:tcPr>
            <w:tcW w:w="120" w:type="dxa"/>
            <w:vAlign w:val="bottom"/>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300" w:type="dxa"/>
            <w:vAlign w:val="bottom"/>
          </w:tcPr>
          <w:p>
            <w:pPr>
              <w:spacing w:after="0"/>
              <w:rPr>
                <w:sz w:val="20"/>
                <w:szCs w:val="20"/>
                <w:color w:val="auto"/>
              </w:rPr>
            </w:pPr>
            <w:r>
              <w:rPr>
                <w:rFonts w:ascii="Arial" w:cs="Arial" w:eastAsia="Arial" w:hAnsi="Arial"/>
                <w:sz w:val="18"/>
                <w:szCs w:val="18"/>
                <w:b w:val="1"/>
                <w:bCs w:val="1"/>
                <w:color w:val="auto"/>
              </w:rPr>
              <w:t>Cash Flows from Investing Activities:</w:t>
            </w:r>
          </w:p>
        </w:tc>
        <w:tc>
          <w:tcPr>
            <w:tcW w:w="32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3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300" w:type="dxa"/>
            <w:vAlign w:val="bottom"/>
            <w:shd w:val="clear" w:color="auto" w:fill="EEEEEE"/>
          </w:tcPr>
          <w:p>
            <w:pPr>
              <w:ind w:left="320"/>
              <w:spacing w:after="0"/>
              <w:rPr>
                <w:sz w:val="20"/>
                <w:szCs w:val="20"/>
                <w:color w:val="auto"/>
              </w:rPr>
            </w:pPr>
            <w:r>
              <w:rPr>
                <w:rFonts w:ascii="Arial" w:cs="Arial" w:eastAsia="Arial" w:hAnsi="Arial"/>
                <w:sz w:val="18"/>
                <w:szCs w:val="18"/>
                <w:color w:val="auto"/>
              </w:rPr>
              <w:t>Acquisitions of property and equipment</w:t>
            </w:r>
          </w:p>
        </w:tc>
        <w:tc>
          <w:tcPr>
            <w:tcW w:w="320" w:type="dxa"/>
            <w:vAlign w:val="bottom"/>
            <w:shd w:val="clear" w:color="auto" w:fill="EEEEEE"/>
          </w:tcPr>
          <w:p>
            <w:pPr>
              <w:spacing w:after="0"/>
              <w:rPr>
                <w:sz w:val="18"/>
                <w:szCs w:val="18"/>
                <w:color w:val="auto"/>
              </w:rPr>
            </w:pPr>
          </w:p>
        </w:tc>
        <w:tc>
          <w:tcPr>
            <w:tcW w:w="1420" w:type="dxa"/>
            <w:vAlign w:val="bottom"/>
            <w:gridSpan w:val="2"/>
            <w:shd w:val="clear" w:color="auto" w:fill="EEEEEE"/>
          </w:tcPr>
          <w:p>
            <w:pPr>
              <w:jc w:val="right"/>
              <w:ind w:right="160"/>
              <w:spacing w:after="0"/>
              <w:rPr>
                <w:sz w:val="20"/>
                <w:szCs w:val="20"/>
                <w:color w:val="auto"/>
              </w:rPr>
            </w:pPr>
            <w:r>
              <w:rPr>
                <w:rFonts w:ascii="Arial" w:cs="Arial" w:eastAsia="Arial" w:hAnsi="Arial"/>
                <w:sz w:val="18"/>
                <w:szCs w:val="18"/>
                <w:color w:val="auto"/>
              </w:rPr>
              <w:t>(5,493)</w:t>
            </w:r>
          </w:p>
        </w:tc>
        <w:tc>
          <w:tcPr>
            <w:tcW w:w="300" w:type="dxa"/>
            <w:vAlign w:val="bottom"/>
            <w:shd w:val="clear" w:color="auto" w:fill="EEEEEE"/>
          </w:tcPr>
          <w:p>
            <w:pPr>
              <w:spacing w:after="0"/>
              <w:rPr>
                <w:sz w:val="18"/>
                <w:szCs w:val="18"/>
                <w:color w:val="auto"/>
              </w:rPr>
            </w:pPr>
          </w:p>
        </w:tc>
        <w:tc>
          <w:tcPr>
            <w:tcW w:w="1340" w:type="dxa"/>
            <w:vAlign w:val="bottom"/>
            <w:gridSpan w:val="2"/>
            <w:shd w:val="clear" w:color="auto" w:fill="EEEEEE"/>
          </w:tcPr>
          <w:p>
            <w:pPr>
              <w:jc w:val="right"/>
              <w:ind w:right="80"/>
              <w:spacing w:after="0"/>
              <w:rPr>
                <w:sz w:val="20"/>
                <w:szCs w:val="20"/>
                <w:color w:val="auto"/>
              </w:rPr>
            </w:pPr>
            <w:r>
              <w:rPr>
                <w:rFonts w:ascii="Arial" w:cs="Arial" w:eastAsia="Arial" w:hAnsi="Arial"/>
                <w:sz w:val="18"/>
                <w:szCs w:val="18"/>
                <w:color w:val="auto"/>
              </w:rPr>
              <w:t>(774)</w:t>
            </w:r>
          </w:p>
        </w:tc>
        <w:tc>
          <w:tcPr>
            <w:tcW w:w="80" w:type="dxa"/>
            <w:vAlign w:val="bottom"/>
            <w:shd w:val="clear" w:color="auto" w:fill="EEEEEE"/>
          </w:tcPr>
          <w:p>
            <w:pPr>
              <w:spacing w:after="0"/>
              <w:rPr>
                <w:sz w:val="18"/>
                <w:szCs w:val="18"/>
                <w:color w:val="auto"/>
              </w:rPr>
            </w:pPr>
          </w:p>
        </w:tc>
        <w:tc>
          <w:tcPr>
            <w:tcW w:w="140" w:type="dxa"/>
            <w:vAlign w:val="bottom"/>
            <w:shd w:val="clear" w:color="auto" w:fill="EEEEEE"/>
          </w:tcPr>
          <w:p>
            <w:pPr>
              <w:spacing w:after="0"/>
              <w:rPr>
                <w:sz w:val="18"/>
                <w:szCs w:val="18"/>
                <w:color w:val="auto"/>
              </w:rPr>
            </w:pPr>
          </w:p>
        </w:tc>
        <w:tc>
          <w:tcPr>
            <w:tcW w:w="1500" w:type="dxa"/>
            <w:vAlign w:val="bottom"/>
            <w:gridSpan w:val="2"/>
            <w:shd w:val="clear" w:color="auto" w:fill="EEEEEE"/>
          </w:tcPr>
          <w:p>
            <w:pPr>
              <w:jc w:val="right"/>
              <w:ind w:right="60"/>
              <w:spacing w:after="0"/>
              <w:rPr>
                <w:sz w:val="20"/>
                <w:szCs w:val="20"/>
                <w:color w:val="auto"/>
              </w:rPr>
            </w:pPr>
            <w:r>
              <w:rPr>
                <w:rFonts w:ascii="Arial" w:cs="Arial" w:eastAsia="Arial" w:hAnsi="Arial"/>
                <w:sz w:val="18"/>
                <w:szCs w:val="18"/>
                <w:color w:val="auto"/>
              </w:rPr>
              <w:t>(6,267)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300" w:type="dxa"/>
            <w:vAlign w:val="bottom"/>
          </w:tcPr>
          <w:p>
            <w:pPr>
              <w:ind w:left="160"/>
              <w:spacing w:after="0"/>
              <w:rPr>
                <w:sz w:val="20"/>
                <w:szCs w:val="20"/>
                <w:color w:val="auto"/>
              </w:rPr>
            </w:pPr>
            <w:r>
              <w:rPr>
                <w:rFonts w:ascii="Arial" w:cs="Arial" w:eastAsia="Arial" w:hAnsi="Arial"/>
                <w:sz w:val="18"/>
                <w:szCs w:val="18"/>
                <w:color w:val="auto"/>
              </w:rPr>
              <w:t>Website site development costs</w:t>
            </w:r>
          </w:p>
        </w:tc>
        <w:tc>
          <w:tcPr>
            <w:tcW w:w="320" w:type="dxa"/>
            <w:vAlign w:val="bottom"/>
          </w:tcPr>
          <w:p>
            <w:pPr>
              <w:spacing w:after="0"/>
              <w:rPr>
                <w:sz w:val="18"/>
                <w:szCs w:val="18"/>
                <w:color w:val="auto"/>
              </w:rPr>
            </w:pPr>
          </w:p>
        </w:tc>
        <w:tc>
          <w:tcPr>
            <w:tcW w:w="1420" w:type="dxa"/>
            <w:vAlign w:val="bottom"/>
            <w:gridSpan w:val="2"/>
          </w:tcPr>
          <w:p>
            <w:pPr>
              <w:jc w:val="right"/>
              <w:ind w:right="160"/>
              <w:spacing w:after="0"/>
              <w:rPr>
                <w:sz w:val="20"/>
                <w:szCs w:val="20"/>
                <w:color w:val="auto"/>
              </w:rPr>
            </w:pPr>
            <w:r>
              <w:rPr>
                <w:rFonts w:ascii="Arial" w:cs="Arial" w:eastAsia="Arial" w:hAnsi="Arial"/>
                <w:sz w:val="18"/>
                <w:szCs w:val="18"/>
                <w:color w:val="auto"/>
              </w:rPr>
              <w:t>(120,088)</w:t>
            </w:r>
          </w:p>
        </w:tc>
        <w:tc>
          <w:tcPr>
            <w:tcW w:w="300" w:type="dxa"/>
            <w:vAlign w:val="bottom"/>
          </w:tcPr>
          <w:p>
            <w:pPr>
              <w:spacing w:after="0"/>
              <w:rPr>
                <w:sz w:val="18"/>
                <w:szCs w:val="18"/>
                <w:color w:val="auto"/>
              </w:rPr>
            </w:pPr>
          </w:p>
        </w:tc>
        <w:tc>
          <w:tcPr>
            <w:tcW w:w="1340" w:type="dxa"/>
            <w:vAlign w:val="bottom"/>
            <w:gridSpan w:val="2"/>
          </w:tcPr>
          <w:p>
            <w:pPr>
              <w:jc w:val="right"/>
              <w:ind w:right="80"/>
              <w:spacing w:after="0"/>
              <w:rPr>
                <w:sz w:val="20"/>
                <w:szCs w:val="20"/>
                <w:color w:val="auto"/>
              </w:rPr>
            </w:pPr>
            <w:r>
              <w:rPr>
                <w:rFonts w:ascii="Arial" w:cs="Arial" w:eastAsia="Arial" w:hAnsi="Arial"/>
                <w:sz w:val="18"/>
                <w:szCs w:val="18"/>
                <w:color w:val="auto"/>
              </w:rPr>
              <w:t>(34,044)</w:t>
            </w: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500" w:type="dxa"/>
            <w:vAlign w:val="bottom"/>
            <w:gridSpan w:val="2"/>
          </w:tcPr>
          <w:p>
            <w:pPr>
              <w:jc w:val="right"/>
              <w:ind w:right="60"/>
              <w:spacing w:after="0"/>
              <w:rPr>
                <w:sz w:val="20"/>
                <w:szCs w:val="20"/>
                <w:color w:val="auto"/>
              </w:rPr>
            </w:pPr>
            <w:r>
              <w:rPr>
                <w:rFonts w:ascii="Arial" w:cs="Arial" w:eastAsia="Arial" w:hAnsi="Arial"/>
                <w:sz w:val="18"/>
                <w:szCs w:val="18"/>
                <w:color w:val="auto"/>
              </w:rPr>
              <w:t>(154,132)</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6300" w:type="dxa"/>
            <w:vAlign w:val="bottom"/>
          </w:tcPr>
          <w:p>
            <w:pPr>
              <w:spacing w:after="0"/>
              <w:rPr>
                <w:sz w:val="2"/>
                <w:szCs w:val="2"/>
                <w:color w:val="auto"/>
              </w:rPr>
            </w:pPr>
          </w:p>
        </w:tc>
        <w:tc>
          <w:tcPr>
            <w:tcW w:w="320" w:type="dxa"/>
            <w:vAlign w:val="bottom"/>
            <w:shd w:val="clear" w:color="auto" w:fill="000000"/>
          </w:tcPr>
          <w:p>
            <w:pPr>
              <w:spacing w:after="0"/>
              <w:rPr>
                <w:sz w:val="2"/>
                <w:szCs w:val="2"/>
                <w:color w:val="auto"/>
              </w:rPr>
            </w:pPr>
          </w:p>
        </w:tc>
        <w:tc>
          <w:tcPr>
            <w:tcW w:w="120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300" w:type="dxa"/>
            <w:vAlign w:val="bottom"/>
            <w:shd w:val="clear" w:color="auto" w:fill="000000"/>
          </w:tcPr>
          <w:p>
            <w:pPr>
              <w:spacing w:after="0"/>
              <w:rPr>
                <w:sz w:val="2"/>
                <w:szCs w:val="2"/>
                <w:color w:val="auto"/>
              </w:rPr>
            </w:pPr>
          </w:p>
        </w:tc>
        <w:tc>
          <w:tcPr>
            <w:tcW w:w="120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c>
          <w:tcPr>
            <w:tcW w:w="8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138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3"/>
        </w:trPr>
        <w:tc>
          <w:tcPr>
            <w:tcW w:w="20" w:type="dxa"/>
            <w:vAlign w:val="bottom"/>
            <w:vMerge w:val="continue"/>
          </w:tcPr>
          <w:p>
            <w:pPr>
              <w:spacing w:after="0"/>
              <w:rPr>
                <w:sz w:val="19"/>
                <w:szCs w:val="19"/>
                <w:color w:val="auto"/>
              </w:rPr>
            </w:pPr>
          </w:p>
        </w:tc>
        <w:tc>
          <w:tcPr>
            <w:tcW w:w="6300" w:type="dxa"/>
            <w:vAlign w:val="bottom"/>
            <w:shd w:val="clear" w:color="auto" w:fill="EEEEEE"/>
          </w:tcPr>
          <w:p>
            <w:pPr>
              <w:spacing w:after="0"/>
              <w:rPr>
                <w:sz w:val="20"/>
                <w:szCs w:val="20"/>
                <w:color w:val="auto"/>
              </w:rPr>
            </w:pPr>
            <w:r>
              <w:rPr>
                <w:rFonts w:ascii="Arial" w:cs="Arial" w:eastAsia="Arial" w:hAnsi="Arial"/>
                <w:sz w:val="18"/>
                <w:szCs w:val="18"/>
                <w:b w:val="1"/>
                <w:bCs w:val="1"/>
                <w:color w:val="auto"/>
              </w:rPr>
              <w:t>Net Cash Used in Investing Activities</w:t>
            </w:r>
          </w:p>
        </w:tc>
        <w:tc>
          <w:tcPr>
            <w:tcW w:w="320" w:type="dxa"/>
            <w:vAlign w:val="bottom"/>
            <w:shd w:val="clear" w:color="auto" w:fill="EEEEEE"/>
          </w:tcPr>
          <w:p>
            <w:pPr>
              <w:spacing w:after="0"/>
              <w:rPr>
                <w:sz w:val="19"/>
                <w:szCs w:val="19"/>
                <w:color w:val="auto"/>
              </w:rPr>
            </w:pPr>
          </w:p>
        </w:tc>
        <w:tc>
          <w:tcPr>
            <w:tcW w:w="1420" w:type="dxa"/>
            <w:vAlign w:val="bottom"/>
            <w:gridSpan w:val="2"/>
            <w:shd w:val="clear" w:color="auto" w:fill="EEEEEE"/>
          </w:tcPr>
          <w:p>
            <w:pPr>
              <w:jc w:val="right"/>
              <w:ind w:right="160"/>
              <w:spacing w:after="0"/>
              <w:rPr>
                <w:sz w:val="20"/>
                <w:szCs w:val="20"/>
                <w:color w:val="auto"/>
              </w:rPr>
            </w:pPr>
            <w:r>
              <w:rPr>
                <w:rFonts w:ascii="Arial" w:cs="Arial" w:eastAsia="Arial" w:hAnsi="Arial"/>
                <w:sz w:val="18"/>
                <w:szCs w:val="18"/>
                <w:color w:val="auto"/>
              </w:rPr>
              <w:t>(125,581)</w:t>
            </w:r>
          </w:p>
        </w:tc>
        <w:tc>
          <w:tcPr>
            <w:tcW w:w="300" w:type="dxa"/>
            <w:vAlign w:val="bottom"/>
            <w:shd w:val="clear" w:color="auto" w:fill="EEEEEE"/>
          </w:tcPr>
          <w:p>
            <w:pPr>
              <w:spacing w:after="0"/>
              <w:rPr>
                <w:sz w:val="19"/>
                <w:szCs w:val="19"/>
                <w:color w:val="auto"/>
              </w:rPr>
            </w:pPr>
          </w:p>
        </w:tc>
        <w:tc>
          <w:tcPr>
            <w:tcW w:w="1340" w:type="dxa"/>
            <w:vAlign w:val="bottom"/>
            <w:gridSpan w:val="2"/>
            <w:shd w:val="clear" w:color="auto" w:fill="EEEEEE"/>
          </w:tcPr>
          <w:p>
            <w:pPr>
              <w:jc w:val="right"/>
              <w:ind w:right="80"/>
              <w:spacing w:after="0"/>
              <w:rPr>
                <w:sz w:val="20"/>
                <w:szCs w:val="20"/>
                <w:color w:val="auto"/>
              </w:rPr>
            </w:pPr>
            <w:r>
              <w:rPr>
                <w:rFonts w:ascii="Arial" w:cs="Arial" w:eastAsia="Arial" w:hAnsi="Arial"/>
                <w:sz w:val="18"/>
                <w:szCs w:val="18"/>
                <w:color w:val="auto"/>
              </w:rPr>
              <w:t>(34,818)</w:t>
            </w:r>
          </w:p>
        </w:tc>
        <w:tc>
          <w:tcPr>
            <w:tcW w:w="80" w:type="dxa"/>
            <w:vAlign w:val="bottom"/>
            <w:shd w:val="clear" w:color="auto" w:fill="EEEEEE"/>
          </w:tcPr>
          <w:p>
            <w:pPr>
              <w:spacing w:after="0"/>
              <w:rPr>
                <w:sz w:val="19"/>
                <w:szCs w:val="19"/>
                <w:color w:val="auto"/>
              </w:rPr>
            </w:pPr>
          </w:p>
        </w:tc>
        <w:tc>
          <w:tcPr>
            <w:tcW w:w="140" w:type="dxa"/>
            <w:vAlign w:val="bottom"/>
            <w:shd w:val="clear" w:color="auto" w:fill="EEEEEE"/>
          </w:tcPr>
          <w:p>
            <w:pPr>
              <w:spacing w:after="0"/>
              <w:rPr>
                <w:sz w:val="19"/>
                <w:szCs w:val="19"/>
                <w:color w:val="auto"/>
              </w:rPr>
            </w:pPr>
          </w:p>
        </w:tc>
        <w:tc>
          <w:tcPr>
            <w:tcW w:w="1500" w:type="dxa"/>
            <w:vAlign w:val="bottom"/>
            <w:gridSpan w:val="2"/>
            <w:shd w:val="clear" w:color="auto" w:fill="EEEEEE"/>
          </w:tcPr>
          <w:p>
            <w:pPr>
              <w:jc w:val="right"/>
              <w:ind w:right="60"/>
              <w:spacing w:after="0"/>
              <w:rPr>
                <w:sz w:val="20"/>
                <w:szCs w:val="20"/>
                <w:color w:val="auto"/>
              </w:rPr>
            </w:pPr>
            <w:r>
              <w:rPr>
                <w:rFonts w:ascii="Arial" w:cs="Arial" w:eastAsia="Arial" w:hAnsi="Arial"/>
                <w:sz w:val="18"/>
                <w:szCs w:val="18"/>
                <w:color w:val="auto"/>
              </w:rPr>
              <w:t>(160,399)</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6300" w:type="dxa"/>
            <w:vAlign w:val="bottom"/>
            <w:tcBorders>
              <w:top w:val="single" w:sz="8" w:color="EEEEEE"/>
            </w:tcBorders>
          </w:tcPr>
          <w:p>
            <w:pPr>
              <w:spacing w:after="0"/>
              <w:rPr>
                <w:sz w:val="18"/>
                <w:szCs w:val="18"/>
                <w:color w:val="auto"/>
              </w:rPr>
            </w:pPr>
          </w:p>
        </w:tc>
        <w:tc>
          <w:tcPr>
            <w:tcW w:w="320" w:type="dxa"/>
            <w:vAlign w:val="bottom"/>
            <w:tcBorders>
              <w:top w:val="single" w:sz="8" w:color="auto"/>
            </w:tcBorders>
          </w:tcPr>
          <w:p>
            <w:pPr>
              <w:spacing w:after="0"/>
              <w:rPr>
                <w:sz w:val="18"/>
                <w:szCs w:val="18"/>
                <w:color w:val="auto"/>
              </w:rPr>
            </w:pPr>
          </w:p>
        </w:tc>
        <w:tc>
          <w:tcPr>
            <w:tcW w:w="1200" w:type="dxa"/>
            <w:vAlign w:val="bottom"/>
            <w:tcBorders>
              <w:top w:val="single" w:sz="8" w:color="auto"/>
            </w:tcBorders>
          </w:tcPr>
          <w:p>
            <w:pPr>
              <w:spacing w:after="0"/>
              <w:rPr>
                <w:sz w:val="18"/>
                <w:szCs w:val="18"/>
                <w:color w:val="auto"/>
              </w:rPr>
            </w:pPr>
          </w:p>
        </w:tc>
        <w:tc>
          <w:tcPr>
            <w:tcW w:w="220" w:type="dxa"/>
            <w:vAlign w:val="bottom"/>
            <w:tcBorders>
              <w:top w:val="single" w:sz="8" w:color="EEEEEE"/>
            </w:tcBorders>
          </w:tcPr>
          <w:p>
            <w:pPr>
              <w:spacing w:after="0"/>
              <w:rPr>
                <w:sz w:val="18"/>
                <w:szCs w:val="18"/>
                <w:color w:val="auto"/>
              </w:rPr>
            </w:pPr>
          </w:p>
        </w:tc>
        <w:tc>
          <w:tcPr>
            <w:tcW w:w="300" w:type="dxa"/>
            <w:vAlign w:val="bottom"/>
            <w:tcBorders>
              <w:top w:val="single" w:sz="8" w:color="auto"/>
            </w:tcBorders>
          </w:tcPr>
          <w:p>
            <w:pPr>
              <w:spacing w:after="0"/>
              <w:rPr>
                <w:sz w:val="18"/>
                <w:szCs w:val="18"/>
                <w:color w:val="auto"/>
              </w:rPr>
            </w:pPr>
          </w:p>
        </w:tc>
        <w:tc>
          <w:tcPr>
            <w:tcW w:w="1200" w:type="dxa"/>
            <w:vAlign w:val="bottom"/>
            <w:tcBorders>
              <w:top w:val="single" w:sz="8" w:color="auto"/>
            </w:tcBorders>
          </w:tcPr>
          <w:p>
            <w:pPr>
              <w:spacing w:after="0"/>
              <w:rPr>
                <w:sz w:val="18"/>
                <w:szCs w:val="18"/>
                <w:color w:val="auto"/>
              </w:rPr>
            </w:pPr>
          </w:p>
        </w:tc>
        <w:tc>
          <w:tcPr>
            <w:tcW w:w="140" w:type="dxa"/>
            <w:vAlign w:val="bottom"/>
            <w:tcBorders>
              <w:top w:val="single" w:sz="8" w:color="EEEEEE"/>
            </w:tcBorders>
          </w:tcPr>
          <w:p>
            <w:pPr>
              <w:spacing w:after="0"/>
              <w:rPr>
                <w:sz w:val="18"/>
                <w:szCs w:val="18"/>
                <w:color w:val="auto"/>
              </w:rPr>
            </w:pPr>
          </w:p>
        </w:tc>
        <w:tc>
          <w:tcPr>
            <w:tcW w:w="80" w:type="dxa"/>
            <w:vAlign w:val="bottom"/>
            <w:tcBorders>
              <w:top w:val="single" w:sz="8" w:color="EEEEEE"/>
            </w:tcBorders>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1380" w:type="dxa"/>
            <w:vAlign w:val="bottom"/>
            <w:tcBorders>
              <w:top w:val="single" w:sz="8" w:color="auto"/>
            </w:tcBorders>
          </w:tcPr>
          <w:p>
            <w:pPr>
              <w:spacing w:after="0"/>
              <w:rPr>
                <w:sz w:val="18"/>
                <w:szCs w:val="18"/>
                <w:color w:val="auto"/>
              </w:rPr>
            </w:pPr>
          </w:p>
        </w:tc>
        <w:tc>
          <w:tcPr>
            <w:tcW w:w="120" w:type="dxa"/>
            <w:vAlign w:val="bottom"/>
            <w:tcBorders>
              <w:top w:val="single" w:sz="8" w:color="EEEEEE"/>
            </w:tcBorders>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300" w:type="dxa"/>
            <w:vAlign w:val="bottom"/>
            <w:shd w:val="clear" w:color="auto" w:fill="EEEEEE"/>
          </w:tcPr>
          <w:p>
            <w:pPr>
              <w:spacing w:after="0"/>
              <w:rPr>
                <w:sz w:val="20"/>
                <w:szCs w:val="20"/>
                <w:color w:val="auto"/>
              </w:rPr>
            </w:pPr>
            <w:r>
              <w:rPr>
                <w:rFonts w:ascii="Arial" w:cs="Arial" w:eastAsia="Arial" w:hAnsi="Arial"/>
                <w:sz w:val="18"/>
                <w:szCs w:val="18"/>
                <w:b w:val="1"/>
                <w:bCs w:val="1"/>
                <w:color w:val="auto"/>
              </w:rPr>
              <w:t>Cash Flows from Financing Activities:</w:t>
            </w:r>
          </w:p>
        </w:tc>
        <w:tc>
          <w:tcPr>
            <w:tcW w:w="320" w:type="dxa"/>
            <w:vAlign w:val="bottom"/>
            <w:shd w:val="clear" w:color="auto" w:fill="EEEEEE"/>
          </w:tcPr>
          <w:p>
            <w:pPr>
              <w:spacing w:after="0"/>
              <w:rPr>
                <w:sz w:val="18"/>
                <w:szCs w:val="18"/>
                <w:color w:val="auto"/>
              </w:rPr>
            </w:pPr>
          </w:p>
        </w:tc>
        <w:tc>
          <w:tcPr>
            <w:tcW w:w="1200" w:type="dxa"/>
            <w:vAlign w:val="bottom"/>
            <w:shd w:val="clear" w:color="auto" w:fill="EEEEEE"/>
          </w:tcPr>
          <w:p>
            <w:pPr>
              <w:spacing w:after="0"/>
              <w:rPr>
                <w:sz w:val="18"/>
                <w:szCs w:val="18"/>
                <w:color w:val="auto"/>
              </w:rPr>
            </w:pPr>
          </w:p>
        </w:tc>
        <w:tc>
          <w:tcPr>
            <w:tcW w:w="220" w:type="dxa"/>
            <w:vAlign w:val="bottom"/>
            <w:shd w:val="clear" w:color="auto" w:fill="EEEEEE"/>
          </w:tcPr>
          <w:p>
            <w:pPr>
              <w:spacing w:after="0"/>
              <w:rPr>
                <w:sz w:val="18"/>
                <w:szCs w:val="18"/>
                <w:color w:val="auto"/>
              </w:rPr>
            </w:pPr>
          </w:p>
        </w:tc>
        <w:tc>
          <w:tcPr>
            <w:tcW w:w="300" w:type="dxa"/>
            <w:vAlign w:val="bottom"/>
            <w:shd w:val="clear" w:color="auto" w:fill="EEEEEE"/>
          </w:tcPr>
          <w:p>
            <w:pPr>
              <w:spacing w:after="0"/>
              <w:rPr>
                <w:sz w:val="18"/>
                <w:szCs w:val="18"/>
                <w:color w:val="auto"/>
              </w:rPr>
            </w:pPr>
          </w:p>
        </w:tc>
        <w:tc>
          <w:tcPr>
            <w:tcW w:w="1200" w:type="dxa"/>
            <w:vAlign w:val="bottom"/>
            <w:shd w:val="clear" w:color="auto" w:fill="EEEEEE"/>
          </w:tcPr>
          <w:p>
            <w:pPr>
              <w:spacing w:after="0"/>
              <w:rPr>
                <w:sz w:val="18"/>
                <w:szCs w:val="18"/>
                <w:color w:val="auto"/>
              </w:rPr>
            </w:pPr>
          </w:p>
        </w:tc>
        <w:tc>
          <w:tcPr>
            <w:tcW w:w="140" w:type="dxa"/>
            <w:vAlign w:val="bottom"/>
            <w:shd w:val="clear" w:color="auto" w:fill="EEEEEE"/>
          </w:tcPr>
          <w:p>
            <w:pPr>
              <w:spacing w:after="0"/>
              <w:rPr>
                <w:sz w:val="18"/>
                <w:szCs w:val="18"/>
                <w:color w:val="auto"/>
              </w:rPr>
            </w:pPr>
          </w:p>
        </w:tc>
        <w:tc>
          <w:tcPr>
            <w:tcW w:w="80" w:type="dxa"/>
            <w:vAlign w:val="bottom"/>
            <w:shd w:val="clear" w:color="auto" w:fill="EEEEEE"/>
          </w:tcPr>
          <w:p>
            <w:pPr>
              <w:spacing w:after="0"/>
              <w:rPr>
                <w:sz w:val="18"/>
                <w:szCs w:val="18"/>
                <w:color w:val="auto"/>
              </w:rPr>
            </w:pPr>
          </w:p>
        </w:tc>
        <w:tc>
          <w:tcPr>
            <w:tcW w:w="140" w:type="dxa"/>
            <w:vAlign w:val="bottom"/>
            <w:shd w:val="clear" w:color="auto" w:fill="EEEEEE"/>
          </w:tcPr>
          <w:p>
            <w:pPr>
              <w:spacing w:after="0"/>
              <w:rPr>
                <w:sz w:val="18"/>
                <w:szCs w:val="18"/>
                <w:color w:val="auto"/>
              </w:rPr>
            </w:pPr>
          </w:p>
        </w:tc>
        <w:tc>
          <w:tcPr>
            <w:tcW w:w="1380" w:type="dxa"/>
            <w:vAlign w:val="bottom"/>
            <w:shd w:val="clear" w:color="auto" w:fill="EEEEEE"/>
          </w:tcPr>
          <w:p>
            <w:pPr>
              <w:spacing w:after="0"/>
              <w:rPr>
                <w:sz w:val="18"/>
                <w:szCs w:val="18"/>
                <w:color w:val="auto"/>
              </w:rPr>
            </w:pPr>
          </w:p>
        </w:tc>
        <w:tc>
          <w:tcPr>
            <w:tcW w:w="120" w:type="dxa"/>
            <w:vAlign w:val="bottom"/>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300" w:type="dxa"/>
            <w:vAlign w:val="bottom"/>
          </w:tcPr>
          <w:p>
            <w:pPr>
              <w:ind w:left="160"/>
              <w:spacing w:after="0"/>
              <w:rPr>
                <w:sz w:val="20"/>
                <w:szCs w:val="20"/>
                <w:color w:val="auto"/>
              </w:rPr>
            </w:pPr>
            <w:r>
              <w:rPr>
                <w:rFonts w:ascii="Arial" w:cs="Arial" w:eastAsia="Arial" w:hAnsi="Arial"/>
                <w:sz w:val="18"/>
                <w:szCs w:val="18"/>
                <w:color w:val="auto"/>
              </w:rPr>
              <w:t>Proceeds from issuance of notes payable</w:t>
            </w:r>
          </w:p>
        </w:tc>
        <w:tc>
          <w:tcPr>
            <w:tcW w:w="32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70,000</w:t>
            </w:r>
          </w:p>
        </w:tc>
        <w:tc>
          <w:tcPr>
            <w:tcW w:w="2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4,000</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380" w:type="dxa"/>
            <w:vAlign w:val="bottom"/>
          </w:tcPr>
          <w:p>
            <w:pPr>
              <w:jc w:val="right"/>
              <w:spacing w:after="0"/>
              <w:rPr>
                <w:sz w:val="20"/>
                <w:szCs w:val="20"/>
                <w:color w:val="auto"/>
              </w:rPr>
            </w:pPr>
            <w:r>
              <w:rPr>
                <w:rFonts w:ascii="Arial" w:cs="Arial" w:eastAsia="Arial" w:hAnsi="Arial"/>
                <w:sz w:val="18"/>
                <w:szCs w:val="18"/>
                <w:color w:val="auto"/>
              </w:rPr>
              <w:t>74,000</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300" w:type="dxa"/>
            <w:vAlign w:val="bottom"/>
            <w:shd w:val="clear" w:color="auto" w:fill="EEEEEE"/>
          </w:tcPr>
          <w:p>
            <w:pPr>
              <w:ind w:left="160"/>
              <w:spacing w:after="0"/>
              <w:rPr>
                <w:sz w:val="20"/>
                <w:szCs w:val="20"/>
                <w:color w:val="auto"/>
              </w:rPr>
            </w:pPr>
            <w:r>
              <w:rPr>
                <w:rFonts w:ascii="Arial" w:cs="Arial" w:eastAsia="Arial" w:hAnsi="Arial"/>
                <w:sz w:val="18"/>
                <w:szCs w:val="18"/>
                <w:color w:val="auto"/>
              </w:rPr>
              <w:t>Member contributions</w:t>
            </w:r>
          </w:p>
        </w:tc>
        <w:tc>
          <w:tcPr>
            <w:tcW w:w="320" w:type="dxa"/>
            <w:vAlign w:val="bottom"/>
            <w:shd w:val="clear" w:color="auto" w:fill="EEEEEE"/>
          </w:tcPr>
          <w:p>
            <w:pPr>
              <w:spacing w:after="0"/>
              <w:rPr>
                <w:sz w:val="18"/>
                <w:szCs w:val="18"/>
                <w:color w:val="auto"/>
              </w:rPr>
            </w:pPr>
          </w:p>
        </w:tc>
        <w:tc>
          <w:tcPr>
            <w:tcW w:w="1200" w:type="dxa"/>
            <w:vAlign w:val="bottom"/>
            <w:shd w:val="clear" w:color="auto" w:fill="EEEEEE"/>
          </w:tcPr>
          <w:p>
            <w:pPr>
              <w:jc w:val="right"/>
              <w:spacing w:after="0"/>
              <w:rPr>
                <w:sz w:val="20"/>
                <w:szCs w:val="20"/>
                <w:color w:val="auto"/>
              </w:rPr>
            </w:pPr>
            <w:r>
              <w:rPr>
                <w:rFonts w:ascii="Arial" w:cs="Arial" w:eastAsia="Arial" w:hAnsi="Arial"/>
                <w:sz w:val="18"/>
                <w:szCs w:val="18"/>
                <w:color w:val="auto"/>
              </w:rPr>
              <w:t>180,000</w:t>
            </w:r>
          </w:p>
        </w:tc>
        <w:tc>
          <w:tcPr>
            <w:tcW w:w="220" w:type="dxa"/>
            <w:vAlign w:val="bottom"/>
            <w:shd w:val="clear" w:color="auto" w:fill="EEEEEE"/>
          </w:tcPr>
          <w:p>
            <w:pPr>
              <w:spacing w:after="0"/>
              <w:rPr>
                <w:sz w:val="18"/>
                <w:szCs w:val="18"/>
                <w:color w:val="auto"/>
              </w:rPr>
            </w:pPr>
          </w:p>
        </w:tc>
        <w:tc>
          <w:tcPr>
            <w:tcW w:w="300" w:type="dxa"/>
            <w:vAlign w:val="bottom"/>
            <w:shd w:val="clear" w:color="auto" w:fill="EEEEEE"/>
          </w:tcPr>
          <w:p>
            <w:pPr>
              <w:spacing w:after="0"/>
              <w:rPr>
                <w:sz w:val="18"/>
                <w:szCs w:val="18"/>
                <w:color w:val="auto"/>
              </w:rPr>
            </w:pPr>
          </w:p>
        </w:tc>
        <w:tc>
          <w:tcPr>
            <w:tcW w:w="1200" w:type="dxa"/>
            <w:vAlign w:val="bottom"/>
            <w:shd w:val="clear" w:color="auto" w:fill="EEEEEE"/>
          </w:tcPr>
          <w:p>
            <w:pPr>
              <w:jc w:val="right"/>
              <w:spacing w:after="0"/>
              <w:rPr>
                <w:sz w:val="20"/>
                <w:szCs w:val="20"/>
                <w:color w:val="auto"/>
              </w:rPr>
            </w:pPr>
            <w:r>
              <w:rPr>
                <w:rFonts w:ascii="Arial" w:cs="Arial" w:eastAsia="Arial" w:hAnsi="Arial"/>
                <w:sz w:val="18"/>
                <w:szCs w:val="18"/>
                <w:color w:val="auto"/>
              </w:rPr>
              <w:t>224,600</w:t>
            </w:r>
          </w:p>
        </w:tc>
        <w:tc>
          <w:tcPr>
            <w:tcW w:w="140" w:type="dxa"/>
            <w:vAlign w:val="bottom"/>
            <w:shd w:val="clear" w:color="auto" w:fill="EEEEEE"/>
          </w:tcPr>
          <w:p>
            <w:pPr>
              <w:spacing w:after="0"/>
              <w:rPr>
                <w:sz w:val="18"/>
                <w:szCs w:val="18"/>
                <w:color w:val="auto"/>
              </w:rPr>
            </w:pPr>
          </w:p>
        </w:tc>
        <w:tc>
          <w:tcPr>
            <w:tcW w:w="80" w:type="dxa"/>
            <w:vAlign w:val="bottom"/>
            <w:shd w:val="clear" w:color="auto" w:fill="EEEEEE"/>
          </w:tcPr>
          <w:p>
            <w:pPr>
              <w:spacing w:after="0"/>
              <w:rPr>
                <w:sz w:val="18"/>
                <w:szCs w:val="18"/>
                <w:color w:val="auto"/>
              </w:rPr>
            </w:pPr>
          </w:p>
        </w:tc>
        <w:tc>
          <w:tcPr>
            <w:tcW w:w="140" w:type="dxa"/>
            <w:vAlign w:val="bottom"/>
            <w:shd w:val="clear" w:color="auto" w:fill="EEEEEE"/>
          </w:tcPr>
          <w:p>
            <w:pPr>
              <w:spacing w:after="0"/>
              <w:rPr>
                <w:sz w:val="18"/>
                <w:szCs w:val="18"/>
                <w:color w:val="auto"/>
              </w:rPr>
            </w:pPr>
          </w:p>
        </w:tc>
        <w:tc>
          <w:tcPr>
            <w:tcW w:w="1380" w:type="dxa"/>
            <w:vAlign w:val="bottom"/>
            <w:shd w:val="clear" w:color="auto" w:fill="EEEEEE"/>
          </w:tcPr>
          <w:p>
            <w:pPr>
              <w:jc w:val="right"/>
              <w:spacing w:after="0"/>
              <w:rPr>
                <w:sz w:val="20"/>
                <w:szCs w:val="20"/>
                <w:color w:val="auto"/>
              </w:rPr>
            </w:pPr>
            <w:r>
              <w:rPr>
                <w:rFonts w:ascii="Arial" w:cs="Arial" w:eastAsia="Arial" w:hAnsi="Arial"/>
                <w:sz w:val="18"/>
                <w:szCs w:val="18"/>
                <w:color w:val="auto"/>
              </w:rPr>
              <w:t>404,600</w:t>
            </w:r>
          </w:p>
        </w:tc>
        <w:tc>
          <w:tcPr>
            <w:tcW w:w="120" w:type="dxa"/>
            <w:vAlign w:val="bottom"/>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6300" w:type="dxa"/>
            <w:vAlign w:val="bottom"/>
          </w:tcPr>
          <w:p>
            <w:pPr>
              <w:ind w:left="160"/>
              <w:spacing w:after="0"/>
              <w:rPr>
                <w:sz w:val="20"/>
                <w:szCs w:val="20"/>
                <w:color w:val="auto"/>
              </w:rPr>
            </w:pPr>
            <w:r>
              <w:rPr>
                <w:rFonts w:ascii="Arial" w:cs="Arial" w:eastAsia="Arial" w:hAnsi="Arial"/>
                <w:sz w:val="18"/>
                <w:szCs w:val="18"/>
                <w:color w:val="auto"/>
              </w:rPr>
              <w:t>Sale of common stock</w:t>
            </w:r>
          </w:p>
        </w:tc>
        <w:tc>
          <w:tcPr>
            <w:tcW w:w="32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300,000</w:t>
            </w:r>
          </w:p>
        </w:tc>
        <w:tc>
          <w:tcPr>
            <w:tcW w:w="220" w:type="dxa"/>
            <w:vAlign w:val="bottom"/>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w:t>
            </w: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3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300,000</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6300" w:type="dxa"/>
            <w:vAlign w:val="bottom"/>
            <w:tcBorders>
              <w:bottom w:val="single" w:sz="8" w:color="EEEEEE"/>
            </w:tcBorders>
            <w:shd w:val="clear" w:color="auto" w:fill="EEEEEE"/>
          </w:tcPr>
          <w:p>
            <w:pPr>
              <w:spacing w:after="0"/>
              <w:rPr>
                <w:sz w:val="20"/>
                <w:szCs w:val="20"/>
                <w:color w:val="auto"/>
              </w:rPr>
            </w:pPr>
            <w:r>
              <w:rPr>
                <w:rFonts w:ascii="Arial" w:cs="Arial" w:eastAsia="Arial" w:hAnsi="Arial"/>
                <w:sz w:val="18"/>
                <w:szCs w:val="18"/>
                <w:b w:val="1"/>
                <w:bCs w:val="1"/>
                <w:color w:val="auto"/>
              </w:rPr>
              <w:t>Net Cash Provided by Financing Activities</w:t>
            </w:r>
          </w:p>
        </w:tc>
        <w:tc>
          <w:tcPr>
            <w:tcW w:w="320" w:type="dxa"/>
            <w:vAlign w:val="bottom"/>
            <w:tcBorders>
              <w:bottom w:val="single" w:sz="8" w:color="auto"/>
            </w:tcBorders>
            <w:shd w:val="clear" w:color="auto" w:fill="EEEEEE"/>
          </w:tcPr>
          <w:p>
            <w:pPr>
              <w:spacing w:after="0"/>
              <w:rPr>
                <w:sz w:val="19"/>
                <w:szCs w:val="19"/>
                <w:color w:val="auto"/>
              </w:rPr>
            </w:pPr>
          </w:p>
        </w:tc>
        <w:tc>
          <w:tcPr>
            <w:tcW w:w="1200" w:type="dxa"/>
            <w:vAlign w:val="bottom"/>
            <w:tcBorders>
              <w:bottom w:val="single" w:sz="8" w:color="auto"/>
            </w:tcBorders>
            <w:shd w:val="clear" w:color="auto" w:fill="EEEEEE"/>
          </w:tcPr>
          <w:p>
            <w:pPr>
              <w:jc w:val="right"/>
              <w:spacing w:after="0"/>
              <w:rPr>
                <w:sz w:val="20"/>
                <w:szCs w:val="20"/>
                <w:color w:val="auto"/>
              </w:rPr>
            </w:pPr>
            <w:r>
              <w:rPr>
                <w:rFonts w:ascii="Arial" w:cs="Arial" w:eastAsia="Arial" w:hAnsi="Arial"/>
                <w:sz w:val="18"/>
                <w:szCs w:val="18"/>
                <w:color w:val="auto"/>
              </w:rPr>
              <w:t>550,000</w:t>
            </w:r>
          </w:p>
        </w:tc>
        <w:tc>
          <w:tcPr>
            <w:tcW w:w="220" w:type="dxa"/>
            <w:vAlign w:val="bottom"/>
            <w:tcBorders>
              <w:bottom w:val="single" w:sz="8" w:color="EEEEEE"/>
            </w:tcBorders>
            <w:shd w:val="clear" w:color="auto" w:fill="EEEEEE"/>
          </w:tcPr>
          <w:p>
            <w:pPr>
              <w:spacing w:after="0"/>
              <w:rPr>
                <w:sz w:val="19"/>
                <w:szCs w:val="19"/>
                <w:color w:val="auto"/>
              </w:rPr>
            </w:pPr>
          </w:p>
        </w:tc>
        <w:tc>
          <w:tcPr>
            <w:tcW w:w="300" w:type="dxa"/>
            <w:vAlign w:val="bottom"/>
            <w:tcBorders>
              <w:bottom w:val="single" w:sz="8" w:color="auto"/>
            </w:tcBorders>
            <w:shd w:val="clear" w:color="auto" w:fill="EEEEEE"/>
          </w:tcPr>
          <w:p>
            <w:pPr>
              <w:spacing w:after="0"/>
              <w:rPr>
                <w:sz w:val="19"/>
                <w:szCs w:val="19"/>
                <w:color w:val="auto"/>
              </w:rPr>
            </w:pPr>
          </w:p>
        </w:tc>
        <w:tc>
          <w:tcPr>
            <w:tcW w:w="1200" w:type="dxa"/>
            <w:vAlign w:val="bottom"/>
            <w:tcBorders>
              <w:bottom w:val="single" w:sz="8" w:color="auto"/>
            </w:tcBorders>
            <w:shd w:val="clear" w:color="auto" w:fill="EEEEEE"/>
          </w:tcPr>
          <w:p>
            <w:pPr>
              <w:jc w:val="right"/>
              <w:spacing w:after="0"/>
              <w:rPr>
                <w:sz w:val="20"/>
                <w:szCs w:val="20"/>
                <w:color w:val="auto"/>
              </w:rPr>
            </w:pPr>
            <w:r>
              <w:rPr>
                <w:rFonts w:ascii="Arial" w:cs="Arial" w:eastAsia="Arial" w:hAnsi="Arial"/>
                <w:sz w:val="18"/>
                <w:szCs w:val="18"/>
                <w:color w:val="auto"/>
              </w:rPr>
              <w:t>228,600</w:t>
            </w:r>
          </w:p>
        </w:tc>
        <w:tc>
          <w:tcPr>
            <w:tcW w:w="140" w:type="dxa"/>
            <w:vAlign w:val="bottom"/>
            <w:tcBorders>
              <w:bottom w:val="single" w:sz="8" w:color="EEEEEE"/>
            </w:tcBorders>
            <w:shd w:val="clear" w:color="auto" w:fill="EEEEEE"/>
          </w:tcPr>
          <w:p>
            <w:pPr>
              <w:spacing w:after="0"/>
              <w:rPr>
                <w:sz w:val="19"/>
                <w:szCs w:val="19"/>
                <w:color w:val="auto"/>
              </w:rPr>
            </w:pPr>
          </w:p>
        </w:tc>
        <w:tc>
          <w:tcPr>
            <w:tcW w:w="80" w:type="dxa"/>
            <w:vAlign w:val="bottom"/>
            <w:tcBorders>
              <w:bottom w:val="single" w:sz="8" w:color="EEEEEE"/>
            </w:tcBorders>
            <w:shd w:val="clear" w:color="auto" w:fill="EEEEEE"/>
          </w:tcPr>
          <w:p>
            <w:pPr>
              <w:spacing w:after="0"/>
              <w:rPr>
                <w:sz w:val="19"/>
                <w:szCs w:val="19"/>
                <w:color w:val="auto"/>
              </w:rPr>
            </w:pPr>
          </w:p>
        </w:tc>
        <w:tc>
          <w:tcPr>
            <w:tcW w:w="140" w:type="dxa"/>
            <w:vAlign w:val="bottom"/>
            <w:tcBorders>
              <w:bottom w:val="single" w:sz="8" w:color="auto"/>
            </w:tcBorders>
            <w:shd w:val="clear" w:color="auto" w:fill="EEEEEE"/>
          </w:tcPr>
          <w:p>
            <w:pPr>
              <w:spacing w:after="0"/>
              <w:rPr>
                <w:sz w:val="19"/>
                <w:szCs w:val="19"/>
                <w:color w:val="auto"/>
              </w:rPr>
            </w:pPr>
          </w:p>
        </w:tc>
        <w:tc>
          <w:tcPr>
            <w:tcW w:w="1380" w:type="dxa"/>
            <w:vAlign w:val="bottom"/>
            <w:tcBorders>
              <w:bottom w:val="single" w:sz="8" w:color="auto"/>
            </w:tcBorders>
            <w:shd w:val="clear" w:color="auto" w:fill="EEEEEE"/>
          </w:tcPr>
          <w:p>
            <w:pPr>
              <w:jc w:val="right"/>
              <w:spacing w:after="0"/>
              <w:rPr>
                <w:sz w:val="20"/>
                <w:szCs w:val="20"/>
                <w:color w:val="auto"/>
              </w:rPr>
            </w:pPr>
            <w:r>
              <w:rPr>
                <w:rFonts w:ascii="Arial" w:cs="Arial" w:eastAsia="Arial" w:hAnsi="Arial"/>
                <w:sz w:val="18"/>
                <w:szCs w:val="18"/>
                <w:color w:val="auto"/>
              </w:rPr>
              <w:t>778,600</w:t>
            </w:r>
          </w:p>
        </w:tc>
        <w:tc>
          <w:tcPr>
            <w:tcW w:w="120" w:type="dxa"/>
            <w:vAlign w:val="bottom"/>
            <w:tcBorders>
              <w:bottom w:val="single" w:sz="8" w:color="EEEEEE"/>
            </w:tcBorders>
            <w:shd w:val="clear" w:color="auto" w:fill="EEEEEE"/>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63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3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300" w:type="dxa"/>
            <w:vAlign w:val="bottom"/>
            <w:shd w:val="clear" w:color="auto" w:fill="EEEEEE"/>
          </w:tcPr>
          <w:p>
            <w:pPr>
              <w:spacing w:after="0"/>
              <w:rPr>
                <w:sz w:val="20"/>
                <w:szCs w:val="20"/>
                <w:color w:val="auto"/>
              </w:rPr>
            </w:pPr>
            <w:r>
              <w:rPr>
                <w:rFonts w:ascii="Arial" w:cs="Arial" w:eastAsia="Arial" w:hAnsi="Arial"/>
                <w:sz w:val="18"/>
                <w:szCs w:val="18"/>
                <w:b w:val="1"/>
                <w:bCs w:val="1"/>
                <w:color w:val="auto"/>
              </w:rPr>
              <w:t>Net Increase in Cash and Cash Equivalents</w:t>
            </w:r>
          </w:p>
        </w:tc>
        <w:tc>
          <w:tcPr>
            <w:tcW w:w="320" w:type="dxa"/>
            <w:vAlign w:val="bottom"/>
            <w:shd w:val="clear" w:color="auto" w:fill="EEEEEE"/>
          </w:tcPr>
          <w:p>
            <w:pPr>
              <w:spacing w:after="0"/>
              <w:rPr>
                <w:sz w:val="18"/>
                <w:szCs w:val="18"/>
                <w:color w:val="auto"/>
              </w:rPr>
            </w:pPr>
          </w:p>
        </w:tc>
        <w:tc>
          <w:tcPr>
            <w:tcW w:w="1200" w:type="dxa"/>
            <w:vAlign w:val="bottom"/>
            <w:shd w:val="clear" w:color="auto" w:fill="EEEEEE"/>
          </w:tcPr>
          <w:p>
            <w:pPr>
              <w:jc w:val="right"/>
              <w:spacing w:after="0"/>
              <w:rPr>
                <w:sz w:val="20"/>
                <w:szCs w:val="20"/>
                <w:color w:val="auto"/>
              </w:rPr>
            </w:pPr>
            <w:r>
              <w:rPr>
                <w:rFonts w:ascii="Arial" w:cs="Arial" w:eastAsia="Arial" w:hAnsi="Arial"/>
                <w:sz w:val="18"/>
                <w:szCs w:val="18"/>
                <w:color w:val="auto"/>
              </w:rPr>
              <w:t>120,786</w:t>
            </w:r>
          </w:p>
        </w:tc>
        <w:tc>
          <w:tcPr>
            <w:tcW w:w="220" w:type="dxa"/>
            <w:vAlign w:val="bottom"/>
            <w:shd w:val="clear" w:color="auto" w:fill="EEEEEE"/>
          </w:tcPr>
          <w:p>
            <w:pPr>
              <w:spacing w:after="0"/>
              <w:rPr>
                <w:sz w:val="18"/>
                <w:szCs w:val="18"/>
                <w:color w:val="auto"/>
              </w:rPr>
            </w:pPr>
          </w:p>
        </w:tc>
        <w:tc>
          <w:tcPr>
            <w:tcW w:w="300" w:type="dxa"/>
            <w:vAlign w:val="bottom"/>
            <w:shd w:val="clear" w:color="auto" w:fill="EEEEEE"/>
          </w:tcPr>
          <w:p>
            <w:pPr>
              <w:spacing w:after="0"/>
              <w:rPr>
                <w:sz w:val="18"/>
                <w:szCs w:val="18"/>
                <w:color w:val="auto"/>
              </w:rPr>
            </w:pPr>
          </w:p>
        </w:tc>
        <w:tc>
          <w:tcPr>
            <w:tcW w:w="1200" w:type="dxa"/>
            <w:vAlign w:val="bottom"/>
            <w:shd w:val="clear" w:color="auto" w:fill="EEEEEE"/>
          </w:tcPr>
          <w:p>
            <w:pPr>
              <w:jc w:val="right"/>
              <w:spacing w:after="0"/>
              <w:rPr>
                <w:sz w:val="20"/>
                <w:szCs w:val="20"/>
                <w:color w:val="auto"/>
              </w:rPr>
            </w:pPr>
            <w:r>
              <w:rPr>
                <w:rFonts w:ascii="Arial" w:cs="Arial" w:eastAsia="Arial" w:hAnsi="Arial"/>
                <w:sz w:val="18"/>
                <w:szCs w:val="18"/>
                <w:color w:val="auto"/>
              </w:rPr>
              <w:t>14,643</w:t>
            </w:r>
          </w:p>
        </w:tc>
        <w:tc>
          <w:tcPr>
            <w:tcW w:w="140" w:type="dxa"/>
            <w:vAlign w:val="bottom"/>
            <w:shd w:val="clear" w:color="auto" w:fill="EEEEEE"/>
          </w:tcPr>
          <w:p>
            <w:pPr>
              <w:spacing w:after="0"/>
              <w:rPr>
                <w:sz w:val="18"/>
                <w:szCs w:val="18"/>
                <w:color w:val="auto"/>
              </w:rPr>
            </w:pPr>
          </w:p>
        </w:tc>
        <w:tc>
          <w:tcPr>
            <w:tcW w:w="80" w:type="dxa"/>
            <w:vAlign w:val="bottom"/>
            <w:shd w:val="clear" w:color="auto" w:fill="EEEEEE"/>
          </w:tcPr>
          <w:p>
            <w:pPr>
              <w:spacing w:after="0"/>
              <w:rPr>
                <w:sz w:val="18"/>
                <w:szCs w:val="18"/>
                <w:color w:val="auto"/>
              </w:rPr>
            </w:pPr>
          </w:p>
        </w:tc>
        <w:tc>
          <w:tcPr>
            <w:tcW w:w="140" w:type="dxa"/>
            <w:vAlign w:val="bottom"/>
            <w:shd w:val="clear" w:color="auto" w:fill="EEEEEE"/>
          </w:tcPr>
          <w:p>
            <w:pPr>
              <w:spacing w:after="0"/>
              <w:rPr>
                <w:sz w:val="18"/>
                <w:szCs w:val="18"/>
                <w:color w:val="auto"/>
              </w:rPr>
            </w:pPr>
          </w:p>
        </w:tc>
        <w:tc>
          <w:tcPr>
            <w:tcW w:w="1380" w:type="dxa"/>
            <w:vAlign w:val="bottom"/>
            <w:shd w:val="clear" w:color="auto" w:fill="EEEEEE"/>
          </w:tcPr>
          <w:p>
            <w:pPr>
              <w:jc w:val="right"/>
              <w:spacing w:after="0"/>
              <w:rPr>
                <w:sz w:val="20"/>
                <w:szCs w:val="20"/>
                <w:color w:val="auto"/>
              </w:rPr>
            </w:pPr>
            <w:r>
              <w:rPr>
                <w:rFonts w:ascii="Arial" w:cs="Arial" w:eastAsia="Arial" w:hAnsi="Arial"/>
                <w:sz w:val="18"/>
                <w:szCs w:val="18"/>
                <w:color w:val="auto"/>
              </w:rPr>
              <w:t>135,429</w:t>
            </w:r>
          </w:p>
        </w:tc>
        <w:tc>
          <w:tcPr>
            <w:tcW w:w="120" w:type="dxa"/>
            <w:vAlign w:val="bottom"/>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63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3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vMerge w:val="continue"/>
          </w:tcPr>
          <w:p>
            <w:pPr>
              <w:spacing w:after="0"/>
              <w:rPr>
                <w:sz w:val="19"/>
                <w:szCs w:val="19"/>
                <w:color w:val="auto"/>
              </w:rPr>
            </w:pPr>
          </w:p>
        </w:tc>
        <w:tc>
          <w:tcPr>
            <w:tcW w:w="6300" w:type="dxa"/>
            <w:vAlign w:val="bottom"/>
            <w:tcBorders>
              <w:bottom w:val="single" w:sz="8" w:color="EEEEEE"/>
            </w:tcBorders>
            <w:shd w:val="clear" w:color="auto" w:fill="EEEEEE"/>
          </w:tcPr>
          <w:p>
            <w:pPr>
              <w:spacing w:after="0"/>
              <w:rPr>
                <w:sz w:val="20"/>
                <w:szCs w:val="20"/>
                <w:color w:val="auto"/>
              </w:rPr>
            </w:pPr>
            <w:r>
              <w:rPr>
                <w:rFonts w:ascii="Arial" w:cs="Arial" w:eastAsia="Arial" w:hAnsi="Arial"/>
                <w:sz w:val="18"/>
                <w:szCs w:val="18"/>
                <w:b w:val="1"/>
                <w:bCs w:val="1"/>
                <w:color w:val="auto"/>
              </w:rPr>
              <w:t>Cash and Cash Equivalents – Beginning</w:t>
            </w:r>
          </w:p>
        </w:tc>
        <w:tc>
          <w:tcPr>
            <w:tcW w:w="320" w:type="dxa"/>
            <w:vAlign w:val="bottom"/>
            <w:tcBorders>
              <w:bottom w:val="single" w:sz="8" w:color="auto"/>
            </w:tcBorders>
            <w:shd w:val="clear" w:color="auto" w:fill="EEEEEE"/>
          </w:tcPr>
          <w:p>
            <w:pPr>
              <w:spacing w:after="0"/>
              <w:rPr>
                <w:sz w:val="19"/>
                <w:szCs w:val="19"/>
                <w:color w:val="auto"/>
              </w:rPr>
            </w:pPr>
          </w:p>
        </w:tc>
        <w:tc>
          <w:tcPr>
            <w:tcW w:w="1200" w:type="dxa"/>
            <w:vAlign w:val="bottom"/>
            <w:tcBorders>
              <w:bottom w:val="single" w:sz="8" w:color="auto"/>
            </w:tcBorders>
            <w:shd w:val="clear" w:color="auto" w:fill="EEEEEE"/>
          </w:tcPr>
          <w:p>
            <w:pPr>
              <w:jc w:val="right"/>
              <w:spacing w:after="0"/>
              <w:rPr>
                <w:sz w:val="20"/>
                <w:szCs w:val="20"/>
                <w:color w:val="auto"/>
              </w:rPr>
            </w:pPr>
            <w:r>
              <w:rPr>
                <w:rFonts w:ascii="Arial" w:cs="Arial" w:eastAsia="Arial" w:hAnsi="Arial"/>
                <w:sz w:val="18"/>
                <w:szCs w:val="18"/>
                <w:color w:val="auto"/>
              </w:rPr>
              <w:t>14,643</w:t>
            </w:r>
          </w:p>
        </w:tc>
        <w:tc>
          <w:tcPr>
            <w:tcW w:w="220" w:type="dxa"/>
            <w:vAlign w:val="bottom"/>
            <w:tcBorders>
              <w:bottom w:val="single" w:sz="8" w:color="EEEEEE"/>
            </w:tcBorders>
            <w:shd w:val="clear" w:color="auto" w:fill="EEEEEE"/>
          </w:tcPr>
          <w:p>
            <w:pPr>
              <w:spacing w:after="0"/>
              <w:rPr>
                <w:sz w:val="19"/>
                <w:szCs w:val="19"/>
                <w:color w:val="auto"/>
              </w:rPr>
            </w:pPr>
          </w:p>
        </w:tc>
        <w:tc>
          <w:tcPr>
            <w:tcW w:w="300" w:type="dxa"/>
            <w:vAlign w:val="bottom"/>
            <w:tcBorders>
              <w:bottom w:val="single" w:sz="8" w:color="auto"/>
            </w:tcBorders>
            <w:shd w:val="clear" w:color="auto" w:fill="EEEEEE"/>
          </w:tcPr>
          <w:p>
            <w:pPr>
              <w:spacing w:after="0"/>
              <w:rPr>
                <w:sz w:val="19"/>
                <w:szCs w:val="19"/>
                <w:color w:val="auto"/>
              </w:rPr>
            </w:pPr>
          </w:p>
        </w:tc>
        <w:tc>
          <w:tcPr>
            <w:tcW w:w="1200" w:type="dxa"/>
            <w:vAlign w:val="bottom"/>
            <w:tcBorders>
              <w:bottom w:val="single" w:sz="8" w:color="auto"/>
            </w:tcBorders>
            <w:shd w:val="clear" w:color="auto" w:fill="EEEEEE"/>
          </w:tcPr>
          <w:p>
            <w:pPr>
              <w:jc w:val="right"/>
              <w:spacing w:after="0"/>
              <w:rPr>
                <w:sz w:val="20"/>
                <w:szCs w:val="20"/>
                <w:color w:val="auto"/>
              </w:rPr>
            </w:pPr>
            <w:r>
              <w:rPr>
                <w:rFonts w:ascii="Arial" w:cs="Arial" w:eastAsia="Arial" w:hAnsi="Arial"/>
                <w:sz w:val="18"/>
                <w:szCs w:val="18"/>
                <w:color w:val="auto"/>
              </w:rPr>
              <w:t>-0-</w:t>
            </w:r>
          </w:p>
        </w:tc>
        <w:tc>
          <w:tcPr>
            <w:tcW w:w="140" w:type="dxa"/>
            <w:vAlign w:val="bottom"/>
            <w:tcBorders>
              <w:bottom w:val="single" w:sz="8" w:color="EEEEEE"/>
            </w:tcBorders>
            <w:shd w:val="clear" w:color="auto" w:fill="EEEEEE"/>
          </w:tcPr>
          <w:p>
            <w:pPr>
              <w:spacing w:after="0"/>
              <w:rPr>
                <w:sz w:val="19"/>
                <w:szCs w:val="19"/>
                <w:color w:val="auto"/>
              </w:rPr>
            </w:pPr>
          </w:p>
        </w:tc>
        <w:tc>
          <w:tcPr>
            <w:tcW w:w="80" w:type="dxa"/>
            <w:vAlign w:val="bottom"/>
            <w:tcBorders>
              <w:bottom w:val="single" w:sz="8" w:color="EEEEEE"/>
            </w:tcBorders>
            <w:shd w:val="clear" w:color="auto" w:fill="EEEEEE"/>
          </w:tcPr>
          <w:p>
            <w:pPr>
              <w:spacing w:after="0"/>
              <w:rPr>
                <w:sz w:val="19"/>
                <w:szCs w:val="19"/>
                <w:color w:val="auto"/>
              </w:rPr>
            </w:pPr>
          </w:p>
        </w:tc>
        <w:tc>
          <w:tcPr>
            <w:tcW w:w="140" w:type="dxa"/>
            <w:vAlign w:val="bottom"/>
            <w:tcBorders>
              <w:bottom w:val="single" w:sz="8" w:color="auto"/>
            </w:tcBorders>
            <w:shd w:val="clear" w:color="auto" w:fill="EEEEEE"/>
          </w:tcPr>
          <w:p>
            <w:pPr>
              <w:spacing w:after="0"/>
              <w:rPr>
                <w:sz w:val="19"/>
                <w:szCs w:val="19"/>
                <w:color w:val="auto"/>
              </w:rPr>
            </w:pPr>
          </w:p>
        </w:tc>
        <w:tc>
          <w:tcPr>
            <w:tcW w:w="1380" w:type="dxa"/>
            <w:vAlign w:val="bottom"/>
            <w:tcBorders>
              <w:bottom w:val="single" w:sz="8" w:color="auto"/>
            </w:tcBorders>
            <w:shd w:val="clear" w:color="auto" w:fill="EEEEEE"/>
          </w:tcPr>
          <w:p>
            <w:pPr>
              <w:jc w:val="right"/>
              <w:spacing w:after="0"/>
              <w:rPr>
                <w:sz w:val="20"/>
                <w:szCs w:val="20"/>
                <w:color w:val="auto"/>
              </w:rPr>
            </w:pPr>
            <w:r>
              <w:rPr>
                <w:rFonts w:ascii="Arial" w:cs="Arial" w:eastAsia="Arial" w:hAnsi="Arial"/>
                <w:sz w:val="18"/>
                <w:szCs w:val="18"/>
                <w:color w:val="auto"/>
              </w:rPr>
              <w:t>-0-</w:t>
            </w:r>
          </w:p>
        </w:tc>
        <w:tc>
          <w:tcPr>
            <w:tcW w:w="120" w:type="dxa"/>
            <w:vAlign w:val="bottom"/>
            <w:tcBorders>
              <w:bottom w:val="single" w:sz="8" w:color="EEEEEE"/>
            </w:tcBorders>
            <w:shd w:val="clear" w:color="auto" w:fill="EEEEEE"/>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63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3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57"/>
        </w:trPr>
        <w:tc>
          <w:tcPr>
            <w:tcW w:w="20" w:type="dxa"/>
            <w:vAlign w:val="bottom"/>
            <w:vMerge w:val="continue"/>
          </w:tcPr>
          <w:p>
            <w:pPr>
              <w:spacing w:after="0"/>
              <w:rPr>
                <w:sz w:val="22"/>
                <w:szCs w:val="22"/>
                <w:color w:val="auto"/>
              </w:rPr>
            </w:pPr>
          </w:p>
        </w:tc>
        <w:tc>
          <w:tcPr>
            <w:tcW w:w="6300" w:type="dxa"/>
            <w:vAlign w:val="bottom"/>
            <w:shd w:val="clear" w:color="auto" w:fill="EEEEEE"/>
          </w:tcPr>
          <w:p>
            <w:pPr>
              <w:spacing w:after="0"/>
              <w:rPr>
                <w:sz w:val="20"/>
                <w:szCs w:val="20"/>
                <w:color w:val="auto"/>
              </w:rPr>
            </w:pPr>
            <w:r>
              <w:rPr>
                <w:rFonts w:ascii="Arial" w:cs="Arial" w:eastAsia="Arial" w:hAnsi="Arial"/>
                <w:sz w:val="18"/>
                <w:szCs w:val="18"/>
                <w:b w:val="1"/>
                <w:bCs w:val="1"/>
                <w:color w:val="auto"/>
              </w:rPr>
              <w:t>Cash and Cash Equivalents – Ending</w:t>
            </w:r>
          </w:p>
        </w:tc>
        <w:tc>
          <w:tcPr>
            <w:tcW w:w="320" w:type="dxa"/>
            <w:vAlign w:val="bottom"/>
            <w:shd w:val="clear" w:color="auto" w:fill="EEEEEE"/>
          </w:tcPr>
          <w:p>
            <w:pPr>
              <w:jc w:val="right"/>
              <w:ind w:right="130"/>
              <w:spacing w:after="0"/>
              <w:rPr>
                <w:sz w:val="20"/>
                <w:szCs w:val="20"/>
                <w:color w:val="auto"/>
              </w:rPr>
            </w:pPr>
            <w:r>
              <w:rPr>
                <w:rFonts w:ascii="Arial" w:cs="Arial" w:eastAsia="Arial" w:hAnsi="Arial"/>
                <w:sz w:val="18"/>
                <w:szCs w:val="18"/>
                <w:color w:val="auto"/>
                <w:w w:val="79"/>
              </w:rPr>
              <w:t>$</w:t>
            </w:r>
          </w:p>
        </w:tc>
        <w:tc>
          <w:tcPr>
            <w:tcW w:w="1200" w:type="dxa"/>
            <w:vAlign w:val="bottom"/>
            <w:shd w:val="clear" w:color="auto" w:fill="EEEEEE"/>
          </w:tcPr>
          <w:p>
            <w:pPr>
              <w:jc w:val="right"/>
              <w:spacing w:after="0"/>
              <w:rPr>
                <w:sz w:val="20"/>
                <w:szCs w:val="20"/>
                <w:color w:val="auto"/>
              </w:rPr>
            </w:pPr>
            <w:r>
              <w:rPr>
                <w:rFonts w:ascii="Arial" w:cs="Arial" w:eastAsia="Arial" w:hAnsi="Arial"/>
                <w:sz w:val="18"/>
                <w:szCs w:val="18"/>
                <w:color w:val="auto"/>
              </w:rPr>
              <w:t>135,429</w:t>
            </w:r>
          </w:p>
        </w:tc>
        <w:tc>
          <w:tcPr>
            <w:tcW w:w="220" w:type="dxa"/>
            <w:vAlign w:val="bottom"/>
            <w:shd w:val="clear" w:color="auto" w:fill="EEEEEE"/>
          </w:tcPr>
          <w:p>
            <w:pPr>
              <w:spacing w:after="0"/>
              <w:rPr>
                <w:sz w:val="22"/>
                <w:szCs w:val="22"/>
                <w:color w:val="auto"/>
              </w:rPr>
            </w:pPr>
          </w:p>
        </w:tc>
        <w:tc>
          <w:tcPr>
            <w:tcW w:w="300" w:type="dxa"/>
            <w:vAlign w:val="bottom"/>
            <w:shd w:val="clear" w:color="auto" w:fill="EEEEEE"/>
          </w:tcPr>
          <w:p>
            <w:pPr>
              <w:jc w:val="right"/>
              <w:ind w:right="145"/>
              <w:spacing w:after="0"/>
              <w:rPr>
                <w:sz w:val="20"/>
                <w:szCs w:val="20"/>
                <w:color w:val="auto"/>
              </w:rPr>
            </w:pPr>
            <w:r>
              <w:rPr>
                <w:rFonts w:ascii="Arial" w:cs="Arial" w:eastAsia="Arial" w:hAnsi="Arial"/>
                <w:sz w:val="15"/>
                <w:szCs w:val="15"/>
                <w:color w:val="auto"/>
                <w:w w:val="71"/>
              </w:rPr>
              <w:t>$</w:t>
            </w:r>
          </w:p>
        </w:tc>
        <w:tc>
          <w:tcPr>
            <w:tcW w:w="1200" w:type="dxa"/>
            <w:vAlign w:val="bottom"/>
            <w:shd w:val="clear" w:color="auto" w:fill="EEEEEE"/>
          </w:tcPr>
          <w:p>
            <w:pPr>
              <w:jc w:val="right"/>
              <w:spacing w:after="0"/>
              <w:rPr>
                <w:sz w:val="20"/>
                <w:szCs w:val="20"/>
                <w:color w:val="auto"/>
              </w:rPr>
            </w:pPr>
            <w:r>
              <w:rPr>
                <w:rFonts w:ascii="Arial" w:cs="Arial" w:eastAsia="Arial" w:hAnsi="Arial"/>
                <w:sz w:val="18"/>
                <w:szCs w:val="18"/>
                <w:color w:val="auto"/>
              </w:rPr>
              <w:t>14,643</w:t>
            </w:r>
          </w:p>
        </w:tc>
        <w:tc>
          <w:tcPr>
            <w:tcW w:w="140" w:type="dxa"/>
            <w:vAlign w:val="bottom"/>
            <w:shd w:val="clear" w:color="auto" w:fill="EEEEEE"/>
          </w:tcPr>
          <w:p>
            <w:pPr>
              <w:spacing w:after="0"/>
              <w:rPr>
                <w:sz w:val="22"/>
                <w:szCs w:val="22"/>
                <w:color w:val="auto"/>
              </w:rPr>
            </w:pPr>
          </w:p>
        </w:tc>
        <w:tc>
          <w:tcPr>
            <w:tcW w:w="220" w:type="dxa"/>
            <w:vAlign w:val="bottom"/>
            <w:gridSpan w:val="2"/>
            <w:shd w:val="clear" w:color="auto" w:fill="EEEEEE"/>
          </w:tcPr>
          <w:p>
            <w:pPr>
              <w:jc w:val="right"/>
              <w:spacing w:after="0"/>
              <w:rPr>
                <w:sz w:val="20"/>
                <w:szCs w:val="20"/>
                <w:color w:val="auto"/>
              </w:rPr>
            </w:pPr>
            <w:r>
              <w:rPr>
                <w:rFonts w:ascii="Arial" w:cs="Arial" w:eastAsia="Arial" w:hAnsi="Arial"/>
                <w:sz w:val="18"/>
                <w:szCs w:val="18"/>
                <w:color w:val="auto"/>
              </w:rPr>
              <w:t>$</w:t>
            </w:r>
          </w:p>
        </w:tc>
        <w:tc>
          <w:tcPr>
            <w:tcW w:w="1380" w:type="dxa"/>
            <w:vAlign w:val="bottom"/>
            <w:shd w:val="clear" w:color="auto" w:fill="EEEEEE"/>
          </w:tcPr>
          <w:p>
            <w:pPr>
              <w:jc w:val="right"/>
              <w:spacing w:after="0"/>
              <w:rPr>
                <w:sz w:val="20"/>
                <w:szCs w:val="20"/>
                <w:color w:val="auto"/>
              </w:rPr>
            </w:pPr>
            <w:r>
              <w:rPr>
                <w:rFonts w:ascii="Arial" w:cs="Arial" w:eastAsia="Arial" w:hAnsi="Arial"/>
                <w:sz w:val="18"/>
                <w:szCs w:val="18"/>
                <w:color w:val="auto"/>
              </w:rPr>
              <w:t>135,429</w:t>
            </w:r>
          </w:p>
        </w:tc>
        <w:tc>
          <w:tcPr>
            <w:tcW w:w="120" w:type="dxa"/>
            <w:vAlign w:val="bottom"/>
            <w:shd w:val="clear" w:color="auto" w:fill="EEEEEE"/>
          </w:tcPr>
          <w:p>
            <w:pPr>
              <w:spacing w:after="0"/>
              <w:rPr>
                <w:sz w:val="22"/>
                <w:szCs w:val="22"/>
                <w:color w:val="auto"/>
              </w:rPr>
            </w:pP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6300" w:type="dxa"/>
            <w:vAlign w:val="bottom"/>
            <w:tcBorders>
              <w:top w:val="single" w:sz="8" w:color="EEEEEE"/>
            </w:tcBorders>
          </w:tcPr>
          <w:p>
            <w:pPr>
              <w:spacing w:after="0"/>
              <w:rPr>
                <w:sz w:val="18"/>
                <w:szCs w:val="18"/>
                <w:color w:val="auto"/>
              </w:rPr>
            </w:pPr>
          </w:p>
        </w:tc>
        <w:tc>
          <w:tcPr>
            <w:tcW w:w="320" w:type="dxa"/>
            <w:vAlign w:val="bottom"/>
            <w:tcBorders>
              <w:top w:val="single" w:sz="8" w:color="auto"/>
            </w:tcBorders>
          </w:tcPr>
          <w:p>
            <w:pPr>
              <w:spacing w:after="0"/>
              <w:rPr>
                <w:sz w:val="18"/>
                <w:szCs w:val="18"/>
                <w:color w:val="auto"/>
              </w:rPr>
            </w:pPr>
          </w:p>
        </w:tc>
        <w:tc>
          <w:tcPr>
            <w:tcW w:w="1200" w:type="dxa"/>
            <w:vAlign w:val="bottom"/>
            <w:tcBorders>
              <w:top w:val="single" w:sz="8" w:color="auto"/>
            </w:tcBorders>
          </w:tcPr>
          <w:p>
            <w:pPr>
              <w:spacing w:after="0"/>
              <w:rPr>
                <w:sz w:val="18"/>
                <w:szCs w:val="18"/>
                <w:color w:val="auto"/>
              </w:rPr>
            </w:pPr>
          </w:p>
        </w:tc>
        <w:tc>
          <w:tcPr>
            <w:tcW w:w="220" w:type="dxa"/>
            <w:vAlign w:val="bottom"/>
            <w:tcBorders>
              <w:top w:val="single" w:sz="8" w:color="EEEEEE"/>
            </w:tcBorders>
          </w:tcPr>
          <w:p>
            <w:pPr>
              <w:spacing w:after="0"/>
              <w:rPr>
                <w:sz w:val="18"/>
                <w:szCs w:val="18"/>
                <w:color w:val="auto"/>
              </w:rPr>
            </w:pPr>
          </w:p>
        </w:tc>
        <w:tc>
          <w:tcPr>
            <w:tcW w:w="300" w:type="dxa"/>
            <w:vAlign w:val="bottom"/>
            <w:tcBorders>
              <w:top w:val="single" w:sz="8" w:color="auto"/>
            </w:tcBorders>
          </w:tcPr>
          <w:p>
            <w:pPr>
              <w:spacing w:after="0"/>
              <w:rPr>
                <w:sz w:val="18"/>
                <w:szCs w:val="18"/>
                <w:color w:val="auto"/>
              </w:rPr>
            </w:pPr>
          </w:p>
        </w:tc>
        <w:tc>
          <w:tcPr>
            <w:tcW w:w="1200" w:type="dxa"/>
            <w:vAlign w:val="bottom"/>
            <w:tcBorders>
              <w:top w:val="single" w:sz="8" w:color="auto"/>
            </w:tcBorders>
          </w:tcPr>
          <w:p>
            <w:pPr>
              <w:spacing w:after="0"/>
              <w:rPr>
                <w:sz w:val="18"/>
                <w:szCs w:val="18"/>
                <w:color w:val="auto"/>
              </w:rPr>
            </w:pPr>
          </w:p>
        </w:tc>
        <w:tc>
          <w:tcPr>
            <w:tcW w:w="140" w:type="dxa"/>
            <w:vAlign w:val="bottom"/>
            <w:tcBorders>
              <w:top w:val="single" w:sz="8" w:color="EEEEEE"/>
            </w:tcBorders>
          </w:tcPr>
          <w:p>
            <w:pPr>
              <w:spacing w:after="0"/>
              <w:rPr>
                <w:sz w:val="18"/>
                <w:szCs w:val="18"/>
                <w:color w:val="auto"/>
              </w:rPr>
            </w:pPr>
          </w:p>
        </w:tc>
        <w:tc>
          <w:tcPr>
            <w:tcW w:w="80" w:type="dxa"/>
            <w:vAlign w:val="bottom"/>
            <w:tcBorders>
              <w:top w:val="single" w:sz="8" w:color="EEEEEE"/>
            </w:tcBorders>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1380" w:type="dxa"/>
            <w:vAlign w:val="bottom"/>
            <w:tcBorders>
              <w:top w:val="single" w:sz="8" w:color="auto"/>
            </w:tcBorders>
          </w:tcPr>
          <w:p>
            <w:pPr>
              <w:spacing w:after="0"/>
              <w:rPr>
                <w:sz w:val="18"/>
                <w:szCs w:val="18"/>
                <w:color w:val="auto"/>
              </w:rPr>
            </w:pPr>
          </w:p>
        </w:tc>
        <w:tc>
          <w:tcPr>
            <w:tcW w:w="120" w:type="dxa"/>
            <w:vAlign w:val="bottom"/>
            <w:tcBorders>
              <w:top w:val="single" w:sz="8" w:color="EEEEEE"/>
            </w:tcBorders>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300" w:type="dxa"/>
            <w:vAlign w:val="bottom"/>
            <w:shd w:val="clear" w:color="auto" w:fill="EEEEEE"/>
          </w:tcPr>
          <w:p>
            <w:pPr>
              <w:spacing w:after="0"/>
              <w:rPr>
                <w:sz w:val="20"/>
                <w:szCs w:val="20"/>
                <w:color w:val="auto"/>
              </w:rPr>
            </w:pPr>
            <w:r>
              <w:rPr>
                <w:rFonts w:ascii="Arial" w:cs="Arial" w:eastAsia="Arial" w:hAnsi="Arial"/>
                <w:sz w:val="18"/>
                <w:szCs w:val="18"/>
                <w:b w:val="1"/>
                <w:bCs w:val="1"/>
                <w:color w:val="auto"/>
              </w:rPr>
              <w:t>Supplemental Cash Flow Information:</w:t>
            </w:r>
          </w:p>
        </w:tc>
        <w:tc>
          <w:tcPr>
            <w:tcW w:w="320" w:type="dxa"/>
            <w:vAlign w:val="bottom"/>
            <w:shd w:val="clear" w:color="auto" w:fill="EEEEEE"/>
          </w:tcPr>
          <w:p>
            <w:pPr>
              <w:spacing w:after="0"/>
              <w:rPr>
                <w:sz w:val="18"/>
                <w:szCs w:val="18"/>
                <w:color w:val="auto"/>
              </w:rPr>
            </w:pPr>
          </w:p>
        </w:tc>
        <w:tc>
          <w:tcPr>
            <w:tcW w:w="1200" w:type="dxa"/>
            <w:vAlign w:val="bottom"/>
            <w:shd w:val="clear" w:color="auto" w:fill="EEEEEE"/>
          </w:tcPr>
          <w:p>
            <w:pPr>
              <w:spacing w:after="0"/>
              <w:rPr>
                <w:sz w:val="18"/>
                <w:szCs w:val="18"/>
                <w:color w:val="auto"/>
              </w:rPr>
            </w:pPr>
          </w:p>
        </w:tc>
        <w:tc>
          <w:tcPr>
            <w:tcW w:w="220" w:type="dxa"/>
            <w:vAlign w:val="bottom"/>
            <w:shd w:val="clear" w:color="auto" w:fill="EEEEEE"/>
          </w:tcPr>
          <w:p>
            <w:pPr>
              <w:spacing w:after="0"/>
              <w:rPr>
                <w:sz w:val="18"/>
                <w:szCs w:val="18"/>
                <w:color w:val="auto"/>
              </w:rPr>
            </w:pPr>
          </w:p>
        </w:tc>
        <w:tc>
          <w:tcPr>
            <w:tcW w:w="300" w:type="dxa"/>
            <w:vAlign w:val="bottom"/>
            <w:shd w:val="clear" w:color="auto" w:fill="EEEEEE"/>
          </w:tcPr>
          <w:p>
            <w:pPr>
              <w:spacing w:after="0"/>
              <w:rPr>
                <w:sz w:val="18"/>
                <w:szCs w:val="18"/>
                <w:color w:val="auto"/>
              </w:rPr>
            </w:pPr>
          </w:p>
        </w:tc>
        <w:tc>
          <w:tcPr>
            <w:tcW w:w="1200" w:type="dxa"/>
            <w:vAlign w:val="bottom"/>
            <w:shd w:val="clear" w:color="auto" w:fill="EEEEEE"/>
          </w:tcPr>
          <w:p>
            <w:pPr>
              <w:spacing w:after="0"/>
              <w:rPr>
                <w:sz w:val="18"/>
                <w:szCs w:val="18"/>
                <w:color w:val="auto"/>
              </w:rPr>
            </w:pPr>
          </w:p>
        </w:tc>
        <w:tc>
          <w:tcPr>
            <w:tcW w:w="140" w:type="dxa"/>
            <w:vAlign w:val="bottom"/>
            <w:shd w:val="clear" w:color="auto" w:fill="EEEEEE"/>
          </w:tcPr>
          <w:p>
            <w:pPr>
              <w:spacing w:after="0"/>
              <w:rPr>
                <w:sz w:val="18"/>
                <w:szCs w:val="18"/>
                <w:color w:val="auto"/>
              </w:rPr>
            </w:pPr>
          </w:p>
        </w:tc>
        <w:tc>
          <w:tcPr>
            <w:tcW w:w="80" w:type="dxa"/>
            <w:vAlign w:val="bottom"/>
            <w:shd w:val="clear" w:color="auto" w:fill="EEEEEE"/>
          </w:tcPr>
          <w:p>
            <w:pPr>
              <w:spacing w:after="0"/>
              <w:rPr>
                <w:sz w:val="18"/>
                <w:szCs w:val="18"/>
                <w:color w:val="auto"/>
              </w:rPr>
            </w:pPr>
          </w:p>
        </w:tc>
        <w:tc>
          <w:tcPr>
            <w:tcW w:w="140" w:type="dxa"/>
            <w:vAlign w:val="bottom"/>
            <w:shd w:val="clear" w:color="auto" w:fill="EEEEEE"/>
          </w:tcPr>
          <w:p>
            <w:pPr>
              <w:spacing w:after="0"/>
              <w:rPr>
                <w:sz w:val="18"/>
                <w:szCs w:val="18"/>
                <w:color w:val="auto"/>
              </w:rPr>
            </w:pPr>
          </w:p>
        </w:tc>
        <w:tc>
          <w:tcPr>
            <w:tcW w:w="1380" w:type="dxa"/>
            <w:vAlign w:val="bottom"/>
            <w:shd w:val="clear" w:color="auto" w:fill="EEEEEE"/>
          </w:tcPr>
          <w:p>
            <w:pPr>
              <w:spacing w:after="0"/>
              <w:rPr>
                <w:sz w:val="18"/>
                <w:szCs w:val="18"/>
                <w:color w:val="auto"/>
              </w:rPr>
            </w:pPr>
          </w:p>
        </w:tc>
        <w:tc>
          <w:tcPr>
            <w:tcW w:w="120" w:type="dxa"/>
            <w:vAlign w:val="bottom"/>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300" w:type="dxa"/>
            <w:vAlign w:val="bottom"/>
          </w:tcPr>
          <w:p>
            <w:pPr>
              <w:ind w:left="320"/>
              <w:spacing w:after="0"/>
              <w:rPr>
                <w:sz w:val="20"/>
                <w:szCs w:val="20"/>
                <w:color w:val="auto"/>
              </w:rPr>
            </w:pPr>
            <w:r>
              <w:rPr>
                <w:rFonts w:ascii="Arial" w:cs="Arial" w:eastAsia="Arial" w:hAnsi="Arial"/>
                <w:sz w:val="18"/>
                <w:szCs w:val="18"/>
                <w:color w:val="auto"/>
              </w:rPr>
              <w:t>Cash Paid for Interest</w:t>
            </w:r>
          </w:p>
        </w:tc>
        <w:tc>
          <w:tcPr>
            <w:tcW w:w="320" w:type="dxa"/>
            <w:vAlign w:val="bottom"/>
          </w:tcPr>
          <w:p>
            <w:pPr>
              <w:jc w:val="right"/>
              <w:ind w:right="130"/>
              <w:spacing w:after="0"/>
              <w:rPr>
                <w:sz w:val="20"/>
                <w:szCs w:val="20"/>
                <w:color w:val="auto"/>
              </w:rPr>
            </w:pPr>
            <w:r>
              <w:rPr>
                <w:rFonts w:ascii="Arial" w:cs="Arial" w:eastAsia="Arial" w:hAnsi="Arial"/>
                <w:sz w:val="18"/>
                <w:szCs w:val="18"/>
                <w:color w:val="auto"/>
                <w:w w:val="79"/>
              </w:rPr>
              <w:t>$</w:t>
            </w:r>
          </w:p>
        </w:tc>
        <w:tc>
          <w:tcPr>
            <w:tcW w:w="1200" w:type="dxa"/>
            <w:vAlign w:val="bottom"/>
          </w:tcPr>
          <w:p>
            <w:pPr>
              <w:jc w:val="right"/>
              <w:spacing w:after="0"/>
              <w:rPr>
                <w:sz w:val="20"/>
                <w:szCs w:val="20"/>
                <w:color w:val="auto"/>
              </w:rPr>
            </w:pPr>
            <w:r>
              <w:rPr>
                <w:rFonts w:ascii="Arial" w:cs="Arial" w:eastAsia="Arial" w:hAnsi="Arial"/>
                <w:sz w:val="18"/>
                <w:szCs w:val="18"/>
                <w:color w:val="auto"/>
              </w:rPr>
              <w:t>4,453</w:t>
            </w:r>
          </w:p>
        </w:tc>
        <w:tc>
          <w:tcPr>
            <w:tcW w:w="220" w:type="dxa"/>
            <w:vAlign w:val="bottom"/>
          </w:tcPr>
          <w:p>
            <w:pPr>
              <w:spacing w:after="0"/>
              <w:rPr>
                <w:sz w:val="18"/>
                <w:szCs w:val="18"/>
                <w:color w:val="auto"/>
              </w:rPr>
            </w:pPr>
          </w:p>
        </w:tc>
        <w:tc>
          <w:tcPr>
            <w:tcW w:w="300" w:type="dxa"/>
            <w:vAlign w:val="bottom"/>
          </w:tcPr>
          <w:p>
            <w:pPr>
              <w:jc w:val="right"/>
              <w:ind w:right="145"/>
              <w:spacing w:after="0"/>
              <w:rPr>
                <w:sz w:val="20"/>
                <w:szCs w:val="20"/>
                <w:color w:val="auto"/>
              </w:rPr>
            </w:pPr>
            <w:r>
              <w:rPr>
                <w:rFonts w:ascii="Arial" w:cs="Arial" w:eastAsia="Arial" w:hAnsi="Arial"/>
                <w:sz w:val="15"/>
                <w:szCs w:val="15"/>
                <w:color w:val="auto"/>
                <w:w w:val="71"/>
              </w:rPr>
              <w:t>$</w:t>
            </w:r>
          </w:p>
        </w:tc>
        <w:tc>
          <w:tcPr>
            <w:tcW w:w="1200" w:type="dxa"/>
            <w:vAlign w:val="bottom"/>
          </w:tcPr>
          <w:p>
            <w:pPr>
              <w:jc w:val="right"/>
              <w:spacing w:after="0"/>
              <w:rPr>
                <w:sz w:val="20"/>
                <w:szCs w:val="20"/>
                <w:color w:val="auto"/>
              </w:rPr>
            </w:pPr>
            <w:r>
              <w:rPr>
                <w:rFonts w:ascii="Arial" w:cs="Arial" w:eastAsia="Arial" w:hAnsi="Arial"/>
                <w:sz w:val="18"/>
                <w:szCs w:val="18"/>
                <w:color w:val="auto"/>
              </w:rPr>
              <w:t>-0-</w:t>
            </w:r>
          </w:p>
        </w:tc>
        <w:tc>
          <w:tcPr>
            <w:tcW w:w="140" w:type="dxa"/>
            <w:vAlign w:val="bottom"/>
          </w:tcPr>
          <w:p>
            <w:pPr>
              <w:spacing w:after="0"/>
              <w:rPr>
                <w:sz w:val="18"/>
                <w:szCs w:val="18"/>
                <w:color w:val="auto"/>
              </w:rPr>
            </w:pPr>
          </w:p>
        </w:tc>
        <w:tc>
          <w:tcPr>
            <w:tcW w:w="2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380" w:type="dxa"/>
            <w:vAlign w:val="bottom"/>
          </w:tcPr>
          <w:p>
            <w:pPr>
              <w:jc w:val="right"/>
              <w:spacing w:after="0"/>
              <w:rPr>
                <w:sz w:val="20"/>
                <w:szCs w:val="20"/>
                <w:color w:val="auto"/>
              </w:rPr>
            </w:pPr>
            <w:r>
              <w:rPr>
                <w:rFonts w:ascii="Arial" w:cs="Arial" w:eastAsia="Arial" w:hAnsi="Arial"/>
                <w:sz w:val="18"/>
                <w:szCs w:val="18"/>
                <w:color w:val="auto"/>
              </w:rPr>
              <w:t>4,453</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6300" w:type="dxa"/>
            <w:vAlign w:val="bottom"/>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2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20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3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50"/>
        </w:trPr>
        <w:tc>
          <w:tcPr>
            <w:tcW w:w="20" w:type="dxa"/>
            <w:vAlign w:val="bottom"/>
          </w:tcPr>
          <w:p>
            <w:pPr>
              <w:spacing w:after="0"/>
              <w:rPr>
                <w:sz w:val="21"/>
                <w:szCs w:val="21"/>
                <w:color w:val="auto"/>
              </w:rPr>
            </w:pPr>
          </w:p>
        </w:tc>
        <w:tc>
          <w:tcPr>
            <w:tcW w:w="6300" w:type="dxa"/>
            <w:vAlign w:val="bottom"/>
            <w:shd w:val="clear" w:color="auto" w:fill="EEEEEE"/>
          </w:tcPr>
          <w:p>
            <w:pPr>
              <w:ind w:left="320"/>
              <w:spacing w:after="0"/>
              <w:rPr>
                <w:sz w:val="20"/>
                <w:szCs w:val="20"/>
                <w:color w:val="auto"/>
              </w:rPr>
            </w:pPr>
            <w:r>
              <w:rPr>
                <w:rFonts w:ascii="Arial" w:cs="Arial" w:eastAsia="Arial" w:hAnsi="Arial"/>
                <w:sz w:val="18"/>
                <w:szCs w:val="18"/>
                <w:color w:val="auto"/>
              </w:rPr>
              <w:t>Cash Paid for Income Taxes</w:t>
            </w:r>
          </w:p>
        </w:tc>
        <w:tc>
          <w:tcPr>
            <w:tcW w:w="320" w:type="dxa"/>
            <w:vAlign w:val="bottom"/>
            <w:shd w:val="clear" w:color="auto" w:fill="EEEEEE"/>
          </w:tcPr>
          <w:p>
            <w:pPr>
              <w:jc w:val="right"/>
              <w:ind w:right="130"/>
              <w:spacing w:after="0"/>
              <w:rPr>
                <w:sz w:val="20"/>
                <w:szCs w:val="20"/>
                <w:color w:val="auto"/>
              </w:rPr>
            </w:pPr>
            <w:r>
              <w:rPr>
                <w:rFonts w:ascii="Arial" w:cs="Arial" w:eastAsia="Arial" w:hAnsi="Arial"/>
                <w:sz w:val="18"/>
                <w:szCs w:val="18"/>
                <w:color w:val="auto"/>
                <w:w w:val="79"/>
              </w:rPr>
              <w:t>$</w:t>
            </w:r>
          </w:p>
        </w:tc>
        <w:tc>
          <w:tcPr>
            <w:tcW w:w="1200" w:type="dxa"/>
            <w:vAlign w:val="bottom"/>
            <w:shd w:val="clear" w:color="auto" w:fill="EEEEEE"/>
          </w:tcPr>
          <w:p>
            <w:pPr>
              <w:jc w:val="right"/>
              <w:spacing w:after="0"/>
              <w:rPr>
                <w:sz w:val="20"/>
                <w:szCs w:val="20"/>
                <w:color w:val="auto"/>
              </w:rPr>
            </w:pPr>
            <w:r>
              <w:rPr>
                <w:rFonts w:ascii="Arial" w:cs="Arial" w:eastAsia="Arial" w:hAnsi="Arial"/>
                <w:sz w:val="18"/>
                <w:szCs w:val="18"/>
                <w:color w:val="auto"/>
              </w:rPr>
              <w:t>-0-</w:t>
            </w:r>
          </w:p>
        </w:tc>
        <w:tc>
          <w:tcPr>
            <w:tcW w:w="220" w:type="dxa"/>
            <w:vAlign w:val="bottom"/>
            <w:shd w:val="clear" w:color="auto" w:fill="EEEEEE"/>
          </w:tcPr>
          <w:p>
            <w:pPr>
              <w:spacing w:after="0"/>
              <w:rPr>
                <w:sz w:val="21"/>
                <w:szCs w:val="21"/>
                <w:color w:val="auto"/>
              </w:rPr>
            </w:pPr>
          </w:p>
        </w:tc>
        <w:tc>
          <w:tcPr>
            <w:tcW w:w="300" w:type="dxa"/>
            <w:vAlign w:val="bottom"/>
            <w:shd w:val="clear" w:color="auto" w:fill="EEEEEE"/>
          </w:tcPr>
          <w:p>
            <w:pPr>
              <w:jc w:val="right"/>
              <w:ind w:right="145"/>
              <w:spacing w:after="0"/>
              <w:rPr>
                <w:sz w:val="20"/>
                <w:szCs w:val="20"/>
                <w:color w:val="auto"/>
              </w:rPr>
            </w:pPr>
            <w:r>
              <w:rPr>
                <w:rFonts w:ascii="Arial" w:cs="Arial" w:eastAsia="Arial" w:hAnsi="Arial"/>
                <w:sz w:val="15"/>
                <w:szCs w:val="15"/>
                <w:color w:val="auto"/>
                <w:w w:val="71"/>
              </w:rPr>
              <w:t>$</w:t>
            </w:r>
          </w:p>
        </w:tc>
        <w:tc>
          <w:tcPr>
            <w:tcW w:w="1200" w:type="dxa"/>
            <w:vAlign w:val="bottom"/>
            <w:shd w:val="clear" w:color="auto" w:fill="EEEEEE"/>
          </w:tcPr>
          <w:p>
            <w:pPr>
              <w:jc w:val="right"/>
              <w:spacing w:after="0"/>
              <w:rPr>
                <w:sz w:val="20"/>
                <w:szCs w:val="20"/>
                <w:color w:val="auto"/>
              </w:rPr>
            </w:pPr>
            <w:r>
              <w:rPr>
                <w:rFonts w:ascii="Arial" w:cs="Arial" w:eastAsia="Arial" w:hAnsi="Arial"/>
                <w:sz w:val="18"/>
                <w:szCs w:val="18"/>
                <w:color w:val="auto"/>
              </w:rPr>
              <w:t>-0-</w:t>
            </w:r>
          </w:p>
        </w:tc>
        <w:tc>
          <w:tcPr>
            <w:tcW w:w="140" w:type="dxa"/>
            <w:vAlign w:val="bottom"/>
            <w:shd w:val="clear" w:color="auto" w:fill="EEEEEE"/>
          </w:tcPr>
          <w:p>
            <w:pPr>
              <w:spacing w:after="0"/>
              <w:rPr>
                <w:sz w:val="21"/>
                <w:szCs w:val="21"/>
                <w:color w:val="auto"/>
              </w:rPr>
            </w:pPr>
          </w:p>
        </w:tc>
        <w:tc>
          <w:tcPr>
            <w:tcW w:w="220" w:type="dxa"/>
            <w:vAlign w:val="bottom"/>
            <w:gridSpan w:val="2"/>
            <w:shd w:val="clear" w:color="auto" w:fill="EEEEEE"/>
          </w:tcPr>
          <w:p>
            <w:pPr>
              <w:jc w:val="right"/>
              <w:spacing w:after="0"/>
              <w:rPr>
                <w:sz w:val="20"/>
                <w:szCs w:val="20"/>
                <w:color w:val="auto"/>
              </w:rPr>
            </w:pPr>
            <w:r>
              <w:rPr>
                <w:rFonts w:ascii="Arial" w:cs="Arial" w:eastAsia="Arial" w:hAnsi="Arial"/>
                <w:sz w:val="18"/>
                <w:szCs w:val="18"/>
                <w:color w:val="auto"/>
              </w:rPr>
              <w:t>$</w:t>
            </w:r>
          </w:p>
        </w:tc>
        <w:tc>
          <w:tcPr>
            <w:tcW w:w="1380" w:type="dxa"/>
            <w:vAlign w:val="bottom"/>
            <w:shd w:val="clear" w:color="auto" w:fill="EEEEEE"/>
          </w:tcPr>
          <w:p>
            <w:pPr>
              <w:jc w:val="right"/>
              <w:spacing w:after="0"/>
              <w:rPr>
                <w:sz w:val="20"/>
                <w:szCs w:val="20"/>
                <w:color w:val="auto"/>
              </w:rPr>
            </w:pPr>
            <w:r>
              <w:rPr>
                <w:rFonts w:ascii="Arial" w:cs="Arial" w:eastAsia="Arial" w:hAnsi="Arial"/>
                <w:sz w:val="18"/>
                <w:szCs w:val="18"/>
                <w:color w:val="auto"/>
              </w:rPr>
              <w:t>-0-</w:t>
            </w:r>
          </w:p>
        </w:tc>
        <w:tc>
          <w:tcPr>
            <w:tcW w:w="120" w:type="dxa"/>
            <w:vAlign w:val="bottom"/>
            <w:shd w:val="clear" w:color="auto" w:fill="EEEEEE"/>
          </w:tcPr>
          <w:p>
            <w:pPr>
              <w:spacing w:after="0"/>
              <w:rPr>
                <w:sz w:val="21"/>
                <w:szCs w:val="21"/>
                <w:color w:val="auto"/>
              </w:rPr>
            </w:pP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6300" w:type="dxa"/>
            <w:vAlign w:val="bottom"/>
            <w:tcBorders>
              <w:top w:val="single" w:sz="8" w:color="EEEEEE"/>
            </w:tcBorders>
          </w:tcPr>
          <w:p>
            <w:pPr>
              <w:spacing w:after="0"/>
              <w:rPr>
                <w:sz w:val="18"/>
                <w:szCs w:val="18"/>
                <w:color w:val="auto"/>
              </w:rPr>
            </w:pPr>
          </w:p>
        </w:tc>
        <w:tc>
          <w:tcPr>
            <w:tcW w:w="320" w:type="dxa"/>
            <w:vAlign w:val="bottom"/>
            <w:tcBorders>
              <w:top w:val="single" w:sz="8" w:color="auto"/>
            </w:tcBorders>
          </w:tcPr>
          <w:p>
            <w:pPr>
              <w:spacing w:after="0"/>
              <w:rPr>
                <w:sz w:val="18"/>
                <w:szCs w:val="18"/>
                <w:color w:val="auto"/>
              </w:rPr>
            </w:pPr>
          </w:p>
        </w:tc>
        <w:tc>
          <w:tcPr>
            <w:tcW w:w="1200" w:type="dxa"/>
            <w:vAlign w:val="bottom"/>
            <w:tcBorders>
              <w:top w:val="single" w:sz="8" w:color="auto"/>
            </w:tcBorders>
          </w:tcPr>
          <w:p>
            <w:pPr>
              <w:spacing w:after="0"/>
              <w:rPr>
                <w:sz w:val="18"/>
                <w:szCs w:val="18"/>
                <w:color w:val="auto"/>
              </w:rPr>
            </w:pPr>
          </w:p>
        </w:tc>
        <w:tc>
          <w:tcPr>
            <w:tcW w:w="220" w:type="dxa"/>
            <w:vAlign w:val="bottom"/>
            <w:tcBorders>
              <w:top w:val="single" w:sz="8" w:color="EEEEEE"/>
            </w:tcBorders>
          </w:tcPr>
          <w:p>
            <w:pPr>
              <w:spacing w:after="0"/>
              <w:rPr>
                <w:sz w:val="18"/>
                <w:szCs w:val="18"/>
                <w:color w:val="auto"/>
              </w:rPr>
            </w:pPr>
          </w:p>
        </w:tc>
        <w:tc>
          <w:tcPr>
            <w:tcW w:w="300" w:type="dxa"/>
            <w:vAlign w:val="bottom"/>
            <w:tcBorders>
              <w:top w:val="single" w:sz="8" w:color="auto"/>
            </w:tcBorders>
          </w:tcPr>
          <w:p>
            <w:pPr>
              <w:spacing w:after="0"/>
              <w:rPr>
                <w:sz w:val="18"/>
                <w:szCs w:val="18"/>
                <w:color w:val="auto"/>
              </w:rPr>
            </w:pPr>
          </w:p>
        </w:tc>
        <w:tc>
          <w:tcPr>
            <w:tcW w:w="1200" w:type="dxa"/>
            <w:vAlign w:val="bottom"/>
            <w:tcBorders>
              <w:top w:val="single" w:sz="8" w:color="auto"/>
            </w:tcBorders>
          </w:tcPr>
          <w:p>
            <w:pPr>
              <w:spacing w:after="0"/>
              <w:rPr>
                <w:sz w:val="18"/>
                <w:szCs w:val="18"/>
                <w:color w:val="auto"/>
              </w:rPr>
            </w:pPr>
          </w:p>
        </w:tc>
        <w:tc>
          <w:tcPr>
            <w:tcW w:w="140" w:type="dxa"/>
            <w:vAlign w:val="bottom"/>
            <w:tcBorders>
              <w:top w:val="single" w:sz="8" w:color="EEEEEE"/>
            </w:tcBorders>
          </w:tcPr>
          <w:p>
            <w:pPr>
              <w:spacing w:after="0"/>
              <w:rPr>
                <w:sz w:val="18"/>
                <w:szCs w:val="18"/>
                <w:color w:val="auto"/>
              </w:rPr>
            </w:pPr>
          </w:p>
        </w:tc>
        <w:tc>
          <w:tcPr>
            <w:tcW w:w="80" w:type="dxa"/>
            <w:vAlign w:val="bottom"/>
            <w:tcBorders>
              <w:top w:val="single" w:sz="8" w:color="EEEEEE"/>
            </w:tcBorders>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1380" w:type="dxa"/>
            <w:vAlign w:val="bottom"/>
            <w:tcBorders>
              <w:top w:val="single" w:sz="8" w:color="auto"/>
            </w:tcBorders>
          </w:tcPr>
          <w:p>
            <w:pPr>
              <w:spacing w:after="0"/>
              <w:rPr>
                <w:sz w:val="18"/>
                <w:szCs w:val="18"/>
                <w:color w:val="auto"/>
              </w:rPr>
            </w:pPr>
          </w:p>
        </w:tc>
        <w:tc>
          <w:tcPr>
            <w:tcW w:w="120" w:type="dxa"/>
            <w:vAlign w:val="bottom"/>
            <w:tcBorders>
              <w:top w:val="single" w:sz="8" w:color="EEEEEE"/>
            </w:tcBorders>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300" w:type="dxa"/>
            <w:vAlign w:val="bottom"/>
            <w:shd w:val="clear" w:color="auto" w:fill="EEEEEE"/>
          </w:tcPr>
          <w:p>
            <w:pPr>
              <w:spacing w:after="0"/>
              <w:rPr>
                <w:sz w:val="20"/>
                <w:szCs w:val="20"/>
                <w:color w:val="auto"/>
              </w:rPr>
            </w:pPr>
            <w:r>
              <w:rPr>
                <w:rFonts w:ascii="Arial" w:cs="Arial" w:eastAsia="Arial" w:hAnsi="Arial"/>
                <w:sz w:val="18"/>
                <w:szCs w:val="18"/>
                <w:b w:val="1"/>
                <w:bCs w:val="1"/>
                <w:color w:val="auto"/>
              </w:rPr>
              <w:t>Supplemental Disclosure of Noncash Investing and Financing Activities:</w:t>
            </w:r>
          </w:p>
        </w:tc>
        <w:tc>
          <w:tcPr>
            <w:tcW w:w="320" w:type="dxa"/>
            <w:vAlign w:val="bottom"/>
            <w:shd w:val="clear" w:color="auto" w:fill="EEEEEE"/>
          </w:tcPr>
          <w:p>
            <w:pPr>
              <w:spacing w:after="0"/>
              <w:rPr>
                <w:sz w:val="18"/>
                <w:szCs w:val="18"/>
                <w:color w:val="auto"/>
              </w:rPr>
            </w:pPr>
          </w:p>
        </w:tc>
        <w:tc>
          <w:tcPr>
            <w:tcW w:w="1200" w:type="dxa"/>
            <w:vAlign w:val="bottom"/>
            <w:shd w:val="clear" w:color="auto" w:fill="EEEEEE"/>
          </w:tcPr>
          <w:p>
            <w:pPr>
              <w:spacing w:after="0"/>
              <w:rPr>
                <w:sz w:val="18"/>
                <w:szCs w:val="18"/>
                <w:color w:val="auto"/>
              </w:rPr>
            </w:pPr>
          </w:p>
        </w:tc>
        <w:tc>
          <w:tcPr>
            <w:tcW w:w="220" w:type="dxa"/>
            <w:vAlign w:val="bottom"/>
            <w:shd w:val="clear" w:color="auto" w:fill="EEEEEE"/>
          </w:tcPr>
          <w:p>
            <w:pPr>
              <w:spacing w:after="0"/>
              <w:rPr>
                <w:sz w:val="18"/>
                <w:szCs w:val="18"/>
                <w:color w:val="auto"/>
              </w:rPr>
            </w:pPr>
          </w:p>
        </w:tc>
        <w:tc>
          <w:tcPr>
            <w:tcW w:w="300" w:type="dxa"/>
            <w:vAlign w:val="bottom"/>
            <w:shd w:val="clear" w:color="auto" w:fill="EEEEEE"/>
          </w:tcPr>
          <w:p>
            <w:pPr>
              <w:spacing w:after="0"/>
              <w:rPr>
                <w:sz w:val="18"/>
                <w:szCs w:val="18"/>
                <w:color w:val="auto"/>
              </w:rPr>
            </w:pPr>
          </w:p>
        </w:tc>
        <w:tc>
          <w:tcPr>
            <w:tcW w:w="1200" w:type="dxa"/>
            <w:vAlign w:val="bottom"/>
            <w:shd w:val="clear" w:color="auto" w:fill="EEEEEE"/>
          </w:tcPr>
          <w:p>
            <w:pPr>
              <w:spacing w:after="0"/>
              <w:rPr>
                <w:sz w:val="18"/>
                <w:szCs w:val="18"/>
                <w:color w:val="auto"/>
              </w:rPr>
            </w:pPr>
          </w:p>
        </w:tc>
        <w:tc>
          <w:tcPr>
            <w:tcW w:w="140" w:type="dxa"/>
            <w:vAlign w:val="bottom"/>
            <w:shd w:val="clear" w:color="auto" w:fill="EEEEEE"/>
          </w:tcPr>
          <w:p>
            <w:pPr>
              <w:spacing w:after="0"/>
              <w:rPr>
                <w:sz w:val="18"/>
                <w:szCs w:val="18"/>
                <w:color w:val="auto"/>
              </w:rPr>
            </w:pPr>
          </w:p>
        </w:tc>
        <w:tc>
          <w:tcPr>
            <w:tcW w:w="80" w:type="dxa"/>
            <w:vAlign w:val="bottom"/>
            <w:shd w:val="clear" w:color="auto" w:fill="EEEEEE"/>
          </w:tcPr>
          <w:p>
            <w:pPr>
              <w:spacing w:after="0"/>
              <w:rPr>
                <w:sz w:val="18"/>
                <w:szCs w:val="18"/>
                <w:color w:val="auto"/>
              </w:rPr>
            </w:pPr>
          </w:p>
        </w:tc>
        <w:tc>
          <w:tcPr>
            <w:tcW w:w="140" w:type="dxa"/>
            <w:vAlign w:val="bottom"/>
            <w:shd w:val="clear" w:color="auto" w:fill="EEEEEE"/>
          </w:tcPr>
          <w:p>
            <w:pPr>
              <w:spacing w:after="0"/>
              <w:rPr>
                <w:sz w:val="18"/>
                <w:szCs w:val="18"/>
                <w:color w:val="auto"/>
              </w:rPr>
            </w:pPr>
          </w:p>
        </w:tc>
        <w:tc>
          <w:tcPr>
            <w:tcW w:w="1380" w:type="dxa"/>
            <w:vAlign w:val="bottom"/>
            <w:shd w:val="clear" w:color="auto" w:fill="EEEEEE"/>
          </w:tcPr>
          <w:p>
            <w:pPr>
              <w:spacing w:after="0"/>
              <w:rPr>
                <w:sz w:val="18"/>
                <w:szCs w:val="18"/>
                <w:color w:val="auto"/>
              </w:rPr>
            </w:pPr>
          </w:p>
        </w:tc>
        <w:tc>
          <w:tcPr>
            <w:tcW w:w="120" w:type="dxa"/>
            <w:vAlign w:val="bottom"/>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300" w:type="dxa"/>
            <w:vAlign w:val="bottom"/>
          </w:tcPr>
          <w:p>
            <w:pPr>
              <w:ind w:left="320"/>
              <w:spacing w:after="0"/>
              <w:rPr>
                <w:sz w:val="20"/>
                <w:szCs w:val="20"/>
                <w:color w:val="auto"/>
              </w:rPr>
            </w:pPr>
            <w:r>
              <w:rPr>
                <w:rFonts w:ascii="Arial" w:cs="Arial" w:eastAsia="Arial" w:hAnsi="Arial"/>
                <w:sz w:val="18"/>
                <w:szCs w:val="18"/>
                <w:color w:val="auto"/>
              </w:rPr>
              <w:t>Distributions paid through issuance of notes payable-related party</w:t>
            </w:r>
          </w:p>
        </w:tc>
        <w:tc>
          <w:tcPr>
            <w:tcW w:w="320" w:type="dxa"/>
            <w:vAlign w:val="bottom"/>
          </w:tcPr>
          <w:p>
            <w:pPr>
              <w:jc w:val="right"/>
              <w:ind w:right="130"/>
              <w:spacing w:after="0"/>
              <w:rPr>
                <w:sz w:val="20"/>
                <w:szCs w:val="20"/>
                <w:color w:val="auto"/>
              </w:rPr>
            </w:pPr>
            <w:r>
              <w:rPr>
                <w:rFonts w:ascii="Arial" w:cs="Arial" w:eastAsia="Arial" w:hAnsi="Arial"/>
                <w:sz w:val="18"/>
                <w:szCs w:val="18"/>
                <w:color w:val="auto"/>
                <w:w w:val="79"/>
              </w:rPr>
              <w:t>$</w:t>
            </w:r>
          </w:p>
        </w:tc>
        <w:tc>
          <w:tcPr>
            <w:tcW w:w="1200" w:type="dxa"/>
            <w:vAlign w:val="bottom"/>
          </w:tcPr>
          <w:p>
            <w:pPr>
              <w:jc w:val="right"/>
              <w:spacing w:after="0"/>
              <w:rPr>
                <w:sz w:val="20"/>
                <w:szCs w:val="20"/>
                <w:color w:val="auto"/>
              </w:rPr>
            </w:pPr>
            <w:r>
              <w:rPr>
                <w:rFonts w:ascii="Arial" w:cs="Arial" w:eastAsia="Arial" w:hAnsi="Arial"/>
                <w:sz w:val="18"/>
                <w:szCs w:val="18"/>
                <w:color w:val="auto"/>
              </w:rPr>
              <w:t>253,750</w:t>
            </w:r>
          </w:p>
        </w:tc>
        <w:tc>
          <w:tcPr>
            <w:tcW w:w="220" w:type="dxa"/>
            <w:vAlign w:val="bottom"/>
          </w:tcPr>
          <w:p>
            <w:pPr>
              <w:spacing w:after="0"/>
              <w:rPr>
                <w:sz w:val="18"/>
                <w:szCs w:val="18"/>
                <w:color w:val="auto"/>
              </w:rPr>
            </w:pPr>
          </w:p>
        </w:tc>
        <w:tc>
          <w:tcPr>
            <w:tcW w:w="300" w:type="dxa"/>
            <w:vAlign w:val="bottom"/>
          </w:tcPr>
          <w:p>
            <w:pPr>
              <w:jc w:val="right"/>
              <w:ind w:right="145"/>
              <w:spacing w:after="0"/>
              <w:rPr>
                <w:sz w:val="20"/>
                <w:szCs w:val="20"/>
                <w:color w:val="auto"/>
              </w:rPr>
            </w:pPr>
            <w:r>
              <w:rPr>
                <w:rFonts w:ascii="Arial" w:cs="Arial" w:eastAsia="Arial" w:hAnsi="Arial"/>
                <w:sz w:val="15"/>
                <w:szCs w:val="15"/>
                <w:color w:val="auto"/>
                <w:w w:val="71"/>
              </w:rPr>
              <w:t>$</w:t>
            </w:r>
          </w:p>
        </w:tc>
        <w:tc>
          <w:tcPr>
            <w:tcW w:w="1200" w:type="dxa"/>
            <w:vAlign w:val="bottom"/>
          </w:tcPr>
          <w:p>
            <w:pPr>
              <w:jc w:val="right"/>
              <w:spacing w:after="0"/>
              <w:rPr>
                <w:sz w:val="20"/>
                <w:szCs w:val="20"/>
                <w:color w:val="auto"/>
              </w:rPr>
            </w:pPr>
            <w:r>
              <w:rPr>
                <w:rFonts w:ascii="Arial" w:cs="Arial" w:eastAsia="Arial" w:hAnsi="Arial"/>
                <w:sz w:val="18"/>
                <w:szCs w:val="18"/>
                <w:color w:val="auto"/>
              </w:rPr>
              <w:t>-0-</w:t>
            </w:r>
          </w:p>
        </w:tc>
        <w:tc>
          <w:tcPr>
            <w:tcW w:w="140" w:type="dxa"/>
            <w:vAlign w:val="bottom"/>
          </w:tcPr>
          <w:p>
            <w:pPr>
              <w:spacing w:after="0"/>
              <w:rPr>
                <w:sz w:val="18"/>
                <w:szCs w:val="18"/>
                <w:color w:val="auto"/>
              </w:rPr>
            </w:pPr>
          </w:p>
        </w:tc>
        <w:tc>
          <w:tcPr>
            <w:tcW w:w="2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380" w:type="dxa"/>
            <w:vAlign w:val="bottom"/>
          </w:tcPr>
          <w:p>
            <w:pPr>
              <w:jc w:val="right"/>
              <w:spacing w:after="0"/>
              <w:rPr>
                <w:sz w:val="20"/>
                <w:szCs w:val="20"/>
                <w:color w:val="auto"/>
              </w:rPr>
            </w:pPr>
            <w:r>
              <w:rPr>
                <w:rFonts w:ascii="Arial" w:cs="Arial" w:eastAsia="Arial" w:hAnsi="Arial"/>
                <w:sz w:val="18"/>
                <w:szCs w:val="18"/>
                <w:color w:val="auto"/>
              </w:rPr>
              <w:t>253,750</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6300" w:type="dxa"/>
            <w:vAlign w:val="bottom"/>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2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20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3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5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accompanying notes are an integral part of the financial statements.</w:t>
      </w:r>
    </w:p>
    <w:p>
      <w:pPr>
        <w:spacing w:after="0" w:line="200" w:lineRule="exact"/>
        <w:rPr>
          <w:sz w:val="20"/>
          <w:szCs w:val="20"/>
          <w:color w:val="auto"/>
        </w:rPr>
      </w:pPr>
    </w:p>
    <w:p>
      <w:pPr>
        <w:spacing w:after="0" w:line="32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246620" cy="8890"/>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634" w:right="239" w:bottom="1440" w:gutter="0" w:footer="0" w:header="0"/>
        </w:sectPr>
      </w:pPr>
    </w:p>
    <w:bookmarkStart w:id="47" w:name="page48"/>
    <w:bookmarkEnd w:id="47"/>
    <w:p>
      <w:pPr>
        <w:jc w:val="center"/>
        <w:spacing w:after="0"/>
        <w:rPr>
          <w:sz w:val="20"/>
          <w:szCs w:val="20"/>
          <w:color w:val="auto"/>
        </w:rPr>
      </w:pPr>
      <w:r>
        <w:rPr>
          <w:rFonts w:ascii="Arial" w:cs="Arial" w:eastAsia="Arial" w:hAnsi="Arial"/>
          <w:sz w:val="18"/>
          <w:szCs w:val="18"/>
          <w:b w:val="1"/>
          <w:bCs w:val="1"/>
          <w:color w:val="auto"/>
        </w:rPr>
        <w:t>OPTIMIZERx CORPORATION</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OPTIMIZER SYSTEMS, LLC</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 DEVELOPMENT STAGE COMPANY)</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FINANCIAL STATEMENTS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DECEMBER 31, 2007</w:t>
      </w:r>
    </w:p>
    <w:p>
      <w:pPr>
        <w:spacing w:after="0" w:line="261" w:lineRule="exact"/>
        <w:rPr>
          <w:sz w:val="20"/>
          <w:szCs w:val="20"/>
          <w:color w:val="auto"/>
        </w:rPr>
      </w:pPr>
    </w:p>
    <w:p>
      <w:pPr>
        <w:spacing w:after="0"/>
        <w:tabs>
          <w:tab w:leader="none" w:pos="860" w:val="left"/>
        </w:tabs>
        <w:rPr>
          <w:sz w:val="20"/>
          <w:szCs w:val="20"/>
          <w:color w:val="auto"/>
        </w:rPr>
      </w:pPr>
      <w:r>
        <w:rPr>
          <w:rFonts w:ascii="Arial" w:cs="Arial" w:eastAsia="Arial" w:hAnsi="Arial"/>
          <w:sz w:val="18"/>
          <w:szCs w:val="18"/>
          <w:b w:val="1"/>
          <w:bCs w:val="1"/>
          <w:color w:val="auto"/>
        </w:rPr>
        <w:t>Note 1:</w:t>
      </w:r>
      <w:r>
        <w:rPr>
          <w:sz w:val="20"/>
          <w:szCs w:val="20"/>
          <w:color w:val="auto"/>
        </w:rPr>
        <w:tab/>
      </w:r>
      <w:r>
        <w:rPr>
          <w:rFonts w:ascii="Arial" w:cs="Arial" w:eastAsia="Arial" w:hAnsi="Arial"/>
          <w:sz w:val="16"/>
          <w:szCs w:val="16"/>
          <w:b w:val="1"/>
          <w:bCs w:val="1"/>
          <w:u w:val="single" w:color="auto"/>
          <w:color w:val="auto"/>
        </w:rPr>
        <w:t>Nature of Operations</w:t>
      </w:r>
    </w:p>
    <w:p>
      <w:pPr>
        <w:spacing w:after="0" w:line="283" w:lineRule="exact"/>
        <w:rPr>
          <w:sz w:val="20"/>
          <w:szCs w:val="20"/>
          <w:color w:val="auto"/>
        </w:rPr>
      </w:pPr>
    </w:p>
    <w:p>
      <w:pPr>
        <w:jc w:val="both"/>
        <w:ind w:left="820"/>
        <w:spacing w:after="0" w:line="270" w:lineRule="auto"/>
        <w:rPr>
          <w:sz w:val="20"/>
          <w:szCs w:val="20"/>
          <w:color w:val="auto"/>
        </w:rPr>
      </w:pPr>
      <w:r>
        <w:rPr>
          <w:rFonts w:ascii="Arial" w:cs="Arial" w:eastAsia="Arial" w:hAnsi="Arial"/>
          <w:sz w:val="17"/>
          <w:szCs w:val="17"/>
          <w:color w:val="auto"/>
        </w:rPr>
        <w:t>Optimizer Systems, LLC was formed in the State of Michigan on January 31, 2006. It then became a corporation in the state of Michigan on October 22, 2007 and changed our name to OptimizeRx Corporation on October 22, 2007. On April 14, 2008, RFID Ltd. consummated a reverse merger by entering into a share exchange agreement with the stockholders of OptimizeRx Corporation, pursuant to which the stockholders of OptimizeRx Corporation exchanged all of the issued and outstanding capital stock of OptimizeRx Corporation for 1,256,958 shares of common stock of RFID Ltd., representing 100% of the outstanding capital stock of RFID Ltd. As of April 30, 2008, RFID’s officers and directors resigned their positions and RFID changed its business to OptimizeRx’s business. As a result, the historical discussion and financial statements included in this Form S-1 are those of OptimizeRx Corporation. On April 15, 2008, RFID Ltd’s corporate name was changed to OptimizeRx Corporation. On September 4, 2008, we then completed a migratory merger, thereby changing our state of incorporation from Colorado to Nevada, resulting in the current corporate structure in which we, OptimizeRx Corporation, a Nevada corporation is the parent corporation, and OptimizeRx Corporation, a Michigan Corporation is our wholly-owned subsidiary.</w:t>
      </w:r>
    </w:p>
    <w:p>
      <w:pPr>
        <w:spacing w:after="0" w:line="232" w:lineRule="exact"/>
        <w:rPr>
          <w:sz w:val="20"/>
          <w:szCs w:val="20"/>
          <w:color w:val="auto"/>
        </w:rPr>
      </w:pPr>
    </w:p>
    <w:p>
      <w:pPr>
        <w:jc w:val="both"/>
        <w:ind w:left="820"/>
        <w:spacing w:after="0" w:line="272" w:lineRule="auto"/>
        <w:rPr>
          <w:sz w:val="20"/>
          <w:szCs w:val="20"/>
          <w:color w:val="auto"/>
        </w:rPr>
      </w:pPr>
      <w:r>
        <w:rPr>
          <w:rFonts w:ascii="Arial" w:cs="Arial" w:eastAsia="Arial" w:hAnsi="Arial"/>
          <w:sz w:val="17"/>
          <w:szCs w:val="17"/>
          <w:color w:val="auto"/>
        </w:rPr>
        <w:t>We, through our wholly-owned subsidiary, OptimizeRx Corporation, a Michigan corporation, are a development-stage website publisher and marketing company that creates, promotes and fulfills custom marketing and advertising programs. We help patients better afford and manage their rising healthcare costs. In addition, we also provide unique advertising programs to pharmaceutical and healthcare industries. Through our websites, we provide the following services: (i) through our website, we provide patients to centrally review and participate in prescription and healthcare savings/support programs; (ii) through OFFERx, we provide a platform to allow manufacturers to create, promote and fulfill new patient offer programs in over 64,000 pharmacies; and (iii) through ADHERxE, we provide a platform that allows manufacturers to engage and monitor patients each month in exchange for activation of their monthly co-pay coupons.</w:t>
      </w:r>
    </w:p>
    <w:p>
      <w:pPr>
        <w:spacing w:after="0" w:line="228" w:lineRule="exact"/>
        <w:rPr>
          <w:sz w:val="20"/>
          <w:szCs w:val="20"/>
          <w:color w:val="auto"/>
        </w:rPr>
      </w:pPr>
    </w:p>
    <w:p>
      <w:pPr>
        <w:spacing w:after="0"/>
        <w:tabs>
          <w:tab w:leader="none" w:pos="860" w:val="left"/>
        </w:tabs>
        <w:rPr>
          <w:sz w:val="20"/>
          <w:szCs w:val="20"/>
          <w:color w:val="auto"/>
        </w:rPr>
      </w:pPr>
      <w:r>
        <w:rPr>
          <w:rFonts w:ascii="Arial" w:cs="Arial" w:eastAsia="Arial" w:hAnsi="Arial"/>
          <w:sz w:val="18"/>
          <w:szCs w:val="18"/>
          <w:b w:val="1"/>
          <w:bCs w:val="1"/>
          <w:color w:val="auto"/>
        </w:rPr>
        <w:t>Note 2:</w:t>
      </w:r>
      <w:r>
        <w:rPr>
          <w:sz w:val="20"/>
          <w:szCs w:val="20"/>
          <w:color w:val="auto"/>
        </w:rPr>
        <w:tab/>
      </w:r>
      <w:r>
        <w:rPr>
          <w:rFonts w:ascii="Arial" w:cs="Arial" w:eastAsia="Arial" w:hAnsi="Arial"/>
          <w:sz w:val="15"/>
          <w:szCs w:val="15"/>
          <w:b w:val="1"/>
          <w:bCs w:val="1"/>
          <w:u w:val="single" w:color="auto"/>
          <w:color w:val="auto"/>
        </w:rPr>
        <w:t>Significant Accounting Policies</w:t>
      </w:r>
    </w:p>
    <w:p>
      <w:pPr>
        <w:spacing w:after="0" w:line="283" w:lineRule="exact"/>
        <w:rPr>
          <w:sz w:val="20"/>
          <w:szCs w:val="20"/>
          <w:color w:val="auto"/>
        </w:rPr>
      </w:pPr>
    </w:p>
    <w:p>
      <w:pPr>
        <w:jc w:val="both"/>
        <w:ind w:left="820"/>
        <w:spacing w:after="0" w:line="259" w:lineRule="auto"/>
        <w:rPr>
          <w:sz w:val="20"/>
          <w:szCs w:val="20"/>
          <w:color w:val="auto"/>
        </w:rPr>
      </w:pPr>
      <w:r>
        <w:rPr>
          <w:rFonts w:ascii="Arial" w:cs="Arial" w:eastAsia="Arial" w:hAnsi="Arial"/>
          <w:sz w:val="18"/>
          <w:szCs w:val="18"/>
          <w:color w:val="auto"/>
        </w:rPr>
        <w:t>This summary of significant accounting policies of the Company is presented to assist in understanding the company’s financial statements. The financial statements and notes are representations of the company’s management, who is responsible for their integrity and objectivity. These accounting policies conform to generally accepted accounting principles and have been consistently applied to the preparation of the financial statements.</w:t>
      </w:r>
    </w:p>
    <w:p>
      <w:pPr>
        <w:spacing w:after="0" w:line="241" w:lineRule="exact"/>
        <w:rPr>
          <w:sz w:val="20"/>
          <w:szCs w:val="20"/>
          <w:color w:val="auto"/>
        </w:rPr>
      </w:pPr>
    </w:p>
    <w:p>
      <w:pPr>
        <w:ind w:left="820"/>
        <w:spacing w:after="0"/>
        <w:rPr>
          <w:sz w:val="20"/>
          <w:szCs w:val="20"/>
          <w:color w:val="auto"/>
        </w:rPr>
      </w:pPr>
      <w:r>
        <w:rPr>
          <w:rFonts w:ascii="Arial" w:cs="Arial" w:eastAsia="Arial" w:hAnsi="Arial"/>
          <w:sz w:val="18"/>
          <w:szCs w:val="18"/>
          <w:u w:val="single" w:color="auto"/>
          <w:color w:val="auto"/>
        </w:rPr>
        <w:t>Basis of Accounting</w:t>
      </w:r>
    </w:p>
    <w:p>
      <w:pPr>
        <w:spacing w:after="0" w:line="23" w:lineRule="exact"/>
        <w:rPr>
          <w:sz w:val="20"/>
          <w:szCs w:val="20"/>
          <w:color w:val="auto"/>
        </w:rPr>
      </w:pPr>
    </w:p>
    <w:p>
      <w:pPr>
        <w:jc w:val="both"/>
        <w:ind w:left="820"/>
        <w:spacing w:after="0" w:line="290" w:lineRule="auto"/>
        <w:rPr>
          <w:sz w:val="20"/>
          <w:szCs w:val="20"/>
          <w:color w:val="auto"/>
        </w:rPr>
      </w:pPr>
      <w:r>
        <w:rPr>
          <w:rFonts w:ascii="Arial" w:cs="Arial" w:eastAsia="Arial" w:hAnsi="Arial"/>
          <w:sz w:val="17"/>
          <w:szCs w:val="17"/>
          <w:color w:val="auto"/>
        </w:rPr>
        <w:t>The financial statements have been prepared on the accrual basis of accounting in conformity with accounting principles generally accepted in the United States of America. Revenues are recognized as income when earned and expenses are recognized when they are incurred.</w:t>
      </w:r>
    </w:p>
    <w:p>
      <w:pPr>
        <w:spacing w:after="0" w:line="216" w:lineRule="exact"/>
        <w:rPr>
          <w:sz w:val="20"/>
          <w:szCs w:val="20"/>
          <w:color w:val="auto"/>
        </w:rPr>
      </w:pPr>
    </w:p>
    <w:p>
      <w:pPr>
        <w:ind w:left="820"/>
        <w:spacing w:after="0"/>
        <w:rPr>
          <w:sz w:val="20"/>
          <w:szCs w:val="20"/>
          <w:color w:val="auto"/>
        </w:rPr>
      </w:pPr>
      <w:r>
        <w:rPr>
          <w:rFonts w:ascii="Arial" w:cs="Arial" w:eastAsia="Arial" w:hAnsi="Arial"/>
          <w:sz w:val="18"/>
          <w:szCs w:val="18"/>
          <w:u w:val="single" w:color="auto"/>
          <w:color w:val="auto"/>
        </w:rPr>
        <w:t>Cash and Cash Equivalents</w:t>
      </w:r>
    </w:p>
    <w:p>
      <w:pPr>
        <w:spacing w:after="0" w:line="23" w:lineRule="exact"/>
        <w:rPr>
          <w:sz w:val="20"/>
          <w:szCs w:val="20"/>
          <w:color w:val="auto"/>
        </w:rPr>
      </w:pPr>
    </w:p>
    <w:p>
      <w:pPr>
        <w:ind w:left="820"/>
        <w:spacing w:after="0"/>
        <w:rPr>
          <w:sz w:val="20"/>
          <w:szCs w:val="20"/>
          <w:color w:val="auto"/>
        </w:rPr>
      </w:pPr>
      <w:r>
        <w:rPr>
          <w:rFonts w:ascii="Arial" w:cs="Arial" w:eastAsia="Arial" w:hAnsi="Arial"/>
          <w:sz w:val="18"/>
          <w:szCs w:val="18"/>
          <w:color w:val="auto"/>
        </w:rPr>
        <w:t>The Company consider cash on hand, cash in banks, as cash and cash equivalents.</w:t>
      </w:r>
    </w:p>
    <w:p>
      <w:pPr>
        <w:spacing w:after="0" w:line="200" w:lineRule="exact"/>
        <w:rPr>
          <w:sz w:val="20"/>
          <w:szCs w:val="20"/>
          <w:color w:val="auto"/>
        </w:rPr>
      </w:pPr>
    </w:p>
    <w:p>
      <w:pPr>
        <w:spacing w:after="0" w:line="30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246620" cy="8890"/>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634" w:right="239" w:bottom="1440" w:gutter="0" w:footer="0" w:header="0"/>
        </w:sectPr>
      </w:pPr>
    </w:p>
    <w:bookmarkStart w:id="48" w:name="page49"/>
    <w:bookmarkEnd w:id="48"/>
    <w:p>
      <w:pPr>
        <w:jc w:val="center"/>
        <w:spacing w:after="0"/>
        <w:rPr>
          <w:sz w:val="20"/>
          <w:szCs w:val="20"/>
          <w:color w:val="auto"/>
        </w:rPr>
      </w:pPr>
      <w:r>
        <w:rPr>
          <w:rFonts w:ascii="Arial" w:cs="Arial" w:eastAsia="Arial" w:hAnsi="Arial"/>
          <w:sz w:val="18"/>
          <w:szCs w:val="18"/>
          <w:b w:val="1"/>
          <w:bCs w:val="1"/>
          <w:color w:val="auto"/>
        </w:rPr>
        <w:t>OPTIMIZERx CORPORATION</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OPTIMIZER SYSTEMS, LLC</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 DEVELOPMENT STAGE COMPANY)</w:t>
      </w:r>
    </w:p>
    <w:p>
      <w:pPr>
        <w:spacing w:after="0" w:line="9"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NOTES TO FINANCIAL STATEMENTS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DECEMBER 31, 2007</w:t>
      </w:r>
    </w:p>
    <w:p>
      <w:pPr>
        <w:spacing w:after="0" w:line="261" w:lineRule="exact"/>
        <w:rPr>
          <w:sz w:val="20"/>
          <w:szCs w:val="20"/>
          <w:color w:val="auto"/>
        </w:rPr>
      </w:pPr>
    </w:p>
    <w:p>
      <w:pPr>
        <w:spacing w:after="0"/>
        <w:tabs>
          <w:tab w:leader="none" w:pos="860" w:val="left"/>
        </w:tabs>
        <w:rPr>
          <w:sz w:val="20"/>
          <w:szCs w:val="20"/>
          <w:color w:val="auto"/>
        </w:rPr>
      </w:pPr>
      <w:r>
        <w:rPr>
          <w:rFonts w:ascii="Arial" w:cs="Arial" w:eastAsia="Arial" w:hAnsi="Arial"/>
          <w:sz w:val="18"/>
          <w:szCs w:val="18"/>
          <w:b w:val="1"/>
          <w:bCs w:val="1"/>
          <w:color w:val="auto"/>
        </w:rPr>
        <w:t>Note 2:</w:t>
      </w:r>
      <w:r>
        <w:rPr>
          <w:sz w:val="20"/>
          <w:szCs w:val="20"/>
          <w:color w:val="auto"/>
        </w:rPr>
        <w:tab/>
      </w:r>
      <w:r>
        <w:rPr>
          <w:rFonts w:ascii="Arial" w:cs="Arial" w:eastAsia="Arial" w:hAnsi="Arial"/>
          <w:sz w:val="15"/>
          <w:szCs w:val="15"/>
          <w:b w:val="1"/>
          <w:bCs w:val="1"/>
          <w:u w:val="single" w:color="auto"/>
          <w:color w:val="auto"/>
        </w:rPr>
        <w:t>Significant Accounting Policies (continued)</w:t>
      </w:r>
    </w:p>
    <w:p>
      <w:pPr>
        <w:spacing w:after="0" w:line="283" w:lineRule="exact"/>
        <w:rPr>
          <w:sz w:val="20"/>
          <w:szCs w:val="20"/>
          <w:color w:val="auto"/>
        </w:rPr>
      </w:pPr>
    </w:p>
    <w:p>
      <w:pPr>
        <w:ind w:left="820"/>
        <w:spacing w:after="0"/>
        <w:rPr>
          <w:sz w:val="20"/>
          <w:szCs w:val="20"/>
          <w:color w:val="auto"/>
        </w:rPr>
      </w:pPr>
      <w:r>
        <w:rPr>
          <w:rFonts w:ascii="Arial" w:cs="Arial" w:eastAsia="Arial" w:hAnsi="Arial"/>
          <w:sz w:val="18"/>
          <w:szCs w:val="18"/>
          <w:u w:val="single" w:color="auto"/>
          <w:color w:val="auto"/>
        </w:rPr>
        <w:t>Fair Value of Financial Instruments</w:t>
      </w:r>
    </w:p>
    <w:p>
      <w:pPr>
        <w:spacing w:after="0" w:line="23" w:lineRule="exact"/>
        <w:rPr>
          <w:sz w:val="20"/>
          <w:szCs w:val="20"/>
          <w:color w:val="auto"/>
        </w:rPr>
      </w:pPr>
    </w:p>
    <w:p>
      <w:pPr>
        <w:jc w:val="both"/>
        <w:ind w:left="820"/>
        <w:spacing w:after="0" w:line="255" w:lineRule="auto"/>
        <w:rPr>
          <w:sz w:val="20"/>
          <w:szCs w:val="20"/>
          <w:color w:val="auto"/>
        </w:rPr>
      </w:pPr>
      <w:r>
        <w:rPr>
          <w:rFonts w:ascii="Arial" w:cs="Arial" w:eastAsia="Arial" w:hAnsi="Arial"/>
          <w:sz w:val="18"/>
          <w:szCs w:val="18"/>
          <w:color w:val="auto"/>
        </w:rPr>
        <w:t>The fair value of cash, accounts receivable and accounts payable approximates the carrying amount of these financial instruments due to their short-term nature. The fair value of long-term debt, which approximates its carrying value, is based on current rates at which we could borrow funds with similar remaining maturities.</w:t>
      </w:r>
    </w:p>
    <w:p>
      <w:pPr>
        <w:spacing w:after="0" w:line="244" w:lineRule="exact"/>
        <w:rPr>
          <w:sz w:val="20"/>
          <w:szCs w:val="20"/>
          <w:color w:val="auto"/>
        </w:rPr>
      </w:pPr>
    </w:p>
    <w:p>
      <w:pPr>
        <w:ind w:left="820"/>
        <w:spacing w:after="0"/>
        <w:rPr>
          <w:sz w:val="20"/>
          <w:szCs w:val="20"/>
          <w:color w:val="auto"/>
        </w:rPr>
      </w:pPr>
      <w:r>
        <w:rPr>
          <w:rFonts w:ascii="Arial" w:cs="Arial" w:eastAsia="Arial" w:hAnsi="Arial"/>
          <w:sz w:val="18"/>
          <w:szCs w:val="18"/>
          <w:u w:val="single" w:color="auto"/>
          <w:color w:val="auto"/>
        </w:rPr>
        <w:t>Property and Equipment</w:t>
      </w:r>
    </w:p>
    <w:p>
      <w:pPr>
        <w:spacing w:after="0" w:line="23" w:lineRule="exact"/>
        <w:rPr>
          <w:sz w:val="20"/>
          <w:szCs w:val="20"/>
          <w:color w:val="auto"/>
        </w:rPr>
      </w:pPr>
    </w:p>
    <w:p>
      <w:pPr>
        <w:jc w:val="both"/>
        <w:ind w:left="820"/>
        <w:spacing w:after="0" w:line="323" w:lineRule="auto"/>
        <w:rPr>
          <w:sz w:val="20"/>
          <w:szCs w:val="20"/>
          <w:color w:val="auto"/>
        </w:rPr>
      </w:pPr>
      <w:r>
        <w:rPr>
          <w:rFonts w:ascii="Arial" w:cs="Arial" w:eastAsia="Arial" w:hAnsi="Arial"/>
          <w:sz w:val="16"/>
          <w:szCs w:val="16"/>
          <w:color w:val="auto"/>
        </w:rPr>
        <w:t>The capital assets have been capitalized and are being depreciated over their estimated useful lives using straight line methods of depreciation for book purposes. As of October 18, 2007, the Company acquired the majority of its capital assets at the lower market cost from the LLC.</w:t>
      </w:r>
    </w:p>
    <w:p>
      <w:pPr>
        <w:spacing w:after="0" w:line="193" w:lineRule="exact"/>
        <w:rPr>
          <w:sz w:val="20"/>
          <w:szCs w:val="20"/>
          <w:color w:val="auto"/>
        </w:rPr>
      </w:pPr>
    </w:p>
    <w:p>
      <w:pPr>
        <w:ind w:left="820"/>
        <w:spacing w:after="0"/>
        <w:rPr>
          <w:sz w:val="20"/>
          <w:szCs w:val="20"/>
          <w:color w:val="auto"/>
        </w:rPr>
      </w:pPr>
      <w:r>
        <w:rPr>
          <w:rFonts w:ascii="Arial" w:cs="Arial" w:eastAsia="Arial" w:hAnsi="Arial"/>
          <w:sz w:val="18"/>
          <w:szCs w:val="18"/>
          <w:u w:val="single" w:color="auto"/>
          <w:color w:val="auto"/>
        </w:rPr>
        <w:t>Research and Development</w:t>
      </w:r>
    </w:p>
    <w:p>
      <w:pPr>
        <w:spacing w:after="0" w:line="23" w:lineRule="exact"/>
        <w:rPr>
          <w:sz w:val="20"/>
          <w:szCs w:val="20"/>
          <w:color w:val="auto"/>
        </w:rPr>
      </w:pPr>
    </w:p>
    <w:p>
      <w:pPr>
        <w:jc w:val="both"/>
        <w:ind w:left="820" w:right="20"/>
        <w:spacing w:after="0" w:line="290" w:lineRule="auto"/>
        <w:rPr>
          <w:sz w:val="20"/>
          <w:szCs w:val="20"/>
          <w:color w:val="auto"/>
        </w:rPr>
      </w:pPr>
      <w:r>
        <w:rPr>
          <w:rFonts w:ascii="Arial" w:cs="Arial" w:eastAsia="Arial" w:hAnsi="Arial"/>
          <w:sz w:val="17"/>
          <w:szCs w:val="17"/>
          <w:color w:val="auto"/>
        </w:rPr>
        <w:t>All of our key members are part of our continual research development team and monitor new technologies, trends, services and partnerships that can provide us with additional services, value to healthcare and pharmaceutical industries and to the patients we serve.</w:t>
      </w:r>
    </w:p>
    <w:p>
      <w:pPr>
        <w:spacing w:after="0" w:line="216" w:lineRule="exact"/>
        <w:rPr>
          <w:sz w:val="20"/>
          <w:szCs w:val="20"/>
          <w:color w:val="auto"/>
        </w:rPr>
      </w:pPr>
    </w:p>
    <w:p>
      <w:pPr>
        <w:jc w:val="both"/>
        <w:ind w:left="820"/>
        <w:spacing w:after="0" w:line="277" w:lineRule="auto"/>
        <w:rPr>
          <w:sz w:val="20"/>
          <w:szCs w:val="20"/>
          <w:color w:val="auto"/>
        </w:rPr>
      </w:pPr>
      <w:r>
        <w:rPr>
          <w:rFonts w:ascii="Arial" w:cs="Arial" w:eastAsia="Arial" w:hAnsi="Arial"/>
          <w:sz w:val="18"/>
          <w:szCs w:val="18"/>
          <w:color w:val="auto"/>
        </w:rPr>
        <w:t>We are currently in launch phase with ADHERxE to allow pharmaceutical and healthcare manufacturers unique way to engage and monitor patients each month in exchange for activation of their next savings offer.</w:t>
      </w:r>
    </w:p>
    <w:p>
      <w:pPr>
        <w:spacing w:after="0" w:line="224" w:lineRule="exact"/>
        <w:rPr>
          <w:sz w:val="20"/>
          <w:szCs w:val="20"/>
          <w:color w:val="auto"/>
        </w:rPr>
      </w:pPr>
    </w:p>
    <w:p>
      <w:pPr>
        <w:jc w:val="both"/>
        <w:ind w:left="820"/>
        <w:spacing w:after="0" w:line="297" w:lineRule="auto"/>
        <w:rPr>
          <w:sz w:val="20"/>
          <w:szCs w:val="20"/>
          <w:color w:val="auto"/>
        </w:rPr>
      </w:pPr>
      <w:r>
        <w:rPr>
          <w:rFonts w:ascii="Arial" w:cs="Arial" w:eastAsia="Arial" w:hAnsi="Arial"/>
          <w:sz w:val="16"/>
          <w:szCs w:val="16"/>
          <w:color w:val="auto"/>
        </w:rPr>
        <w:t>We seek to educate our team through understanding of all market dynamics that have the potential to affect our business both short term and longer term. Our primary goal is to help patients better afford and access the medicines their doctor prescribes, as well as other healthcare products and services they need. Based on this, we continually seek better ways to meet this mission through technology, better user experience and new ways we can engage industries to provide new support program to patients needing their products. Like any company, we are seeking new services and solutions to offer. However, our three current platforms provide robust opportunities and growth during the next five years.</w:t>
      </w:r>
    </w:p>
    <w:p>
      <w:pPr>
        <w:spacing w:after="0" w:line="212" w:lineRule="exact"/>
        <w:rPr>
          <w:sz w:val="20"/>
          <w:szCs w:val="20"/>
          <w:color w:val="auto"/>
        </w:rPr>
      </w:pPr>
    </w:p>
    <w:p>
      <w:pPr>
        <w:ind w:left="820"/>
        <w:spacing w:after="0"/>
        <w:rPr>
          <w:sz w:val="20"/>
          <w:szCs w:val="20"/>
          <w:color w:val="auto"/>
        </w:rPr>
      </w:pPr>
      <w:r>
        <w:rPr>
          <w:rFonts w:ascii="Arial" w:cs="Arial" w:eastAsia="Arial" w:hAnsi="Arial"/>
          <w:sz w:val="18"/>
          <w:szCs w:val="18"/>
          <w:u w:val="single" w:color="auto"/>
          <w:color w:val="auto"/>
        </w:rPr>
        <w:t>Revenue Recognition</w:t>
      </w:r>
    </w:p>
    <w:p>
      <w:pPr>
        <w:spacing w:after="0" w:line="23" w:lineRule="exact"/>
        <w:rPr>
          <w:sz w:val="20"/>
          <w:szCs w:val="20"/>
          <w:color w:val="auto"/>
        </w:rPr>
      </w:pPr>
    </w:p>
    <w:p>
      <w:pPr>
        <w:jc w:val="both"/>
        <w:ind w:left="820"/>
        <w:spacing w:after="0" w:line="323" w:lineRule="auto"/>
        <w:rPr>
          <w:sz w:val="20"/>
          <w:szCs w:val="20"/>
          <w:color w:val="auto"/>
        </w:rPr>
      </w:pPr>
      <w:r>
        <w:rPr>
          <w:rFonts w:ascii="Arial" w:cs="Arial" w:eastAsia="Arial" w:hAnsi="Arial"/>
          <w:sz w:val="16"/>
          <w:szCs w:val="16"/>
          <w:color w:val="auto"/>
        </w:rPr>
        <w:t>Substantially all revenue is recognized when it is earned. All Revenues are generated through our Website activities. Our processes are monitored by outside third parties who collect revenues from our client on a per activity basis and report and forward the revenue to our account.</w:t>
      </w:r>
    </w:p>
    <w:p>
      <w:pPr>
        <w:spacing w:after="0" w:line="193" w:lineRule="exact"/>
        <w:rPr>
          <w:sz w:val="20"/>
          <w:szCs w:val="20"/>
          <w:color w:val="auto"/>
        </w:rPr>
      </w:pPr>
    </w:p>
    <w:p>
      <w:pPr>
        <w:ind w:left="820"/>
        <w:spacing w:after="0"/>
        <w:rPr>
          <w:sz w:val="20"/>
          <w:szCs w:val="20"/>
          <w:color w:val="auto"/>
        </w:rPr>
      </w:pPr>
      <w:r>
        <w:rPr>
          <w:rFonts w:ascii="Arial" w:cs="Arial" w:eastAsia="Arial" w:hAnsi="Arial"/>
          <w:sz w:val="18"/>
          <w:szCs w:val="18"/>
          <w:u w:val="single" w:color="auto"/>
          <w:color w:val="auto"/>
        </w:rPr>
        <w:t>Management Estimates</w:t>
      </w:r>
    </w:p>
    <w:p>
      <w:pPr>
        <w:spacing w:after="0" w:line="23" w:lineRule="exact"/>
        <w:rPr>
          <w:sz w:val="20"/>
          <w:szCs w:val="20"/>
          <w:color w:val="auto"/>
        </w:rPr>
      </w:pPr>
    </w:p>
    <w:p>
      <w:pPr>
        <w:jc w:val="both"/>
        <w:ind w:left="820"/>
        <w:spacing w:after="0" w:line="273" w:lineRule="auto"/>
        <w:rPr>
          <w:sz w:val="20"/>
          <w:szCs w:val="20"/>
          <w:color w:val="auto"/>
        </w:rPr>
      </w:pPr>
      <w:r>
        <w:rPr>
          <w:rFonts w:ascii="Arial" w:cs="Arial" w:eastAsia="Arial" w:hAnsi="Arial"/>
          <w:sz w:val="17"/>
          <w:szCs w:val="17"/>
          <w:color w:val="auto"/>
        </w:rPr>
        <w:t>The preparation of financial statements in conformity with generally accepted accounting principles requires management to make estimates and assumptions that affect the reported amounts of assets and liabilities at the date of the financial statements and the reported amounts of revenues and expenses during the reporting period. Estimates and assumptions have been made in determining the depreciable lives of such assets, the allowance for doubtful accounts receivable. Actual results could differ from those estimates.</w:t>
      </w:r>
    </w:p>
    <w:p>
      <w:pPr>
        <w:spacing w:after="0" w:line="231" w:lineRule="exact"/>
        <w:rPr>
          <w:sz w:val="20"/>
          <w:szCs w:val="20"/>
          <w:color w:val="auto"/>
        </w:rPr>
      </w:pPr>
    </w:p>
    <w:p>
      <w:pPr>
        <w:ind w:left="820"/>
        <w:spacing w:after="0"/>
        <w:rPr>
          <w:sz w:val="20"/>
          <w:szCs w:val="20"/>
          <w:color w:val="auto"/>
        </w:rPr>
      </w:pPr>
      <w:r>
        <w:rPr>
          <w:rFonts w:ascii="Arial" w:cs="Arial" w:eastAsia="Arial" w:hAnsi="Arial"/>
          <w:sz w:val="18"/>
          <w:szCs w:val="18"/>
          <w:u w:val="single" w:color="auto"/>
          <w:color w:val="auto"/>
        </w:rPr>
        <w:t>Recently Issued Accounting Guidance</w:t>
      </w:r>
    </w:p>
    <w:p>
      <w:pPr>
        <w:spacing w:after="0" w:line="23" w:lineRule="exact"/>
        <w:rPr>
          <w:sz w:val="20"/>
          <w:szCs w:val="20"/>
          <w:color w:val="auto"/>
        </w:rPr>
      </w:pPr>
    </w:p>
    <w:p>
      <w:pPr>
        <w:jc w:val="both"/>
        <w:ind w:left="820"/>
        <w:spacing w:after="0" w:line="261" w:lineRule="auto"/>
        <w:rPr>
          <w:sz w:val="20"/>
          <w:szCs w:val="20"/>
          <w:color w:val="auto"/>
        </w:rPr>
      </w:pPr>
      <w:r>
        <w:rPr>
          <w:rFonts w:ascii="Arial" w:cs="Arial" w:eastAsia="Arial" w:hAnsi="Arial"/>
          <w:sz w:val="18"/>
          <w:szCs w:val="18"/>
          <w:color w:val="auto"/>
        </w:rPr>
        <w:t>The Company does not expect the adoption of recently issued accounting pronouncements to have a significant impact on the Company’s results of operation, financial position or cash flow.</w:t>
      </w:r>
    </w:p>
    <w:p>
      <w:pPr>
        <w:spacing w:after="0" w:line="200" w:lineRule="exact"/>
        <w:rPr>
          <w:sz w:val="20"/>
          <w:szCs w:val="20"/>
          <w:color w:val="auto"/>
        </w:rPr>
      </w:pPr>
    </w:p>
    <w:p>
      <w:pPr>
        <w:spacing w:after="0" w:line="28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246620" cy="8890"/>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634" w:right="239" w:bottom="1440" w:gutter="0" w:footer="0" w:header="0"/>
        </w:sectPr>
      </w:pPr>
    </w:p>
    <w:bookmarkStart w:id="49" w:name="page50"/>
    <w:bookmarkEnd w:id="49"/>
    <w:p>
      <w:pPr>
        <w:jc w:val="center"/>
        <w:spacing w:after="0"/>
        <w:rPr>
          <w:sz w:val="20"/>
          <w:szCs w:val="20"/>
          <w:color w:val="auto"/>
        </w:rPr>
      </w:pPr>
      <w:r>
        <w:rPr>
          <w:rFonts w:ascii="Arial" w:cs="Arial" w:eastAsia="Arial" w:hAnsi="Arial"/>
          <w:sz w:val="18"/>
          <w:szCs w:val="18"/>
          <w:b w:val="1"/>
          <w:bCs w:val="1"/>
          <w:color w:val="auto"/>
        </w:rPr>
        <w:t>OPTIMIZERx CORPORATION</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OPTIMIZER SYSTEMS, LLC</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 DEVELOPMENT STAGE COMPANY)</w:t>
      </w:r>
    </w:p>
    <w:p>
      <w:pPr>
        <w:spacing w:after="0" w:line="9"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NOTES TO FINANCIAL STATEMENTS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DECEMBER 31, 2007</w:t>
      </w:r>
    </w:p>
    <w:p>
      <w:pPr>
        <w:spacing w:after="0" w:line="261" w:lineRule="exact"/>
        <w:rPr>
          <w:sz w:val="20"/>
          <w:szCs w:val="20"/>
          <w:color w:val="auto"/>
        </w:rPr>
      </w:pPr>
    </w:p>
    <w:p>
      <w:pPr>
        <w:spacing w:after="0"/>
        <w:tabs>
          <w:tab w:leader="none" w:pos="900" w:val="left"/>
        </w:tabs>
        <w:rPr>
          <w:sz w:val="20"/>
          <w:szCs w:val="20"/>
          <w:color w:val="auto"/>
        </w:rPr>
      </w:pPr>
      <w:r>
        <w:rPr>
          <w:rFonts w:ascii="Arial" w:cs="Arial" w:eastAsia="Arial" w:hAnsi="Arial"/>
          <w:sz w:val="18"/>
          <w:szCs w:val="18"/>
          <w:b w:val="1"/>
          <w:bCs w:val="1"/>
          <w:color w:val="auto"/>
        </w:rPr>
        <w:t>Note 2:</w:t>
      </w:r>
      <w:r>
        <w:rPr>
          <w:sz w:val="20"/>
          <w:szCs w:val="20"/>
          <w:color w:val="auto"/>
        </w:rPr>
        <w:tab/>
      </w:r>
      <w:r>
        <w:rPr>
          <w:rFonts w:ascii="Arial" w:cs="Arial" w:eastAsia="Arial" w:hAnsi="Arial"/>
          <w:sz w:val="15"/>
          <w:szCs w:val="15"/>
          <w:b w:val="1"/>
          <w:bCs w:val="1"/>
          <w:u w:val="single" w:color="auto"/>
          <w:color w:val="auto"/>
        </w:rPr>
        <w:t>Significant Accounting Policies (continued)</w:t>
      </w:r>
    </w:p>
    <w:p>
      <w:pPr>
        <w:spacing w:after="0" w:line="283" w:lineRule="exact"/>
        <w:rPr>
          <w:sz w:val="20"/>
          <w:szCs w:val="20"/>
          <w:color w:val="auto"/>
        </w:rPr>
      </w:pPr>
    </w:p>
    <w:p>
      <w:pPr>
        <w:ind w:left="820"/>
        <w:spacing w:after="0"/>
        <w:rPr>
          <w:sz w:val="20"/>
          <w:szCs w:val="20"/>
          <w:color w:val="auto"/>
        </w:rPr>
      </w:pPr>
      <w:r>
        <w:rPr>
          <w:rFonts w:ascii="Arial" w:cs="Arial" w:eastAsia="Arial" w:hAnsi="Arial"/>
          <w:sz w:val="18"/>
          <w:szCs w:val="18"/>
          <w:u w:val="single" w:color="auto"/>
          <w:color w:val="auto"/>
        </w:rPr>
        <w:t>Concentration of credit risks</w:t>
      </w:r>
    </w:p>
    <w:p>
      <w:pPr>
        <w:spacing w:after="0" w:line="23" w:lineRule="exact"/>
        <w:rPr>
          <w:sz w:val="20"/>
          <w:szCs w:val="20"/>
          <w:color w:val="auto"/>
        </w:rPr>
      </w:pPr>
    </w:p>
    <w:p>
      <w:pPr>
        <w:jc w:val="both"/>
        <w:ind w:left="820"/>
        <w:spacing w:after="0" w:line="255" w:lineRule="auto"/>
        <w:rPr>
          <w:sz w:val="20"/>
          <w:szCs w:val="20"/>
          <w:color w:val="auto"/>
        </w:rPr>
      </w:pPr>
      <w:r>
        <w:rPr>
          <w:rFonts w:ascii="Arial" w:cs="Arial" w:eastAsia="Arial" w:hAnsi="Arial"/>
          <w:sz w:val="18"/>
          <w:szCs w:val="18"/>
          <w:color w:val="auto"/>
        </w:rPr>
        <w:t>The Company maintains its cash in bank deposit accounts, which, at times, may exceed federally insured limits. The Company has not experienced any losses in such accounts; however, amounts in excess of the federally insured limit may be at risk if the bank experiences financial difficulties.</w:t>
      </w:r>
    </w:p>
    <w:p>
      <w:pPr>
        <w:spacing w:after="0" w:line="240" w:lineRule="exact"/>
        <w:rPr>
          <w:sz w:val="20"/>
          <w:szCs w:val="20"/>
          <w:color w:val="auto"/>
        </w:rPr>
      </w:pPr>
    </w:p>
    <w:p>
      <w:pPr>
        <w:spacing w:after="0"/>
        <w:tabs>
          <w:tab w:leader="none" w:pos="860" w:val="left"/>
        </w:tabs>
        <w:rPr>
          <w:sz w:val="20"/>
          <w:szCs w:val="20"/>
          <w:color w:val="auto"/>
        </w:rPr>
      </w:pPr>
      <w:r>
        <w:rPr>
          <w:rFonts w:ascii="Arial" w:cs="Arial" w:eastAsia="Arial" w:hAnsi="Arial"/>
          <w:sz w:val="18"/>
          <w:szCs w:val="18"/>
          <w:b w:val="1"/>
          <w:bCs w:val="1"/>
          <w:color w:val="auto"/>
        </w:rPr>
        <w:t>Note 3:</w:t>
      </w:r>
      <w:r>
        <w:rPr>
          <w:sz w:val="20"/>
          <w:szCs w:val="20"/>
          <w:color w:val="auto"/>
        </w:rPr>
        <w:tab/>
      </w:r>
      <w:r>
        <w:rPr>
          <w:rFonts w:ascii="Arial" w:cs="Arial" w:eastAsia="Arial" w:hAnsi="Arial"/>
          <w:sz w:val="16"/>
          <w:szCs w:val="16"/>
          <w:b w:val="1"/>
          <w:bCs w:val="1"/>
          <w:u w:val="single" w:color="auto"/>
          <w:color w:val="auto"/>
        </w:rPr>
        <w:t>Property and Equipment</w:t>
      </w:r>
    </w:p>
    <w:p>
      <w:pPr>
        <w:spacing w:after="0" w:line="283" w:lineRule="exact"/>
        <w:rPr>
          <w:sz w:val="20"/>
          <w:szCs w:val="20"/>
          <w:color w:val="auto"/>
        </w:rPr>
      </w:pPr>
    </w:p>
    <w:p>
      <w:pPr>
        <w:ind w:left="820"/>
        <w:spacing w:after="0"/>
        <w:rPr>
          <w:sz w:val="20"/>
          <w:szCs w:val="20"/>
          <w:color w:val="auto"/>
        </w:rPr>
      </w:pPr>
      <w:r>
        <w:rPr>
          <w:rFonts w:ascii="Arial" w:cs="Arial" w:eastAsia="Arial" w:hAnsi="Arial"/>
          <w:sz w:val="18"/>
          <w:szCs w:val="18"/>
          <w:color w:val="auto"/>
        </w:rPr>
        <w:t>The Company and the LLC owned equipment recorded at cost which consisted of the following at December 31:</w:t>
      </w:r>
    </w:p>
    <w:p>
      <w:pPr>
        <w:spacing w:after="0" w:line="275" w:lineRule="exact"/>
        <w:rPr>
          <w:sz w:val="20"/>
          <w:szCs w:val="20"/>
          <w:color w:val="auto"/>
        </w:rPr>
      </w:pPr>
    </w:p>
    <w:tbl>
      <w:tblPr>
        <w:tblLayout w:type="fixed"/>
        <w:tblInd w:w="1440" w:type="dxa"/>
        <w:tblCellMar>
          <w:top w:w="0" w:type="dxa"/>
          <w:left w:w="0" w:type="dxa"/>
          <w:bottom w:w="0" w:type="dxa"/>
          <w:right w:w="0" w:type="dxa"/>
        </w:tblCellMar>
      </w:tblPr>
      <w:tr>
        <w:trPr>
          <w:trHeight w:val="241"/>
        </w:trPr>
        <w:tc>
          <w:tcPr>
            <w:tcW w:w="5960" w:type="dxa"/>
            <w:vAlign w:val="bottom"/>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920" w:type="dxa"/>
            <w:vAlign w:val="bottom"/>
            <w:tcBorders>
              <w:bottom w:val="single" w:sz="8" w:color="auto"/>
            </w:tcBorders>
          </w:tcPr>
          <w:p>
            <w:pPr>
              <w:jc w:val="right"/>
              <w:ind w:right="310"/>
              <w:spacing w:after="0"/>
              <w:rPr>
                <w:sz w:val="20"/>
                <w:szCs w:val="20"/>
                <w:color w:val="auto"/>
              </w:rPr>
            </w:pPr>
            <w:r>
              <w:rPr>
                <w:rFonts w:ascii="Arial" w:cs="Arial" w:eastAsia="Arial" w:hAnsi="Arial"/>
                <w:sz w:val="18"/>
                <w:szCs w:val="18"/>
                <w:b w:val="1"/>
                <w:bCs w:val="1"/>
                <w:color w:val="auto"/>
              </w:rPr>
              <w:t>2007</w:t>
            </w:r>
          </w:p>
        </w:tc>
        <w:tc>
          <w:tcPr>
            <w:tcW w:w="1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920" w:type="dxa"/>
            <w:vAlign w:val="bottom"/>
            <w:tcBorders>
              <w:bottom w:val="single" w:sz="8" w:color="auto"/>
            </w:tcBorders>
          </w:tcPr>
          <w:p>
            <w:pPr>
              <w:jc w:val="right"/>
              <w:ind w:right="310"/>
              <w:spacing w:after="0"/>
              <w:rPr>
                <w:sz w:val="20"/>
                <w:szCs w:val="20"/>
                <w:color w:val="auto"/>
              </w:rPr>
            </w:pPr>
            <w:r>
              <w:rPr>
                <w:rFonts w:ascii="Arial" w:cs="Arial" w:eastAsia="Arial" w:hAnsi="Arial"/>
                <w:sz w:val="18"/>
                <w:szCs w:val="18"/>
                <w:b w:val="1"/>
                <w:bCs w:val="1"/>
                <w:color w:val="auto"/>
              </w:rPr>
              <w:t>2006</w:t>
            </w:r>
          </w:p>
        </w:tc>
        <w:tc>
          <w:tcPr>
            <w:tcW w:w="100" w:type="dxa"/>
            <w:vAlign w:val="bottom"/>
          </w:tcPr>
          <w:p>
            <w:pPr>
              <w:spacing w:after="0"/>
              <w:rPr>
                <w:sz w:val="20"/>
                <w:szCs w:val="20"/>
                <w:color w:val="auto"/>
              </w:rPr>
            </w:pPr>
          </w:p>
        </w:tc>
      </w:tr>
      <w:tr>
        <w:trPr>
          <w:trHeight w:val="216"/>
        </w:trPr>
        <w:tc>
          <w:tcPr>
            <w:tcW w:w="5960" w:type="dxa"/>
            <w:vAlign w:val="bottom"/>
            <w:shd w:val="clear" w:color="auto" w:fill="EEEEEE"/>
          </w:tcPr>
          <w:p>
            <w:pPr>
              <w:spacing w:after="0"/>
              <w:rPr>
                <w:sz w:val="20"/>
                <w:szCs w:val="20"/>
                <w:color w:val="auto"/>
              </w:rPr>
            </w:pPr>
            <w:r>
              <w:rPr>
                <w:rFonts w:ascii="Arial" w:cs="Arial" w:eastAsia="Arial" w:hAnsi="Arial"/>
                <w:sz w:val="18"/>
                <w:szCs w:val="18"/>
                <w:color w:val="auto"/>
              </w:rPr>
              <w:t>Computer Equipment</w:t>
            </w:r>
          </w:p>
        </w:tc>
        <w:tc>
          <w:tcPr>
            <w:tcW w:w="220" w:type="dxa"/>
            <w:vAlign w:val="bottom"/>
            <w:shd w:val="clear" w:color="auto" w:fill="EEEEEE"/>
          </w:tcPr>
          <w:p>
            <w:pPr>
              <w:jc w:val="right"/>
              <w:ind w:right="65"/>
              <w:spacing w:after="0"/>
              <w:rPr>
                <w:sz w:val="20"/>
                <w:szCs w:val="20"/>
                <w:color w:val="auto"/>
              </w:rPr>
            </w:pPr>
            <w:r>
              <w:rPr>
                <w:rFonts w:ascii="Arial" w:cs="Arial" w:eastAsia="Arial" w:hAnsi="Arial"/>
                <w:sz w:val="15"/>
                <w:szCs w:val="15"/>
                <w:color w:val="auto"/>
                <w:w w:val="71"/>
              </w:rPr>
              <w:t>$</w:t>
            </w:r>
          </w:p>
        </w:tc>
        <w:tc>
          <w:tcPr>
            <w:tcW w:w="920" w:type="dxa"/>
            <w:vAlign w:val="bottom"/>
            <w:shd w:val="clear" w:color="auto" w:fill="EEEEEE"/>
          </w:tcPr>
          <w:p>
            <w:pPr>
              <w:jc w:val="right"/>
              <w:spacing w:after="0"/>
              <w:rPr>
                <w:sz w:val="20"/>
                <w:szCs w:val="20"/>
                <w:color w:val="auto"/>
              </w:rPr>
            </w:pPr>
            <w:r>
              <w:rPr>
                <w:rFonts w:ascii="Arial" w:cs="Arial" w:eastAsia="Arial" w:hAnsi="Arial"/>
                <w:sz w:val="18"/>
                <w:szCs w:val="18"/>
                <w:color w:val="auto"/>
              </w:rPr>
              <w:t>1,974</w:t>
            </w:r>
          </w:p>
        </w:tc>
        <w:tc>
          <w:tcPr>
            <w:tcW w:w="120" w:type="dxa"/>
            <w:vAlign w:val="bottom"/>
            <w:shd w:val="clear" w:color="auto" w:fill="EEEEEE"/>
          </w:tcPr>
          <w:p>
            <w:pPr>
              <w:spacing w:after="0"/>
              <w:rPr>
                <w:sz w:val="18"/>
                <w:szCs w:val="18"/>
                <w:color w:val="auto"/>
              </w:rPr>
            </w:pPr>
          </w:p>
        </w:tc>
        <w:tc>
          <w:tcPr>
            <w:tcW w:w="300" w:type="dxa"/>
            <w:vAlign w:val="bottom"/>
            <w:gridSpan w:val="2"/>
            <w:shd w:val="clear" w:color="auto" w:fill="EEEEEE"/>
          </w:tcPr>
          <w:p>
            <w:pPr>
              <w:jc w:val="right"/>
              <w:ind w:right="140"/>
              <w:spacing w:after="0"/>
              <w:rPr>
                <w:sz w:val="20"/>
                <w:szCs w:val="20"/>
                <w:color w:val="auto"/>
              </w:rPr>
            </w:pPr>
            <w:r>
              <w:rPr>
                <w:rFonts w:ascii="Arial" w:cs="Arial" w:eastAsia="Arial" w:hAnsi="Arial"/>
                <w:sz w:val="18"/>
                <w:szCs w:val="18"/>
                <w:color w:val="auto"/>
              </w:rPr>
              <w:t>$</w:t>
            </w:r>
          </w:p>
        </w:tc>
        <w:tc>
          <w:tcPr>
            <w:tcW w:w="920" w:type="dxa"/>
            <w:vAlign w:val="bottom"/>
            <w:shd w:val="clear" w:color="auto" w:fill="EEEEEE"/>
          </w:tcPr>
          <w:p>
            <w:pPr>
              <w:jc w:val="right"/>
              <w:spacing w:after="0"/>
              <w:rPr>
                <w:sz w:val="20"/>
                <w:szCs w:val="20"/>
                <w:color w:val="auto"/>
              </w:rPr>
            </w:pPr>
            <w:r>
              <w:rPr>
                <w:rFonts w:ascii="Arial" w:cs="Arial" w:eastAsia="Arial" w:hAnsi="Arial"/>
                <w:sz w:val="18"/>
                <w:szCs w:val="18"/>
                <w:color w:val="auto"/>
              </w:rPr>
              <w:t>774</w:t>
            </w:r>
          </w:p>
        </w:tc>
        <w:tc>
          <w:tcPr>
            <w:tcW w:w="100" w:type="dxa"/>
            <w:vAlign w:val="bottom"/>
            <w:shd w:val="clear" w:color="auto" w:fill="EEEEEE"/>
          </w:tcPr>
          <w:p>
            <w:pPr>
              <w:spacing w:after="0"/>
              <w:rPr>
                <w:sz w:val="18"/>
                <w:szCs w:val="18"/>
                <w:color w:val="auto"/>
              </w:rPr>
            </w:pPr>
          </w:p>
        </w:tc>
      </w:tr>
      <w:tr>
        <w:trPr>
          <w:trHeight w:val="216"/>
        </w:trPr>
        <w:tc>
          <w:tcPr>
            <w:tcW w:w="5960" w:type="dxa"/>
            <w:vAlign w:val="bottom"/>
          </w:tcPr>
          <w:p>
            <w:pPr>
              <w:spacing w:after="0"/>
              <w:rPr>
                <w:sz w:val="20"/>
                <w:szCs w:val="20"/>
                <w:color w:val="auto"/>
              </w:rPr>
            </w:pPr>
            <w:r>
              <w:rPr>
                <w:rFonts w:ascii="Arial" w:cs="Arial" w:eastAsia="Arial" w:hAnsi="Arial"/>
                <w:sz w:val="18"/>
                <w:szCs w:val="18"/>
                <w:color w:val="auto"/>
              </w:rPr>
              <w:t>Furniture &amp; Fixtures</w:t>
            </w:r>
          </w:p>
        </w:tc>
        <w:tc>
          <w:tcPr>
            <w:tcW w:w="22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4,293</w:t>
            </w: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0</w:t>
            </w:r>
          </w:p>
        </w:tc>
        <w:tc>
          <w:tcPr>
            <w:tcW w:w="100" w:type="dxa"/>
            <w:vAlign w:val="bottom"/>
          </w:tcPr>
          <w:p>
            <w:pPr>
              <w:spacing w:after="0"/>
              <w:rPr>
                <w:sz w:val="18"/>
                <w:szCs w:val="18"/>
                <w:color w:val="auto"/>
              </w:rPr>
            </w:pPr>
          </w:p>
        </w:tc>
      </w:tr>
      <w:tr>
        <w:trPr>
          <w:trHeight w:val="216"/>
        </w:trPr>
        <w:tc>
          <w:tcPr>
            <w:tcW w:w="5960" w:type="dxa"/>
            <w:vAlign w:val="bottom"/>
            <w:shd w:val="clear" w:color="auto" w:fill="EEEEEE"/>
          </w:tcPr>
          <w:p>
            <w:pPr>
              <w:ind w:left="160"/>
              <w:spacing w:after="0"/>
              <w:rPr>
                <w:sz w:val="20"/>
                <w:szCs w:val="20"/>
                <w:color w:val="auto"/>
              </w:rPr>
            </w:pPr>
            <w:r>
              <w:rPr>
                <w:rFonts w:ascii="Arial" w:cs="Arial" w:eastAsia="Arial" w:hAnsi="Arial"/>
                <w:sz w:val="18"/>
                <w:szCs w:val="18"/>
                <w:color w:val="auto"/>
              </w:rPr>
              <w:t>Subtotal</w:t>
            </w:r>
          </w:p>
        </w:tc>
        <w:tc>
          <w:tcPr>
            <w:tcW w:w="220" w:type="dxa"/>
            <w:vAlign w:val="bottom"/>
            <w:shd w:val="clear" w:color="auto" w:fill="EEEEEE"/>
          </w:tcPr>
          <w:p>
            <w:pPr>
              <w:spacing w:after="0"/>
              <w:rPr>
                <w:sz w:val="18"/>
                <w:szCs w:val="18"/>
                <w:color w:val="auto"/>
              </w:rPr>
            </w:pPr>
          </w:p>
        </w:tc>
        <w:tc>
          <w:tcPr>
            <w:tcW w:w="920" w:type="dxa"/>
            <w:vAlign w:val="bottom"/>
            <w:shd w:val="clear" w:color="auto" w:fill="EEEEEE"/>
          </w:tcPr>
          <w:p>
            <w:pPr>
              <w:jc w:val="right"/>
              <w:spacing w:after="0"/>
              <w:rPr>
                <w:sz w:val="20"/>
                <w:szCs w:val="20"/>
                <w:color w:val="auto"/>
              </w:rPr>
            </w:pPr>
            <w:r>
              <w:rPr>
                <w:rFonts w:ascii="Arial" w:cs="Arial" w:eastAsia="Arial" w:hAnsi="Arial"/>
                <w:sz w:val="18"/>
                <w:szCs w:val="18"/>
                <w:color w:val="auto"/>
              </w:rPr>
              <w:t>6,267</w:t>
            </w:r>
          </w:p>
        </w:tc>
        <w:tc>
          <w:tcPr>
            <w:tcW w:w="120" w:type="dxa"/>
            <w:vAlign w:val="bottom"/>
            <w:shd w:val="clear" w:color="auto" w:fill="EEEEEE"/>
          </w:tcPr>
          <w:p>
            <w:pPr>
              <w:spacing w:after="0"/>
              <w:rPr>
                <w:sz w:val="18"/>
                <w:szCs w:val="18"/>
                <w:color w:val="auto"/>
              </w:rPr>
            </w:pPr>
          </w:p>
        </w:tc>
        <w:tc>
          <w:tcPr>
            <w:tcW w:w="80" w:type="dxa"/>
            <w:vAlign w:val="bottom"/>
            <w:shd w:val="clear" w:color="auto" w:fill="EEEEEE"/>
          </w:tcPr>
          <w:p>
            <w:pPr>
              <w:spacing w:after="0"/>
              <w:rPr>
                <w:sz w:val="18"/>
                <w:szCs w:val="18"/>
                <w:color w:val="auto"/>
              </w:rPr>
            </w:pPr>
          </w:p>
        </w:tc>
        <w:tc>
          <w:tcPr>
            <w:tcW w:w="220" w:type="dxa"/>
            <w:vAlign w:val="bottom"/>
            <w:shd w:val="clear" w:color="auto" w:fill="EEEEEE"/>
          </w:tcPr>
          <w:p>
            <w:pPr>
              <w:spacing w:after="0"/>
              <w:rPr>
                <w:sz w:val="18"/>
                <w:szCs w:val="18"/>
                <w:color w:val="auto"/>
              </w:rPr>
            </w:pPr>
          </w:p>
        </w:tc>
        <w:tc>
          <w:tcPr>
            <w:tcW w:w="920" w:type="dxa"/>
            <w:vAlign w:val="bottom"/>
            <w:shd w:val="clear" w:color="auto" w:fill="EEEEEE"/>
          </w:tcPr>
          <w:p>
            <w:pPr>
              <w:jc w:val="right"/>
              <w:spacing w:after="0"/>
              <w:rPr>
                <w:sz w:val="20"/>
                <w:szCs w:val="20"/>
                <w:color w:val="auto"/>
              </w:rPr>
            </w:pPr>
            <w:r>
              <w:rPr>
                <w:rFonts w:ascii="Arial" w:cs="Arial" w:eastAsia="Arial" w:hAnsi="Arial"/>
                <w:sz w:val="18"/>
                <w:szCs w:val="18"/>
                <w:color w:val="auto"/>
              </w:rPr>
              <w:t>774</w:t>
            </w:r>
          </w:p>
        </w:tc>
        <w:tc>
          <w:tcPr>
            <w:tcW w:w="100" w:type="dxa"/>
            <w:vAlign w:val="bottom"/>
            <w:shd w:val="clear" w:color="auto" w:fill="EEEEEE"/>
          </w:tcPr>
          <w:p>
            <w:pPr>
              <w:spacing w:after="0"/>
              <w:rPr>
                <w:sz w:val="18"/>
                <w:szCs w:val="18"/>
                <w:color w:val="auto"/>
              </w:rPr>
            </w:pPr>
          </w:p>
        </w:tc>
      </w:tr>
      <w:tr>
        <w:trPr>
          <w:trHeight w:val="216"/>
        </w:trPr>
        <w:tc>
          <w:tcPr>
            <w:tcW w:w="5960" w:type="dxa"/>
            <w:vAlign w:val="bottom"/>
          </w:tcPr>
          <w:p>
            <w:pPr>
              <w:spacing w:after="0"/>
              <w:rPr>
                <w:sz w:val="20"/>
                <w:szCs w:val="20"/>
                <w:color w:val="auto"/>
              </w:rPr>
            </w:pPr>
            <w:r>
              <w:rPr>
                <w:rFonts w:ascii="Arial" w:cs="Arial" w:eastAsia="Arial" w:hAnsi="Arial"/>
                <w:sz w:val="18"/>
                <w:szCs w:val="18"/>
                <w:color w:val="auto"/>
              </w:rPr>
              <w:t>Accumulated Depreciation</w:t>
            </w:r>
          </w:p>
        </w:tc>
        <w:tc>
          <w:tcPr>
            <w:tcW w:w="220" w:type="dxa"/>
            <w:vAlign w:val="bottom"/>
          </w:tcPr>
          <w:p>
            <w:pPr>
              <w:spacing w:after="0"/>
              <w:rPr>
                <w:sz w:val="18"/>
                <w:szCs w:val="18"/>
                <w:color w:val="auto"/>
              </w:rPr>
            </w:pPr>
          </w:p>
        </w:tc>
        <w:tc>
          <w:tcPr>
            <w:tcW w:w="1040" w:type="dxa"/>
            <w:vAlign w:val="bottom"/>
            <w:gridSpan w:val="2"/>
          </w:tcPr>
          <w:p>
            <w:pPr>
              <w:jc w:val="right"/>
              <w:ind w:right="60"/>
              <w:spacing w:after="0"/>
              <w:rPr>
                <w:sz w:val="20"/>
                <w:szCs w:val="20"/>
                <w:color w:val="auto"/>
              </w:rPr>
            </w:pPr>
            <w:r>
              <w:rPr>
                <w:rFonts w:ascii="Arial" w:cs="Arial" w:eastAsia="Arial" w:hAnsi="Arial"/>
                <w:sz w:val="18"/>
                <w:szCs w:val="18"/>
                <w:color w:val="auto"/>
              </w:rPr>
              <w:t>(295)</w:t>
            </w: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20" w:type="dxa"/>
            <w:vAlign w:val="bottom"/>
            <w:gridSpan w:val="2"/>
          </w:tcPr>
          <w:p>
            <w:pPr>
              <w:jc w:val="right"/>
              <w:ind w:right="40"/>
              <w:spacing w:after="0"/>
              <w:rPr>
                <w:sz w:val="20"/>
                <w:szCs w:val="20"/>
                <w:color w:val="auto"/>
              </w:rPr>
            </w:pPr>
            <w:r>
              <w:rPr>
                <w:rFonts w:ascii="Arial" w:cs="Arial" w:eastAsia="Arial" w:hAnsi="Arial"/>
                <w:sz w:val="18"/>
                <w:szCs w:val="18"/>
                <w:color w:val="auto"/>
              </w:rPr>
              <w:t>(39)</w:t>
            </w:r>
          </w:p>
        </w:tc>
      </w:tr>
      <w:tr>
        <w:trPr>
          <w:trHeight w:val="27"/>
        </w:trPr>
        <w:tc>
          <w:tcPr>
            <w:tcW w:w="5960" w:type="dxa"/>
            <w:vAlign w:val="bottom"/>
          </w:tcPr>
          <w:p>
            <w:pPr>
              <w:spacing w:after="0"/>
              <w:rPr>
                <w:sz w:val="2"/>
                <w:szCs w:val="2"/>
                <w:color w:val="auto"/>
              </w:rPr>
            </w:pPr>
          </w:p>
        </w:tc>
        <w:tc>
          <w:tcPr>
            <w:tcW w:w="220" w:type="dxa"/>
            <w:vAlign w:val="bottom"/>
            <w:shd w:val="clear" w:color="auto" w:fill="000000"/>
          </w:tcPr>
          <w:p>
            <w:pPr>
              <w:spacing w:after="0"/>
              <w:rPr>
                <w:sz w:val="2"/>
                <w:szCs w:val="2"/>
                <w:color w:val="auto"/>
              </w:rPr>
            </w:pPr>
          </w:p>
        </w:tc>
        <w:tc>
          <w:tcPr>
            <w:tcW w:w="92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80" w:type="dxa"/>
            <w:vAlign w:val="bottom"/>
          </w:tcPr>
          <w:p>
            <w:pPr>
              <w:spacing w:after="0"/>
              <w:rPr>
                <w:sz w:val="2"/>
                <w:szCs w:val="2"/>
                <w:color w:val="auto"/>
              </w:rPr>
            </w:pPr>
          </w:p>
        </w:tc>
        <w:tc>
          <w:tcPr>
            <w:tcW w:w="220" w:type="dxa"/>
            <w:vAlign w:val="bottom"/>
            <w:shd w:val="clear" w:color="auto" w:fill="000000"/>
          </w:tcPr>
          <w:p>
            <w:pPr>
              <w:spacing w:after="0"/>
              <w:rPr>
                <w:sz w:val="2"/>
                <w:szCs w:val="2"/>
                <w:color w:val="auto"/>
              </w:rPr>
            </w:pPr>
          </w:p>
        </w:tc>
        <w:tc>
          <w:tcPr>
            <w:tcW w:w="92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r>
      <w:tr>
        <w:trPr>
          <w:trHeight w:val="237"/>
        </w:trPr>
        <w:tc>
          <w:tcPr>
            <w:tcW w:w="5960" w:type="dxa"/>
            <w:vAlign w:val="bottom"/>
            <w:shd w:val="clear" w:color="auto" w:fill="EEEEEE"/>
          </w:tcPr>
          <w:p>
            <w:pPr>
              <w:ind w:left="160"/>
              <w:spacing w:after="0"/>
              <w:rPr>
                <w:sz w:val="20"/>
                <w:szCs w:val="20"/>
                <w:color w:val="auto"/>
              </w:rPr>
            </w:pPr>
            <w:r>
              <w:rPr>
                <w:rFonts w:ascii="Arial" w:cs="Arial" w:eastAsia="Arial" w:hAnsi="Arial"/>
                <w:sz w:val="18"/>
                <w:szCs w:val="18"/>
                <w:color w:val="auto"/>
              </w:rPr>
              <w:t>Property and Equipment, Net</w:t>
            </w:r>
          </w:p>
        </w:tc>
        <w:tc>
          <w:tcPr>
            <w:tcW w:w="220" w:type="dxa"/>
            <w:vAlign w:val="bottom"/>
            <w:shd w:val="clear" w:color="auto" w:fill="EEEEEE"/>
          </w:tcPr>
          <w:p>
            <w:pPr>
              <w:jc w:val="right"/>
              <w:ind w:right="65"/>
              <w:spacing w:after="0"/>
              <w:rPr>
                <w:sz w:val="20"/>
                <w:szCs w:val="20"/>
                <w:color w:val="auto"/>
              </w:rPr>
            </w:pPr>
            <w:r>
              <w:rPr>
                <w:rFonts w:ascii="Arial" w:cs="Arial" w:eastAsia="Arial" w:hAnsi="Arial"/>
                <w:sz w:val="15"/>
                <w:szCs w:val="15"/>
                <w:color w:val="auto"/>
                <w:w w:val="71"/>
              </w:rPr>
              <w:t>$</w:t>
            </w:r>
          </w:p>
        </w:tc>
        <w:tc>
          <w:tcPr>
            <w:tcW w:w="920" w:type="dxa"/>
            <w:vAlign w:val="bottom"/>
            <w:shd w:val="clear" w:color="auto" w:fill="EEEEEE"/>
          </w:tcPr>
          <w:p>
            <w:pPr>
              <w:jc w:val="right"/>
              <w:spacing w:after="0"/>
              <w:rPr>
                <w:sz w:val="20"/>
                <w:szCs w:val="20"/>
                <w:color w:val="auto"/>
              </w:rPr>
            </w:pPr>
            <w:r>
              <w:rPr>
                <w:rFonts w:ascii="Arial" w:cs="Arial" w:eastAsia="Arial" w:hAnsi="Arial"/>
                <w:sz w:val="18"/>
                <w:szCs w:val="18"/>
                <w:color w:val="auto"/>
              </w:rPr>
              <w:t>5,972</w:t>
            </w:r>
          </w:p>
        </w:tc>
        <w:tc>
          <w:tcPr>
            <w:tcW w:w="120" w:type="dxa"/>
            <w:vAlign w:val="bottom"/>
            <w:shd w:val="clear" w:color="auto" w:fill="EEEEEE"/>
          </w:tcPr>
          <w:p>
            <w:pPr>
              <w:spacing w:after="0"/>
              <w:rPr>
                <w:sz w:val="20"/>
                <w:szCs w:val="20"/>
                <w:color w:val="auto"/>
              </w:rPr>
            </w:pPr>
          </w:p>
        </w:tc>
        <w:tc>
          <w:tcPr>
            <w:tcW w:w="300" w:type="dxa"/>
            <w:vAlign w:val="bottom"/>
            <w:gridSpan w:val="2"/>
            <w:shd w:val="clear" w:color="auto" w:fill="EEEEEE"/>
          </w:tcPr>
          <w:p>
            <w:pPr>
              <w:jc w:val="right"/>
              <w:ind w:right="140"/>
              <w:spacing w:after="0"/>
              <w:rPr>
                <w:sz w:val="20"/>
                <w:szCs w:val="20"/>
                <w:color w:val="auto"/>
              </w:rPr>
            </w:pPr>
            <w:r>
              <w:rPr>
                <w:rFonts w:ascii="Arial" w:cs="Arial" w:eastAsia="Arial" w:hAnsi="Arial"/>
                <w:sz w:val="18"/>
                <w:szCs w:val="18"/>
                <w:color w:val="auto"/>
              </w:rPr>
              <w:t>$</w:t>
            </w:r>
          </w:p>
        </w:tc>
        <w:tc>
          <w:tcPr>
            <w:tcW w:w="920" w:type="dxa"/>
            <w:vAlign w:val="bottom"/>
            <w:shd w:val="clear" w:color="auto" w:fill="EEEEEE"/>
          </w:tcPr>
          <w:p>
            <w:pPr>
              <w:jc w:val="right"/>
              <w:spacing w:after="0"/>
              <w:rPr>
                <w:sz w:val="20"/>
                <w:szCs w:val="20"/>
                <w:color w:val="auto"/>
              </w:rPr>
            </w:pPr>
            <w:r>
              <w:rPr>
                <w:rFonts w:ascii="Arial" w:cs="Arial" w:eastAsia="Arial" w:hAnsi="Arial"/>
                <w:sz w:val="18"/>
                <w:szCs w:val="18"/>
                <w:color w:val="auto"/>
              </w:rPr>
              <w:t>735</w:t>
            </w:r>
          </w:p>
        </w:tc>
        <w:tc>
          <w:tcPr>
            <w:tcW w:w="100" w:type="dxa"/>
            <w:vAlign w:val="bottom"/>
            <w:shd w:val="clear" w:color="auto" w:fill="EEEEEE"/>
          </w:tcPr>
          <w:p>
            <w:pPr>
              <w:spacing w:after="0"/>
              <w:rPr>
                <w:sz w:val="20"/>
                <w:szCs w:val="20"/>
                <w:color w:val="auto"/>
              </w:rPr>
            </w:pPr>
          </w:p>
        </w:tc>
      </w:tr>
      <w:tr>
        <w:trPr>
          <w:trHeight w:val="20"/>
        </w:trPr>
        <w:tc>
          <w:tcPr>
            <w:tcW w:w="5960" w:type="dxa"/>
            <w:vAlign w:val="bottom"/>
            <w:tcBorders>
              <w:top w:val="single" w:sz="8" w:color="EEEEEE"/>
            </w:tcBorders>
            <w:shd w:val="clear" w:color="auto" w:fill="EEEEEE"/>
          </w:tcPr>
          <w:p>
            <w:pPr>
              <w:spacing w:after="0" w:line="20" w:lineRule="exact"/>
              <w:rPr>
                <w:sz w:val="1"/>
                <w:szCs w:val="1"/>
                <w:color w:val="auto"/>
              </w:rPr>
            </w:pPr>
          </w:p>
        </w:tc>
        <w:tc>
          <w:tcPr>
            <w:tcW w:w="220" w:type="dxa"/>
            <w:vAlign w:val="bottom"/>
            <w:tcBorders>
              <w:top w:val="single" w:sz="8" w:color="auto"/>
            </w:tcBorders>
            <w:shd w:val="clear" w:color="auto" w:fill="000000"/>
          </w:tcPr>
          <w:p>
            <w:pPr>
              <w:spacing w:after="0" w:line="20" w:lineRule="exact"/>
              <w:rPr>
                <w:sz w:val="1"/>
                <w:szCs w:val="1"/>
                <w:color w:val="auto"/>
              </w:rPr>
            </w:pPr>
          </w:p>
        </w:tc>
        <w:tc>
          <w:tcPr>
            <w:tcW w:w="920" w:type="dxa"/>
            <w:vAlign w:val="bottom"/>
            <w:tcBorders>
              <w:top w:val="single" w:sz="8" w:color="auto"/>
            </w:tcBorders>
            <w:shd w:val="clear" w:color="auto" w:fill="000000"/>
          </w:tcPr>
          <w:p>
            <w:pPr>
              <w:spacing w:after="0" w:line="20" w:lineRule="exact"/>
              <w:rPr>
                <w:sz w:val="1"/>
                <w:szCs w:val="1"/>
                <w:color w:val="auto"/>
              </w:rPr>
            </w:pPr>
          </w:p>
        </w:tc>
        <w:tc>
          <w:tcPr>
            <w:tcW w:w="120" w:type="dxa"/>
            <w:vAlign w:val="bottom"/>
            <w:tcBorders>
              <w:top w:val="single" w:sz="8" w:color="EEEEEE"/>
            </w:tcBorders>
            <w:shd w:val="clear" w:color="auto" w:fill="EEEEEE"/>
          </w:tcPr>
          <w:p>
            <w:pPr>
              <w:spacing w:after="0" w:line="20" w:lineRule="exact"/>
              <w:rPr>
                <w:sz w:val="1"/>
                <w:szCs w:val="1"/>
                <w:color w:val="auto"/>
              </w:rPr>
            </w:pPr>
          </w:p>
        </w:tc>
        <w:tc>
          <w:tcPr>
            <w:tcW w:w="80" w:type="dxa"/>
            <w:vAlign w:val="bottom"/>
            <w:tcBorders>
              <w:top w:val="single" w:sz="8" w:color="EEEEEE"/>
            </w:tcBorders>
            <w:shd w:val="clear" w:color="auto" w:fill="EEEEEE"/>
          </w:tcPr>
          <w:p>
            <w:pPr>
              <w:spacing w:after="0" w:line="20" w:lineRule="exact"/>
              <w:rPr>
                <w:sz w:val="1"/>
                <w:szCs w:val="1"/>
                <w:color w:val="auto"/>
              </w:rPr>
            </w:pPr>
          </w:p>
        </w:tc>
        <w:tc>
          <w:tcPr>
            <w:tcW w:w="220" w:type="dxa"/>
            <w:vAlign w:val="bottom"/>
            <w:tcBorders>
              <w:top w:val="single" w:sz="8" w:color="auto"/>
            </w:tcBorders>
            <w:shd w:val="clear" w:color="auto" w:fill="000000"/>
          </w:tcPr>
          <w:p>
            <w:pPr>
              <w:spacing w:after="0" w:line="20" w:lineRule="exact"/>
              <w:rPr>
                <w:sz w:val="1"/>
                <w:szCs w:val="1"/>
                <w:color w:val="auto"/>
              </w:rPr>
            </w:pPr>
          </w:p>
        </w:tc>
        <w:tc>
          <w:tcPr>
            <w:tcW w:w="92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EEEEEE"/>
            </w:tcBorders>
            <w:shd w:val="clear" w:color="auto" w:fill="EEEEEE"/>
          </w:tcPr>
          <w:p>
            <w:pPr>
              <w:spacing w:after="0" w:line="20" w:lineRule="exact"/>
              <w:rPr>
                <w:sz w:val="1"/>
                <w:szCs w:val="1"/>
                <w:color w:val="auto"/>
              </w:rPr>
            </w:pPr>
          </w:p>
        </w:tc>
      </w:tr>
    </w:tbl>
    <w:p>
      <w:pPr>
        <w:spacing w:after="0" w:line="256" w:lineRule="exact"/>
        <w:rPr>
          <w:sz w:val="20"/>
          <w:szCs w:val="20"/>
          <w:color w:val="auto"/>
        </w:rPr>
      </w:pPr>
    </w:p>
    <w:p>
      <w:pPr>
        <w:ind w:left="820"/>
        <w:spacing w:after="0"/>
        <w:rPr>
          <w:sz w:val="20"/>
          <w:szCs w:val="20"/>
          <w:color w:val="auto"/>
        </w:rPr>
      </w:pPr>
      <w:r>
        <w:rPr>
          <w:rFonts w:ascii="Arial" w:cs="Arial" w:eastAsia="Arial" w:hAnsi="Arial"/>
          <w:sz w:val="18"/>
          <w:szCs w:val="18"/>
          <w:color w:val="auto"/>
        </w:rPr>
        <w:t>Depreciation expense was $256 and $39 for the years ended December 31, 2007 and 2006, respectively.</w:t>
      </w:r>
    </w:p>
    <w:p>
      <w:pPr>
        <w:spacing w:after="0" w:line="275" w:lineRule="exact"/>
        <w:rPr>
          <w:sz w:val="20"/>
          <w:szCs w:val="20"/>
          <w:color w:val="auto"/>
        </w:rPr>
      </w:pPr>
    </w:p>
    <w:p>
      <w:pPr>
        <w:spacing w:after="0"/>
        <w:tabs>
          <w:tab w:leader="none" w:pos="860" w:val="left"/>
        </w:tabs>
        <w:rPr>
          <w:sz w:val="20"/>
          <w:szCs w:val="20"/>
          <w:color w:val="auto"/>
        </w:rPr>
      </w:pPr>
      <w:r>
        <w:rPr>
          <w:rFonts w:ascii="Arial" w:cs="Arial" w:eastAsia="Arial" w:hAnsi="Arial"/>
          <w:sz w:val="18"/>
          <w:szCs w:val="18"/>
          <w:b w:val="1"/>
          <w:bCs w:val="1"/>
          <w:color w:val="auto"/>
        </w:rPr>
        <w:t>Note 4:</w:t>
      </w:r>
      <w:r>
        <w:rPr>
          <w:sz w:val="20"/>
          <w:szCs w:val="20"/>
          <w:color w:val="auto"/>
        </w:rPr>
        <w:tab/>
      </w:r>
      <w:r>
        <w:rPr>
          <w:rFonts w:ascii="Arial" w:cs="Arial" w:eastAsia="Arial" w:hAnsi="Arial"/>
          <w:sz w:val="15"/>
          <w:szCs w:val="15"/>
          <w:b w:val="1"/>
          <w:bCs w:val="1"/>
          <w:u w:val="single" w:color="auto"/>
          <w:color w:val="auto"/>
        </w:rPr>
        <w:t>Website Development Costs</w:t>
      </w:r>
    </w:p>
    <w:p>
      <w:pPr>
        <w:spacing w:after="0" w:line="283" w:lineRule="exact"/>
        <w:rPr>
          <w:sz w:val="20"/>
          <w:szCs w:val="20"/>
          <w:color w:val="auto"/>
        </w:rPr>
      </w:pPr>
    </w:p>
    <w:p>
      <w:pPr>
        <w:ind w:left="820"/>
        <w:spacing w:after="0"/>
        <w:rPr>
          <w:sz w:val="20"/>
          <w:szCs w:val="20"/>
          <w:color w:val="auto"/>
        </w:rPr>
      </w:pPr>
      <w:r>
        <w:rPr>
          <w:rFonts w:ascii="Arial" w:cs="Arial" w:eastAsia="Arial" w:hAnsi="Arial"/>
          <w:sz w:val="18"/>
          <w:szCs w:val="18"/>
          <w:color w:val="auto"/>
        </w:rPr>
        <w:t>The Company has capitalized costs in developing their website which consisted of the following at December 31:</w:t>
      </w:r>
    </w:p>
    <w:p>
      <w:pPr>
        <w:spacing w:after="0" w:line="275" w:lineRule="exact"/>
        <w:rPr>
          <w:sz w:val="20"/>
          <w:szCs w:val="20"/>
          <w:color w:val="auto"/>
        </w:rPr>
      </w:pPr>
    </w:p>
    <w:tbl>
      <w:tblPr>
        <w:tblLayout w:type="fixed"/>
        <w:tblInd w:w="1440" w:type="dxa"/>
        <w:tblCellMar>
          <w:top w:w="0" w:type="dxa"/>
          <w:left w:w="0" w:type="dxa"/>
          <w:bottom w:w="0" w:type="dxa"/>
          <w:right w:w="0" w:type="dxa"/>
        </w:tblCellMar>
      </w:tblPr>
      <w:tr>
        <w:trPr>
          <w:trHeight w:val="241"/>
        </w:trPr>
        <w:tc>
          <w:tcPr>
            <w:tcW w:w="4240" w:type="dxa"/>
            <w:vAlign w:val="bottom"/>
          </w:tcPr>
          <w:p>
            <w:pPr>
              <w:spacing w:after="0"/>
              <w:rPr>
                <w:sz w:val="20"/>
                <w:szCs w:val="20"/>
                <w:color w:val="auto"/>
              </w:rPr>
            </w:pPr>
          </w:p>
        </w:tc>
        <w:tc>
          <w:tcPr>
            <w:tcW w:w="1740" w:type="dxa"/>
            <w:vAlign w:val="bottom"/>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920" w:type="dxa"/>
            <w:vAlign w:val="bottom"/>
            <w:tcBorders>
              <w:bottom w:val="single" w:sz="8" w:color="auto"/>
            </w:tcBorders>
          </w:tcPr>
          <w:p>
            <w:pPr>
              <w:jc w:val="right"/>
              <w:ind w:right="330"/>
              <w:spacing w:after="0"/>
              <w:rPr>
                <w:sz w:val="20"/>
                <w:szCs w:val="20"/>
                <w:color w:val="auto"/>
              </w:rPr>
            </w:pPr>
            <w:r>
              <w:rPr>
                <w:rFonts w:ascii="Arial" w:cs="Arial" w:eastAsia="Arial" w:hAnsi="Arial"/>
                <w:sz w:val="18"/>
                <w:szCs w:val="18"/>
                <w:b w:val="1"/>
                <w:bCs w:val="1"/>
                <w:color w:val="auto"/>
              </w:rPr>
              <w:t>2007</w:t>
            </w:r>
          </w:p>
        </w:tc>
        <w:tc>
          <w:tcPr>
            <w:tcW w:w="180" w:type="dxa"/>
            <w:vAlign w:val="bottom"/>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900" w:type="dxa"/>
            <w:vAlign w:val="bottom"/>
            <w:tcBorders>
              <w:bottom w:val="single" w:sz="8" w:color="auto"/>
            </w:tcBorders>
          </w:tcPr>
          <w:p>
            <w:pPr>
              <w:jc w:val="right"/>
              <w:ind w:right="310"/>
              <w:spacing w:after="0"/>
              <w:rPr>
                <w:sz w:val="20"/>
                <w:szCs w:val="20"/>
                <w:color w:val="auto"/>
              </w:rPr>
            </w:pPr>
            <w:r>
              <w:rPr>
                <w:rFonts w:ascii="Arial" w:cs="Arial" w:eastAsia="Arial" w:hAnsi="Arial"/>
                <w:sz w:val="18"/>
                <w:szCs w:val="18"/>
                <w:b w:val="1"/>
                <w:bCs w:val="1"/>
                <w:color w:val="auto"/>
              </w:rPr>
              <w:t>2006</w:t>
            </w:r>
          </w:p>
        </w:tc>
        <w:tc>
          <w:tcPr>
            <w:tcW w:w="80" w:type="dxa"/>
            <w:vAlign w:val="bottom"/>
          </w:tcPr>
          <w:p>
            <w:pPr>
              <w:spacing w:after="0"/>
              <w:rPr>
                <w:sz w:val="20"/>
                <w:szCs w:val="20"/>
                <w:color w:val="auto"/>
              </w:rPr>
            </w:pPr>
          </w:p>
        </w:tc>
      </w:tr>
      <w:tr>
        <w:trPr>
          <w:trHeight w:val="216"/>
        </w:trPr>
        <w:tc>
          <w:tcPr>
            <w:tcW w:w="4240" w:type="dxa"/>
            <w:vAlign w:val="bottom"/>
            <w:shd w:val="clear" w:color="auto" w:fill="EEEEEE"/>
          </w:tcPr>
          <w:p>
            <w:pPr>
              <w:spacing w:after="0"/>
              <w:rPr>
                <w:sz w:val="20"/>
                <w:szCs w:val="20"/>
                <w:color w:val="auto"/>
              </w:rPr>
            </w:pPr>
            <w:r>
              <w:rPr>
                <w:rFonts w:ascii="Arial" w:cs="Arial" w:eastAsia="Arial" w:hAnsi="Arial"/>
                <w:sz w:val="18"/>
                <w:szCs w:val="18"/>
                <w:color w:val="auto"/>
              </w:rPr>
              <w:t>Web site costs</w:t>
            </w:r>
          </w:p>
        </w:tc>
        <w:tc>
          <w:tcPr>
            <w:tcW w:w="1980" w:type="dxa"/>
            <w:vAlign w:val="bottom"/>
            <w:gridSpan w:val="2"/>
            <w:shd w:val="clear" w:color="auto" w:fill="EEEEEE"/>
          </w:tcPr>
          <w:p>
            <w:pPr>
              <w:jc w:val="right"/>
              <w:ind w:right="50"/>
              <w:spacing w:after="0"/>
              <w:rPr>
                <w:sz w:val="20"/>
                <w:szCs w:val="20"/>
                <w:color w:val="auto"/>
              </w:rPr>
            </w:pPr>
            <w:r>
              <w:rPr>
                <w:rFonts w:ascii="Arial" w:cs="Arial" w:eastAsia="Arial" w:hAnsi="Arial"/>
                <w:sz w:val="18"/>
                <w:szCs w:val="18"/>
                <w:color w:val="auto"/>
              </w:rPr>
              <w:t>$</w:t>
            </w:r>
          </w:p>
        </w:tc>
        <w:tc>
          <w:tcPr>
            <w:tcW w:w="920" w:type="dxa"/>
            <w:vAlign w:val="bottom"/>
            <w:shd w:val="clear" w:color="auto" w:fill="EEEEEE"/>
          </w:tcPr>
          <w:p>
            <w:pPr>
              <w:jc w:val="right"/>
              <w:spacing w:after="0"/>
              <w:rPr>
                <w:sz w:val="20"/>
                <w:szCs w:val="20"/>
                <w:color w:val="auto"/>
              </w:rPr>
            </w:pPr>
            <w:r>
              <w:rPr>
                <w:rFonts w:ascii="Arial" w:cs="Arial" w:eastAsia="Arial" w:hAnsi="Arial"/>
                <w:sz w:val="18"/>
                <w:szCs w:val="18"/>
                <w:color w:val="auto"/>
              </w:rPr>
              <w:t>154,133</w:t>
            </w:r>
          </w:p>
        </w:tc>
        <w:tc>
          <w:tcPr>
            <w:tcW w:w="180" w:type="dxa"/>
            <w:vAlign w:val="bottom"/>
            <w:tcBorders>
              <w:right w:val="single" w:sz="8" w:color="EEEEEE"/>
            </w:tcBorders>
            <w:shd w:val="clear" w:color="auto" w:fill="EEEEEE"/>
          </w:tcPr>
          <w:p>
            <w:pPr>
              <w:spacing w:after="0"/>
              <w:rPr>
                <w:sz w:val="18"/>
                <w:szCs w:val="18"/>
                <w:color w:val="auto"/>
              </w:rPr>
            </w:pPr>
          </w:p>
        </w:tc>
        <w:tc>
          <w:tcPr>
            <w:tcW w:w="240" w:type="dxa"/>
            <w:vAlign w:val="bottom"/>
            <w:shd w:val="clear" w:color="auto" w:fill="EEEEEE"/>
          </w:tcPr>
          <w:p>
            <w:pPr>
              <w:jc w:val="right"/>
              <w:ind w:right="85"/>
              <w:spacing w:after="0"/>
              <w:rPr>
                <w:sz w:val="20"/>
                <w:szCs w:val="20"/>
                <w:color w:val="auto"/>
              </w:rPr>
            </w:pPr>
            <w:r>
              <w:rPr>
                <w:rFonts w:ascii="Arial" w:cs="Arial" w:eastAsia="Arial" w:hAnsi="Arial"/>
                <w:sz w:val="15"/>
                <w:szCs w:val="15"/>
                <w:color w:val="auto"/>
                <w:w w:val="71"/>
              </w:rPr>
              <w:t>$</w:t>
            </w:r>
          </w:p>
        </w:tc>
        <w:tc>
          <w:tcPr>
            <w:tcW w:w="900" w:type="dxa"/>
            <w:vAlign w:val="bottom"/>
            <w:shd w:val="clear" w:color="auto" w:fill="EEEEEE"/>
          </w:tcPr>
          <w:p>
            <w:pPr>
              <w:jc w:val="right"/>
              <w:spacing w:after="0"/>
              <w:rPr>
                <w:sz w:val="20"/>
                <w:szCs w:val="20"/>
                <w:color w:val="auto"/>
              </w:rPr>
            </w:pPr>
            <w:r>
              <w:rPr>
                <w:rFonts w:ascii="Arial" w:cs="Arial" w:eastAsia="Arial" w:hAnsi="Arial"/>
                <w:sz w:val="18"/>
                <w:szCs w:val="18"/>
                <w:color w:val="auto"/>
              </w:rPr>
              <w:t>34,044</w:t>
            </w:r>
          </w:p>
        </w:tc>
        <w:tc>
          <w:tcPr>
            <w:tcW w:w="80" w:type="dxa"/>
            <w:vAlign w:val="bottom"/>
            <w:shd w:val="clear" w:color="auto" w:fill="EEEEEE"/>
          </w:tcPr>
          <w:p>
            <w:pPr>
              <w:spacing w:after="0"/>
              <w:rPr>
                <w:sz w:val="18"/>
                <w:szCs w:val="18"/>
                <w:color w:val="auto"/>
              </w:rPr>
            </w:pPr>
          </w:p>
        </w:tc>
      </w:tr>
      <w:tr>
        <w:trPr>
          <w:trHeight w:val="216"/>
        </w:trPr>
        <w:tc>
          <w:tcPr>
            <w:tcW w:w="4240" w:type="dxa"/>
            <w:vAlign w:val="bottom"/>
          </w:tcPr>
          <w:p>
            <w:pPr>
              <w:spacing w:after="0"/>
              <w:rPr>
                <w:sz w:val="20"/>
                <w:szCs w:val="20"/>
                <w:color w:val="auto"/>
              </w:rPr>
            </w:pPr>
            <w:r>
              <w:rPr>
                <w:rFonts w:ascii="Arial" w:cs="Arial" w:eastAsia="Arial" w:hAnsi="Arial"/>
                <w:sz w:val="18"/>
                <w:szCs w:val="18"/>
                <w:color w:val="auto"/>
              </w:rPr>
              <w:t>Accumulated Amortization</w:t>
            </w:r>
          </w:p>
        </w:tc>
        <w:tc>
          <w:tcPr>
            <w:tcW w:w="17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00" w:type="dxa"/>
            <w:vAlign w:val="bottom"/>
            <w:gridSpan w:val="2"/>
          </w:tcPr>
          <w:p>
            <w:pPr>
              <w:jc w:val="right"/>
              <w:ind w:right="120"/>
              <w:spacing w:after="0"/>
              <w:rPr>
                <w:sz w:val="20"/>
                <w:szCs w:val="20"/>
                <w:color w:val="auto"/>
              </w:rPr>
            </w:pPr>
            <w:r>
              <w:rPr>
                <w:rFonts w:ascii="Arial" w:cs="Arial" w:eastAsia="Arial" w:hAnsi="Arial"/>
                <w:sz w:val="18"/>
                <w:szCs w:val="18"/>
                <w:color w:val="auto"/>
              </w:rPr>
              <w:t>(2,569)</w:t>
            </w:r>
          </w:p>
        </w:tc>
        <w:tc>
          <w:tcPr>
            <w:tcW w:w="24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0</w:t>
            </w:r>
          </w:p>
        </w:tc>
        <w:tc>
          <w:tcPr>
            <w:tcW w:w="80" w:type="dxa"/>
            <w:vAlign w:val="bottom"/>
          </w:tcPr>
          <w:p>
            <w:pPr>
              <w:spacing w:after="0"/>
              <w:rPr>
                <w:sz w:val="18"/>
                <w:szCs w:val="18"/>
                <w:color w:val="auto"/>
              </w:rPr>
            </w:pPr>
          </w:p>
        </w:tc>
      </w:tr>
      <w:tr>
        <w:trPr>
          <w:trHeight w:val="27"/>
        </w:trPr>
        <w:tc>
          <w:tcPr>
            <w:tcW w:w="4240" w:type="dxa"/>
            <w:vAlign w:val="bottom"/>
          </w:tcPr>
          <w:p>
            <w:pPr>
              <w:spacing w:after="0"/>
              <w:rPr>
                <w:sz w:val="2"/>
                <w:szCs w:val="2"/>
                <w:color w:val="auto"/>
              </w:rPr>
            </w:pPr>
          </w:p>
        </w:tc>
        <w:tc>
          <w:tcPr>
            <w:tcW w:w="1740" w:type="dxa"/>
            <w:vAlign w:val="bottom"/>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920" w:type="dxa"/>
            <w:vAlign w:val="bottom"/>
            <w:shd w:val="clear" w:color="auto" w:fill="000000"/>
          </w:tcPr>
          <w:p>
            <w:pPr>
              <w:spacing w:after="0"/>
              <w:rPr>
                <w:sz w:val="2"/>
                <w:szCs w:val="2"/>
                <w:color w:val="auto"/>
              </w:rPr>
            </w:pPr>
          </w:p>
        </w:tc>
        <w:tc>
          <w:tcPr>
            <w:tcW w:w="180" w:type="dxa"/>
            <w:vAlign w:val="bottom"/>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900" w:type="dxa"/>
            <w:vAlign w:val="bottom"/>
            <w:shd w:val="clear" w:color="auto" w:fill="000000"/>
          </w:tcPr>
          <w:p>
            <w:pPr>
              <w:spacing w:after="0"/>
              <w:rPr>
                <w:sz w:val="2"/>
                <w:szCs w:val="2"/>
                <w:color w:val="auto"/>
              </w:rPr>
            </w:pPr>
          </w:p>
        </w:tc>
        <w:tc>
          <w:tcPr>
            <w:tcW w:w="80" w:type="dxa"/>
            <w:vAlign w:val="bottom"/>
          </w:tcPr>
          <w:p>
            <w:pPr>
              <w:spacing w:after="0"/>
              <w:rPr>
                <w:sz w:val="2"/>
                <w:szCs w:val="2"/>
                <w:color w:val="auto"/>
              </w:rPr>
            </w:pPr>
          </w:p>
        </w:tc>
      </w:tr>
      <w:tr>
        <w:trPr>
          <w:trHeight w:val="237"/>
        </w:trPr>
        <w:tc>
          <w:tcPr>
            <w:tcW w:w="4240" w:type="dxa"/>
            <w:vAlign w:val="bottom"/>
            <w:shd w:val="clear" w:color="auto" w:fill="EEEEEE"/>
          </w:tcPr>
          <w:p>
            <w:pPr>
              <w:ind w:left="160"/>
              <w:spacing w:after="0"/>
              <w:rPr>
                <w:sz w:val="20"/>
                <w:szCs w:val="20"/>
                <w:color w:val="auto"/>
              </w:rPr>
            </w:pPr>
            <w:r>
              <w:rPr>
                <w:rFonts w:ascii="Arial" w:cs="Arial" w:eastAsia="Arial" w:hAnsi="Arial"/>
                <w:sz w:val="18"/>
                <w:szCs w:val="18"/>
                <w:color w:val="auto"/>
              </w:rPr>
              <w:t>Web site development costs, Net</w:t>
            </w:r>
          </w:p>
        </w:tc>
        <w:tc>
          <w:tcPr>
            <w:tcW w:w="1740" w:type="dxa"/>
            <w:vAlign w:val="bottom"/>
            <w:shd w:val="clear" w:color="auto" w:fill="EEEEEE"/>
          </w:tcPr>
          <w:p>
            <w:pPr>
              <w:spacing w:after="0"/>
              <w:rPr>
                <w:sz w:val="20"/>
                <w:szCs w:val="20"/>
                <w:color w:val="auto"/>
              </w:rPr>
            </w:pPr>
          </w:p>
        </w:tc>
        <w:tc>
          <w:tcPr>
            <w:tcW w:w="240" w:type="dxa"/>
            <w:vAlign w:val="bottom"/>
            <w:shd w:val="clear" w:color="auto" w:fill="EEEEEE"/>
          </w:tcPr>
          <w:p>
            <w:pPr>
              <w:jc w:val="right"/>
              <w:ind w:right="50"/>
              <w:spacing w:after="0"/>
              <w:rPr>
                <w:sz w:val="20"/>
                <w:szCs w:val="20"/>
                <w:color w:val="auto"/>
              </w:rPr>
            </w:pPr>
            <w:r>
              <w:rPr>
                <w:rFonts w:ascii="Arial" w:cs="Arial" w:eastAsia="Arial" w:hAnsi="Arial"/>
                <w:sz w:val="18"/>
                <w:szCs w:val="18"/>
                <w:color w:val="auto"/>
                <w:w w:val="79"/>
              </w:rPr>
              <w:t>$</w:t>
            </w:r>
          </w:p>
        </w:tc>
        <w:tc>
          <w:tcPr>
            <w:tcW w:w="920" w:type="dxa"/>
            <w:vAlign w:val="bottom"/>
            <w:shd w:val="clear" w:color="auto" w:fill="EEEEEE"/>
          </w:tcPr>
          <w:p>
            <w:pPr>
              <w:jc w:val="right"/>
              <w:spacing w:after="0"/>
              <w:rPr>
                <w:sz w:val="20"/>
                <w:szCs w:val="20"/>
                <w:color w:val="auto"/>
              </w:rPr>
            </w:pPr>
            <w:r>
              <w:rPr>
                <w:rFonts w:ascii="Arial" w:cs="Arial" w:eastAsia="Arial" w:hAnsi="Arial"/>
                <w:sz w:val="18"/>
                <w:szCs w:val="18"/>
                <w:color w:val="auto"/>
              </w:rPr>
              <w:t>151,564</w:t>
            </w:r>
          </w:p>
        </w:tc>
        <w:tc>
          <w:tcPr>
            <w:tcW w:w="180" w:type="dxa"/>
            <w:vAlign w:val="bottom"/>
            <w:tcBorders>
              <w:right w:val="single" w:sz="8" w:color="EEEEEE"/>
            </w:tcBorders>
            <w:shd w:val="clear" w:color="auto" w:fill="EEEEEE"/>
          </w:tcPr>
          <w:p>
            <w:pPr>
              <w:spacing w:after="0"/>
              <w:rPr>
                <w:sz w:val="20"/>
                <w:szCs w:val="20"/>
                <w:color w:val="auto"/>
              </w:rPr>
            </w:pPr>
          </w:p>
        </w:tc>
        <w:tc>
          <w:tcPr>
            <w:tcW w:w="240" w:type="dxa"/>
            <w:vAlign w:val="bottom"/>
            <w:shd w:val="clear" w:color="auto" w:fill="EEEEEE"/>
          </w:tcPr>
          <w:p>
            <w:pPr>
              <w:jc w:val="right"/>
              <w:ind w:right="85"/>
              <w:spacing w:after="0"/>
              <w:rPr>
                <w:sz w:val="20"/>
                <w:szCs w:val="20"/>
                <w:color w:val="auto"/>
              </w:rPr>
            </w:pPr>
            <w:r>
              <w:rPr>
                <w:rFonts w:ascii="Arial" w:cs="Arial" w:eastAsia="Arial" w:hAnsi="Arial"/>
                <w:sz w:val="15"/>
                <w:szCs w:val="15"/>
                <w:color w:val="auto"/>
                <w:w w:val="71"/>
              </w:rPr>
              <w:t>$</w:t>
            </w:r>
          </w:p>
        </w:tc>
        <w:tc>
          <w:tcPr>
            <w:tcW w:w="900" w:type="dxa"/>
            <w:vAlign w:val="bottom"/>
            <w:shd w:val="clear" w:color="auto" w:fill="EEEEEE"/>
          </w:tcPr>
          <w:p>
            <w:pPr>
              <w:jc w:val="right"/>
              <w:spacing w:after="0"/>
              <w:rPr>
                <w:sz w:val="20"/>
                <w:szCs w:val="20"/>
                <w:color w:val="auto"/>
              </w:rPr>
            </w:pPr>
            <w:r>
              <w:rPr>
                <w:rFonts w:ascii="Arial" w:cs="Arial" w:eastAsia="Arial" w:hAnsi="Arial"/>
                <w:sz w:val="18"/>
                <w:szCs w:val="18"/>
                <w:color w:val="auto"/>
              </w:rPr>
              <w:t>34,044</w:t>
            </w:r>
          </w:p>
        </w:tc>
        <w:tc>
          <w:tcPr>
            <w:tcW w:w="80" w:type="dxa"/>
            <w:vAlign w:val="bottom"/>
            <w:shd w:val="clear" w:color="auto" w:fill="EEEEEE"/>
          </w:tcPr>
          <w:p>
            <w:pPr>
              <w:spacing w:after="0"/>
              <w:rPr>
                <w:sz w:val="20"/>
                <w:szCs w:val="20"/>
                <w:color w:val="auto"/>
              </w:rPr>
            </w:pPr>
          </w:p>
        </w:tc>
      </w:tr>
      <w:tr>
        <w:trPr>
          <w:trHeight w:val="20"/>
        </w:trPr>
        <w:tc>
          <w:tcPr>
            <w:tcW w:w="4240" w:type="dxa"/>
            <w:vAlign w:val="bottom"/>
            <w:tcBorders>
              <w:top w:val="single" w:sz="8" w:color="EEEEEE"/>
            </w:tcBorders>
            <w:shd w:val="clear" w:color="auto" w:fill="EEEEEE"/>
          </w:tcPr>
          <w:p>
            <w:pPr>
              <w:spacing w:after="0" w:line="20" w:lineRule="exact"/>
              <w:rPr>
                <w:sz w:val="1"/>
                <w:szCs w:val="1"/>
                <w:color w:val="auto"/>
              </w:rPr>
            </w:pPr>
          </w:p>
        </w:tc>
        <w:tc>
          <w:tcPr>
            <w:tcW w:w="1740" w:type="dxa"/>
            <w:vAlign w:val="bottom"/>
            <w:tcBorders>
              <w:top w:val="single" w:sz="8" w:color="EEEEEE"/>
            </w:tcBorders>
            <w:shd w:val="clear" w:color="auto" w:fill="EEEEEE"/>
          </w:tcPr>
          <w:p>
            <w:pPr>
              <w:spacing w:after="0" w:line="20" w:lineRule="exact"/>
              <w:rPr>
                <w:sz w:val="1"/>
                <w:szCs w:val="1"/>
                <w:color w:val="auto"/>
              </w:rPr>
            </w:pPr>
          </w:p>
        </w:tc>
        <w:tc>
          <w:tcPr>
            <w:tcW w:w="240" w:type="dxa"/>
            <w:vAlign w:val="bottom"/>
            <w:tcBorders>
              <w:top w:val="single" w:sz="8" w:color="auto"/>
            </w:tcBorders>
            <w:shd w:val="clear" w:color="auto" w:fill="000000"/>
          </w:tcPr>
          <w:p>
            <w:pPr>
              <w:spacing w:after="0" w:line="20" w:lineRule="exact"/>
              <w:rPr>
                <w:sz w:val="1"/>
                <w:szCs w:val="1"/>
                <w:color w:val="auto"/>
              </w:rPr>
            </w:pPr>
          </w:p>
        </w:tc>
        <w:tc>
          <w:tcPr>
            <w:tcW w:w="920" w:type="dxa"/>
            <w:vAlign w:val="bottom"/>
            <w:tcBorders>
              <w:top w:val="single" w:sz="8" w:color="auto"/>
            </w:tcBorders>
            <w:shd w:val="clear" w:color="auto" w:fill="000000"/>
          </w:tcPr>
          <w:p>
            <w:pPr>
              <w:spacing w:after="0" w:line="20" w:lineRule="exact"/>
              <w:rPr>
                <w:sz w:val="1"/>
                <w:szCs w:val="1"/>
                <w:color w:val="auto"/>
              </w:rPr>
            </w:pPr>
          </w:p>
        </w:tc>
        <w:tc>
          <w:tcPr>
            <w:tcW w:w="180" w:type="dxa"/>
            <w:vAlign w:val="bottom"/>
            <w:tcBorders>
              <w:top w:val="single" w:sz="8" w:color="EEEEEE"/>
              <w:right w:val="single" w:sz="8" w:color="EEEEEE"/>
            </w:tcBorders>
            <w:shd w:val="clear" w:color="auto" w:fill="EEEEEE"/>
          </w:tcPr>
          <w:p>
            <w:pPr>
              <w:spacing w:after="0" w:line="20" w:lineRule="exact"/>
              <w:rPr>
                <w:sz w:val="1"/>
                <w:szCs w:val="1"/>
                <w:color w:val="auto"/>
              </w:rPr>
            </w:pPr>
          </w:p>
        </w:tc>
        <w:tc>
          <w:tcPr>
            <w:tcW w:w="240" w:type="dxa"/>
            <w:vAlign w:val="bottom"/>
            <w:tcBorders>
              <w:top w:val="single" w:sz="8" w:color="auto"/>
            </w:tcBorders>
            <w:shd w:val="clear" w:color="auto" w:fill="000000"/>
          </w:tcPr>
          <w:p>
            <w:pPr>
              <w:spacing w:after="0" w:line="20" w:lineRule="exact"/>
              <w:rPr>
                <w:sz w:val="1"/>
                <w:szCs w:val="1"/>
                <w:color w:val="auto"/>
              </w:rPr>
            </w:pPr>
          </w:p>
        </w:tc>
        <w:tc>
          <w:tcPr>
            <w:tcW w:w="900" w:type="dxa"/>
            <w:vAlign w:val="bottom"/>
            <w:tcBorders>
              <w:top w:val="single" w:sz="8" w:color="auto"/>
            </w:tcBorders>
            <w:shd w:val="clear" w:color="auto" w:fill="000000"/>
          </w:tcPr>
          <w:p>
            <w:pPr>
              <w:spacing w:after="0" w:line="20" w:lineRule="exact"/>
              <w:rPr>
                <w:sz w:val="1"/>
                <w:szCs w:val="1"/>
                <w:color w:val="auto"/>
              </w:rPr>
            </w:pPr>
          </w:p>
        </w:tc>
        <w:tc>
          <w:tcPr>
            <w:tcW w:w="80" w:type="dxa"/>
            <w:vAlign w:val="bottom"/>
            <w:tcBorders>
              <w:top w:val="single" w:sz="8" w:color="EEEEEE"/>
            </w:tcBorders>
            <w:shd w:val="clear" w:color="auto" w:fill="EEEEEE"/>
          </w:tcPr>
          <w:p>
            <w:pPr>
              <w:spacing w:after="0" w:line="20" w:lineRule="exact"/>
              <w:rPr>
                <w:sz w:val="1"/>
                <w:szCs w:val="1"/>
                <w:color w:val="auto"/>
              </w:rPr>
            </w:pPr>
          </w:p>
        </w:tc>
      </w:tr>
    </w:tbl>
    <w:p>
      <w:pPr>
        <w:spacing w:after="0" w:line="256" w:lineRule="exact"/>
        <w:rPr>
          <w:sz w:val="20"/>
          <w:szCs w:val="20"/>
          <w:color w:val="auto"/>
        </w:rPr>
      </w:pPr>
    </w:p>
    <w:p>
      <w:pPr>
        <w:ind w:left="820"/>
        <w:spacing w:after="0" w:line="277" w:lineRule="auto"/>
        <w:rPr>
          <w:sz w:val="20"/>
          <w:szCs w:val="20"/>
          <w:color w:val="auto"/>
        </w:rPr>
      </w:pPr>
      <w:r>
        <w:rPr>
          <w:rFonts w:ascii="Arial" w:cs="Arial" w:eastAsia="Arial" w:hAnsi="Arial"/>
          <w:sz w:val="18"/>
          <w:szCs w:val="18"/>
          <w:color w:val="auto"/>
        </w:rPr>
        <w:t>The Company began amortizing the website costs, using the straight-line method over the estimated useful life of 5 years, once it was put into service in December of 2007.</w:t>
      </w:r>
    </w:p>
    <w:p>
      <w:pPr>
        <w:spacing w:after="0" w:line="224" w:lineRule="exact"/>
        <w:rPr>
          <w:sz w:val="20"/>
          <w:szCs w:val="20"/>
          <w:color w:val="auto"/>
        </w:rPr>
      </w:pPr>
    </w:p>
    <w:p>
      <w:pPr>
        <w:ind w:left="820"/>
        <w:spacing w:after="0"/>
        <w:rPr>
          <w:sz w:val="20"/>
          <w:szCs w:val="20"/>
          <w:color w:val="auto"/>
        </w:rPr>
      </w:pPr>
      <w:r>
        <w:rPr>
          <w:rFonts w:ascii="Arial" w:cs="Arial" w:eastAsia="Arial" w:hAnsi="Arial"/>
          <w:sz w:val="18"/>
          <w:szCs w:val="18"/>
          <w:color w:val="auto"/>
        </w:rPr>
        <w:t>Amortization expense was $2,569 and $0 for the years ended December 31, 2007 and 2006, respectively.</w:t>
      </w:r>
    </w:p>
    <w:p>
      <w:pPr>
        <w:spacing w:after="0" w:line="200" w:lineRule="exact"/>
        <w:rPr>
          <w:sz w:val="20"/>
          <w:szCs w:val="20"/>
          <w:color w:val="auto"/>
        </w:rPr>
      </w:pPr>
    </w:p>
    <w:p>
      <w:pPr>
        <w:spacing w:after="0" w:line="32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246620" cy="8890"/>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634" w:right="239" w:bottom="1440" w:gutter="0" w:footer="0" w:header="0"/>
        </w:sectPr>
      </w:pPr>
    </w:p>
    <w:bookmarkStart w:id="50" w:name="page51"/>
    <w:bookmarkEnd w:id="50"/>
    <w:p>
      <w:pPr>
        <w:jc w:val="center"/>
        <w:spacing w:after="0"/>
        <w:rPr>
          <w:sz w:val="20"/>
          <w:szCs w:val="20"/>
          <w:color w:val="auto"/>
        </w:rPr>
      </w:pPr>
      <w:r>
        <w:rPr>
          <w:rFonts w:ascii="Arial" w:cs="Arial" w:eastAsia="Arial" w:hAnsi="Arial"/>
          <w:sz w:val="18"/>
          <w:szCs w:val="18"/>
          <w:b w:val="1"/>
          <w:bCs w:val="1"/>
          <w:color w:val="auto"/>
        </w:rPr>
        <w:t>OPTIMIZERx CORPORATION</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OPTIMIZER SYSTEMS, LLC</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 DEVELOPMENT STAGE COMPANY)</w:t>
      </w:r>
    </w:p>
    <w:p>
      <w:pPr>
        <w:spacing w:after="0" w:line="9"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NOTES TO FINANCIAL STATEMENTS</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DECEMBER 31, 2007</w:t>
      </w:r>
    </w:p>
    <w:p>
      <w:pPr>
        <w:spacing w:after="0" w:line="248"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700" w:type="dxa"/>
            <w:vAlign w:val="bottom"/>
          </w:tcPr>
          <w:p>
            <w:pPr>
              <w:spacing w:after="0"/>
              <w:rPr>
                <w:sz w:val="20"/>
                <w:szCs w:val="20"/>
                <w:color w:val="auto"/>
              </w:rPr>
            </w:pPr>
            <w:r>
              <w:rPr>
                <w:rFonts w:ascii="Arial" w:cs="Arial" w:eastAsia="Arial" w:hAnsi="Arial"/>
                <w:sz w:val="18"/>
                <w:szCs w:val="18"/>
                <w:b w:val="1"/>
                <w:bCs w:val="1"/>
                <w:color w:val="auto"/>
              </w:rPr>
              <w:t>Note 5:</w:t>
            </w:r>
          </w:p>
        </w:tc>
        <w:tc>
          <w:tcPr>
            <w:tcW w:w="1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6520" w:type="dxa"/>
            <w:vAlign w:val="bottom"/>
            <w:gridSpan w:val="4"/>
          </w:tcPr>
          <w:p>
            <w:pPr>
              <w:spacing w:after="0"/>
              <w:rPr>
                <w:sz w:val="20"/>
                <w:szCs w:val="20"/>
                <w:color w:val="auto"/>
              </w:rPr>
            </w:pPr>
            <w:r>
              <w:rPr>
                <w:rFonts w:ascii="Arial" w:cs="Arial" w:eastAsia="Arial" w:hAnsi="Arial"/>
                <w:sz w:val="18"/>
                <w:szCs w:val="18"/>
                <w:b w:val="1"/>
                <w:bCs w:val="1"/>
                <w:color w:val="auto"/>
              </w:rPr>
              <w:t>Accrued Expenses</w:t>
            </w:r>
          </w:p>
        </w:tc>
        <w:tc>
          <w:tcPr>
            <w:tcW w:w="24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7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400" w:type="dxa"/>
            <w:vAlign w:val="bottom"/>
            <w:gridSpan w:val="2"/>
            <w:shd w:val="clear" w:color="auto" w:fill="000000"/>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42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07"/>
        </w:trPr>
        <w:tc>
          <w:tcPr>
            <w:tcW w:w="700" w:type="dxa"/>
            <w:vAlign w:val="bottom"/>
          </w:tcPr>
          <w:p>
            <w:pPr>
              <w:spacing w:after="0"/>
              <w:rPr>
                <w:sz w:val="24"/>
                <w:szCs w:val="24"/>
                <w:color w:val="auto"/>
              </w:rPr>
            </w:pPr>
          </w:p>
        </w:tc>
        <w:tc>
          <w:tcPr>
            <w:tcW w:w="6740" w:type="dxa"/>
            <w:vAlign w:val="bottom"/>
            <w:gridSpan w:val="6"/>
          </w:tcPr>
          <w:p>
            <w:pPr>
              <w:ind w:left="120"/>
              <w:spacing w:after="0"/>
              <w:rPr>
                <w:sz w:val="20"/>
                <w:szCs w:val="20"/>
                <w:color w:val="auto"/>
              </w:rPr>
            </w:pPr>
            <w:r>
              <w:rPr>
                <w:rFonts w:ascii="Arial" w:cs="Arial" w:eastAsia="Arial" w:hAnsi="Arial"/>
                <w:sz w:val="18"/>
                <w:szCs w:val="18"/>
                <w:color w:val="auto"/>
              </w:rPr>
              <w:t>Accrued expenses consisted of the following at December 31:</w:t>
            </w:r>
          </w:p>
        </w:tc>
        <w:tc>
          <w:tcPr>
            <w:tcW w:w="24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93"/>
        </w:trPr>
        <w:tc>
          <w:tcPr>
            <w:tcW w:w="7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4240" w:type="dxa"/>
            <w:vAlign w:val="bottom"/>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920" w:type="dxa"/>
            <w:vAlign w:val="bottom"/>
            <w:tcBorders>
              <w:bottom w:val="single" w:sz="8" w:color="auto"/>
            </w:tcBorders>
          </w:tcPr>
          <w:p>
            <w:pPr>
              <w:jc w:val="right"/>
              <w:ind w:right="330"/>
              <w:spacing w:after="0"/>
              <w:rPr>
                <w:sz w:val="20"/>
                <w:szCs w:val="20"/>
                <w:color w:val="auto"/>
              </w:rPr>
            </w:pPr>
            <w:r>
              <w:rPr>
                <w:rFonts w:ascii="Arial" w:cs="Arial" w:eastAsia="Arial" w:hAnsi="Arial"/>
                <w:sz w:val="18"/>
                <w:szCs w:val="18"/>
                <w:b w:val="1"/>
                <w:bCs w:val="1"/>
                <w:color w:val="auto"/>
              </w:rPr>
              <w:t>2007</w:t>
            </w:r>
          </w:p>
        </w:tc>
        <w:tc>
          <w:tcPr>
            <w:tcW w:w="160" w:type="dxa"/>
            <w:vAlign w:val="bottom"/>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900" w:type="dxa"/>
            <w:vAlign w:val="bottom"/>
            <w:tcBorders>
              <w:bottom w:val="single" w:sz="8" w:color="auto"/>
            </w:tcBorders>
          </w:tcPr>
          <w:p>
            <w:pPr>
              <w:jc w:val="right"/>
              <w:ind w:right="310"/>
              <w:spacing w:after="0"/>
              <w:rPr>
                <w:sz w:val="20"/>
                <w:szCs w:val="20"/>
                <w:color w:val="auto"/>
              </w:rPr>
            </w:pPr>
            <w:r>
              <w:rPr>
                <w:rFonts w:ascii="Arial" w:cs="Arial" w:eastAsia="Arial" w:hAnsi="Arial"/>
                <w:sz w:val="18"/>
                <w:szCs w:val="18"/>
                <w:b w:val="1"/>
                <w:bCs w:val="1"/>
                <w:color w:val="auto"/>
              </w:rPr>
              <w:t>2006</w:t>
            </w: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7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6000" w:type="dxa"/>
            <w:vAlign w:val="bottom"/>
            <w:gridSpan w:val="3"/>
            <w:shd w:val="clear" w:color="auto" w:fill="EEEEEE"/>
          </w:tcPr>
          <w:p>
            <w:pPr>
              <w:spacing w:after="0"/>
              <w:rPr>
                <w:sz w:val="20"/>
                <w:szCs w:val="20"/>
                <w:color w:val="auto"/>
              </w:rPr>
            </w:pPr>
            <w:r>
              <w:rPr>
                <w:rFonts w:ascii="Arial" w:cs="Arial" w:eastAsia="Arial" w:hAnsi="Arial"/>
                <w:sz w:val="18"/>
                <w:szCs w:val="18"/>
                <w:color w:val="auto"/>
              </w:rPr>
              <w:t>Accrued interest</w:t>
            </w:r>
          </w:p>
        </w:tc>
        <w:tc>
          <w:tcPr>
            <w:tcW w:w="240" w:type="dxa"/>
            <w:vAlign w:val="bottom"/>
            <w:shd w:val="clear" w:color="auto" w:fill="EEEEEE"/>
          </w:tcPr>
          <w:p>
            <w:pPr>
              <w:jc w:val="right"/>
              <w:ind w:right="50"/>
              <w:spacing w:after="0"/>
              <w:rPr>
                <w:sz w:val="20"/>
                <w:szCs w:val="20"/>
                <w:color w:val="auto"/>
              </w:rPr>
            </w:pPr>
            <w:r>
              <w:rPr>
                <w:rFonts w:ascii="Arial" w:cs="Arial" w:eastAsia="Arial" w:hAnsi="Arial"/>
                <w:sz w:val="18"/>
                <w:szCs w:val="18"/>
                <w:color w:val="auto"/>
                <w:w w:val="79"/>
              </w:rPr>
              <w:t>$</w:t>
            </w:r>
          </w:p>
        </w:tc>
        <w:tc>
          <w:tcPr>
            <w:tcW w:w="920" w:type="dxa"/>
            <w:vAlign w:val="bottom"/>
            <w:shd w:val="clear" w:color="auto" w:fill="EEEEEE"/>
          </w:tcPr>
          <w:p>
            <w:pPr>
              <w:jc w:val="right"/>
              <w:spacing w:after="0"/>
              <w:rPr>
                <w:sz w:val="20"/>
                <w:szCs w:val="20"/>
                <w:color w:val="auto"/>
              </w:rPr>
            </w:pPr>
            <w:r>
              <w:rPr>
                <w:rFonts w:ascii="Arial" w:cs="Arial" w:eastAsia="Arial" w:hAnsi="Arial"/>
                <w:sz w:val="18"/>
                <w:szCs w:val="18"/>
                <w:color w:val="auto"/>
              </w:rPr>
              <w:t>1,072</w:t>
            </w:r>
          </w:p>
        </w:tc>
        <w:tc>
          <w:tcPr>
            <w:tcW w:w="400" w:type="dxa"/>
            <w:vAlign w:val="bottom"/>
            <w:gridSpan w:val="2"/>
            <w:shd w:val="clear" w:color="auto" w:fill="EEEEEE"/>
          </w:tcPr>
          <w:p>
            <w:pPr>
              <w:jc w:val="right"/>
              <w:ind w:right="160"/>
              <w:spacing w:after="0"/>
              <w:rPr>
                <w:sz w:val="20"/>
                <w:szCs w:val="20"/>
                <w:color w:val="auto"/>
              </w:rPr>
            </w:pPr>
            <w:r>
              <w:rPr>
                <w:rFonts w:ascii="Arial" w:cs="Arial" w:eastAsia="Arial" w:hAnsi="Arial"/>
                <w:sz w:val="18"/>
                <w:szCs w:val="18"/>
                <w:color w:val="auto"/>
              </w:rPr>
              <w:t>$</w:t>
            </w:r>
          </w:p>
        </w:tc>
        <w:tc>
          <w:tcPr>
            <w:tcW w:w="900" w:type="dxa"/>
            <w:vAlign w:val="bottom"/>
            <w:shd w:val="clear" w:color="auto" w:fill="EEEEEE"/>
          </w:tcPr>
          <w:p>
            <w:pPr>
              <w:jc w:val="right"/>
              <w:spacing w:after="0"/>
              <w:rPr>
                <w:sz w:val="20"/>
                <w:szCs w:val="20"/>
                <w:color w:val="auto"/>
              </w:rPr>
            </w:pPr>
            <w:r>
              <w:rPr>
                <w:rFonts w:ascii="Arial" w:cs="Arial" w:eastAsia="Arial" w:hAnsi="Arial"/>
                <w:sz w:val="18"/>
                <w:szCs w:val="18"/>
                <w:color w:val="auto"/>
              </w:rPr>
              <w:t>0</w:t>
            </w:r>
          </w:p>
        </w:tc>
        <w:tc>
          <w:tcPr>
            <w:tcW w:w="80" w:type="dxa"/>
            <w:vAlign w:val="bottom"/>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6000" w:type="dxa"/>
            <w:vAlign w:val="bottom"/>
            <w:gridSpan w:val="3"/>
          </w:tcPr>
          <w:p>
            <w:pPr>
              <w:spacing w:after="0"/>
              <w:rPr>
                <w:sz w:val="20"/>
                <w:szCs w:val="20"/>
                <w:color w:val="auto"/>
              </w:rPr>
            </w:pPr>
            <w:r>
              <w:rPr>
                <w:rFonts w:ascii="Arial" w:cs="Arial" w:eastAsia="Arial" w:hAnsi="Arial"/>
                <w:sz w:val="18"/>
                <w:szCs w:val="18"/>
                <w:color w:val="auto"/>
              </w:rPr>
              <w:t>Accrued expenses</w:t>
            </w:r>
          </w:p>
        </w:tc>
        <w:tc>
          <w:tcPr>
            <w:tcW w:w="24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10,354</w:t>
            </w:r>
          </w:p>
        </w:tc>
        <w:tc>
          <w:tcPr>
            <w:tcW w:w="1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1,383</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7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6000" w:type="dxa"/>
            <w:vAlign w:val="bottom"/>
            <w:tcBorders>
              <w:bottom w:val="single" w:sz="8" w:color="EEEEEE"/>
            </w:tcBorders>
            <w:gridSpan w:val="3"/>
            <w:shd w:val="clear" w:color="auto" w:fill="EEEEEE"/>
          </w:tcPr>
          <w:p>
            <w:pPr>
              <w:spacing w:after="0"/>
              <w:rPr>
                <w:sz w:val="20"/>
                <w:szCs w:val="20"/>
                <w:color w:val="auto"/>
              </w:rPr>
            </w:pPr>
            <w:r>
              <w:rPr>
                <w:rFonts w:ascii="Arial" w:cs="Arial" w:eastAsia="Arial" w:hAnsi="Arial"/>
                <w:sz w:val="18"/>
                <w:szCs w:val="18"/>
                <w:color w:val="auto"/>
              </w:rPr>
              <w:t>Accrued audit fees</w:t>
            </w:r>
          </w:p>
        </w:tc>
        <w:tc>
          <w:tcPr>
            <w:tcW w:w="240" w:type="dxa"/>
            <w:vAlign w:val="bottom"/>
            <w:tcBorders>
              <w:bottom w:val="single" w:sz="8" w:color="auto"/>
            </w:tcBorders>
            <w:shd w:val="clear" w:color="auto" w:fill="EEEEEE"/>
          </w:tcPr>
          <w:p>
            <w:pPr>
              <w:spacing w:after="0"/>
              <w:rPr>
                <w:sz w:val="19"/>
                <w:szCs w:val="19"/>
                <w:color w:val="auto"/>
              </w:rPr>
            </w:pPr>
          </w:p>
        </w:tc>
        <w:tc>
          <w:tcPr>
            <w:tcW w:w="920" w:type="dxa"/>
            <w:vAlign w:val="bottom"/>
            <w:tcBorders>
              <w:bottom w:val="single" w:sz="8" w:color="auto"/>
            </w:tcBorders>
            <w:shd w:val="clear" w:color="auto" w:fill="EEEEEE"/>
          </w:tcPr>
          <w:p>
            <w:pPr>
              <w:jc w:val="right"/>
              <w:spacing w:after="0"/>
              <w:rPr>
                <w:sz w:val="20"/>
                <w:szCs w:val="20"/>
                <w:color w:val="auto"/>
              </w:rPr>
            </w:pPr>
            <w:r>
              <w:rPr>
                <w:rFonts w:ascii="Arial" w:cs="Arial" w:eastAsia="Arial" w:hAnsi="Arial"/>
                <w:sz w:val="18"/>
                <w:szCs w:val="18"/>
                <w:color w:val="auto"/>
              </w:rPr>
              <w:t>7,500</w:t>
            </w:r>
          </w:p>
        </w:tc>
        <w:tc>
          <w:tcPr>
            <w:tcW w:w="160" w:type="dxa"/>
            <w:vAlign w:val="bottom"/>
            <w:tcBorders>
              <w:bottom w:val="single" w:sz="8" w:color="EEEEEE"/>
            </w:tcBorders>
            <w:shd w:val="clear" w:color="auto" w:fill="EEEEEE"/>
          </w:tcPr>
          <w:p>
            <w:pPr>
              <w:spacing w:after="0"/>
              <w:rPr>
                <w:sz w:val="19"/>
                <w:szCs w:val="19"/>
                <w:color w:val="auto"/>
              </w:rPr>
            </w:pPr>
          </w:p>
        </w:tc>
        <w:tc>
          <w:tcPr>
            <w:tcW w:w="240" w:type="dxa"/>
            <w:vAlign w:val="bottom"/>
            <w:tcBorders>
              <w:bottom w:val="single" w:sz="8" w:color="auto"/>
            </w:tcBorders>
            <w:shd w:val="clear" w:color="auto" w:fill="EEEEEE"/>
          </w:tcPr>
          <w:p>
            <w:pPr>
              <w:spacing w:after="0"/>
              <w:rPr>
                <w:sz w:val="19"/>
                <w:szCs w:val="19"/>
                <w:color w:val="auto"/>
              </w:rPr>
            </w:pPr>
          </w:p>
        </w:tc>
        <w:tc>
          <w:tcPr>
            <w:tcW w:w="900" w:type="dxa"/>
            <w:vAlign w:val="bottom"/>
            <w:tcBorders>
              <w:bottom w:val="single" w:sz="8" w:color="auto"/>
            </w:tcBorders>
            <w:shd w:val="clear" w:color="auto" w:fill="EEEEEE"/>
          </w:tcPr>
          <w:p>
            <w:pPr>
              <w:jc w:val="right"/>
              <w:spacing w:after="0"/>
              <w:rPr>
                <w:sz w:val="20"/>
                <w:szCs w:val="20"/>
                <w:color w:val="auto"/>
              </w:rPr>
            </w:pPr>
            <w:r>
              <w:rPr>
                <w:rFonts w:ascii="Arial" w:cs="Arial" w:eastAsia="Arial" w:hAnsi="Arial"/>
                <w:sz w:val="18"/>
                <w:szCs w:val="18"/>
                <w:color w:val="auto"/>
              </w:rPr>
              <w:t>3,750</w:t>
            </w:r>
          </w:p>
        </w:tc>
        <w:tc>
          <w:tcPr>
            <w:tcW w:w="80" w:type="dxa"/>
            <w:vAlign w:val="bottom"/>
            <w:tcBorders>
              <w:bottom w:val="single" w:sz="8" w:color="EEEEEE"/>
            </w:tcBorders>
            <w:shd w:val="clear" w:color="auto" w:fill="EEEEEE"/>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7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6000" w:type="dxa"/>
            <w:vAlign w:val="bottom"/>
            <w:gridSpan w:val="3"/>
          </w:tcPr>
          <w:p>
            <w:pPr>
              <w:ind w:left="160"/>
              <w:spacing w:after="0"/>
              <w:rPr>
                <w:sz w:val="20"/>
                <w:szCs w:val="20"/>
                <w:color w:val="auto"/>
              </w:rPr>
            </w:pPr>
            <w:r>
              <w:rPr>
                <w:rFonts w:ascii="Arial" w:cs="Arial" w:eastAsia="Arial" w:hAnsi="Arial"/>
                <w:sz w:val="18"/>
                <w:szCs w:val="18"/>
                <w:color w:val="auto"/>
              </w:rPr>
              <w:t>Accrued Expenses</w:t>
            </w:r>
          </w:p>
        </w:tc>
        <w:tc>
          <w:tcPr>
            <w:tcW w:w="240" w:type="dxa"/>
            <w:vAlign w:val="bottom"/>
          </w:tcPr>
          <w:p>
            <w:pPr>
              <w:jc w:val="right"/>
              <w:ind w:right="50"/>
              <w:spacing w:after="0"/>
              <w:rPr>
                <w:sz w:val="20"/>
                <w:szCs w:val="20"/>
                <w:color w:val="auto"/>
              </w:rPr>
            </w:pPr>
            <w:r>
              <w:rPr>
                <w:rFonts w:ascii="Arial" w:cs="Arial" w:eastAsia="Arial" w:hAnsi="Arial"/>
                <w:sz w:val="18"/>
                <w:szCs w:val="18"/>
                <w:color w:val="auto"/>
                <w:w w:val="79"/>
              </w:rPr>
              <w:t>$</w:t>
            </w:r>
          </w:p>
        </w:tc>
        <w:tc>
          <w:tcPr>
            <w:tcW w:w="920" w:type="dxa"/>
            <w:vAlign w:val="bottom"/>
          </w:tcPr>
          <w:p>
            <w:pPr>
              <w:jc w:val="right"/>
              <w:spacing w:after="0"/>
              <w:rPr>
                <w:sz w:val="20"/>
                <w:szCs w:val="20"/>
                <w:color w:val="auto"/>
              </w:rPr>
            </w:pPr>
            <w:r>
              <w:rPr>
                <w:rFonts w:ascii="Arial" w:cs="Arial" w:eastAsia="Arial" w:hAnsi="Arial"/>
                <w:sz w:val="18"/>
                <w:szCs w:val="18"/>
                <w:color w:val="auto"/>
              </w:rPr>
              <w:t>18,926</w:t>
            </w:r>
          </w:p>
        </w:tc>
        <w:tc>
          <w:tcPr>
            <w:tcW w:w="40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900" w:type="dxa"/>
            <w:vAlign w:val="bottom"/>
          </w:tcPr>
          <w:p>
            <w:pPr>
              <w:jc w:val="right"/>
              <w:spacing w:after="0"/>
              <w:rPr>
                <w:sz w:val="20"/>
                <w:szCs w:val="20"/>
                <w:color w:val="auto"/>
              </w:rPr>
            </w:pPr>
            <w:r>
              <w:rPr>
                <w:rFonts w:ascii="Arial" w:cs="Arial" w:eastAsia="Arial" w:hAnsi="Arial"/>
                <w:sz w:val="18"/>
                <w:szCs w:val="18"/>
                <w:color w:val="auto"/>
              </w:rPr>
              <w:t>5,133</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
        </w:trPr>
        <w:tc>
          <w:tcPr>
            <w:tcW w:w="700" w:type="dxa"/>
            <w:vAlign w:val="bottom"/>
            <w:vMerge w:val="restart"/>
          </w:tcPr>
          <w:p>
            <w:pPr>
              <w:spacing w:after="0"/>
              <w:rPr>
                <w:sz w:val="20"/>
                <w:szCs w:val="20"/>
                <w:color w:val="auto"/>
              </w:rPr>
            </w:pPr>
            <w:r>
              <w:rPr>
                <w:rFonts w:ascii="Arial" w:cs="Arial" w:eastAsia="Arial" w:hAnsi="Arial"/>
                <w:sz w:val="18"/>
                <w:szCs w:val="18"/>
                <w:b w:val="1"/>
                <w:bCs w:val="1"/>
                <w:color w:val="auto"/>
              </w:rPr>
              <w:t>Note 6:</w:t>
            </w:r>
          </w:p>
        </w:tc>
        <w:tc>
          <w:tcPr>
            <w:tcW w:w="180" w:type="dxa"/>
            <w:vAlign w:val="bottom"/>
          </w:tcPr>
          <w:p>
            <w:pPr>
              <w:spacing w:after="0" w:line="20" w:lineRule="exact"/>
              <w:rPr>
                <w:sz w:val="1"/>
                <w:szCs w:val="1"/>
                <w:color w:val="auto"/>
              </w:rPr>
            </w:pPr>
          </w:p>
        </w:tc>
        <w:tc>
          <w:tcPr>
            <w:tcW w:w="6560" w:type="dxa"/>
            <w:vAlign w:val="bottom"/>
            <w:gridSpan w:val="5"/>
            <w:vMerge w:val="restart"/>
          </w:tcPr>
          <w:p>
            <w:pPr>
              <w:spacing w:after="0"/>
              <w:rPr>
                <w:sz w:val="20"/>
                <w:szCs w:val="20"/>
                <w:color w:val="auto"/>
              </w:rPr>
            </w:pPr>
            <w:r>
              <w:rPr>
                <w:rFonts w:ascii="Arial" w:cs="Arial" w:eastAsia="Arial" w:hAnsi="Arial"/>
                <w:sz w:val="18"/>
                <w:szCs w:val="18"/>
                <w:b w:val="1"/>
                <w:bCs w:val="1"/>
                <w:color w:val="auto"/>
              </w:rPr>
              <w:t>Notes Payable – Related Party</w:t>
            </w:r>
          </w:p>
        </w:tc>
        <w:tc>
          <w:tcPr>
            <w:tcW w:w="24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439"/>
        </w:trPr>
        <w:tc>
          <w:tcPr>
            <w:tcW w:w="700" w:type="dxa"/>
            <w:vAlign w:val="bottom"/>
            <w:vMerge w:val="continue"/>
          </w:tcPr>
          <w:p>
            <w:pPr>
              <w:spacing w:after="0"/>
              <w:rPr>
                <w:sz w:val="24"/>
                <w:szCs w:val="24"/>
                <w:color w:val="auto"/>
              </w:rPr>
            </w:pPr>
          </w:p>
        </w:tc>
        <w:tc>
          <w:tcPr>
            <w:tcW w:w="180" w:type="dxa"/>
            <w:vAlign w:val="bottom"/>
          </w:tcPr>
          <w:p>
            <w:pPr>
              <w:spacing w:after="0"/>
              <w:rPr>
                <w:sz w:val="24"/>
                <w:szCs w:val="24"/>
                <w:color w:val="auto"/>
              </w:rPr>
            </w:pPr>
          </w:p>
        </w:tc>
        <w:tc>
          <w:tcPr>
            <w:tcW w:w="6560" w:type="dxa"/>
            <w:vAlign w:val="bottom"/>
            <w:gridSpan w:val="5"/>
            <w:vMerge w:val="continue"/>
          </w:tcPr>
          <w:p>
            <w:pPr>
              <w:spacing w:after="0"/>
              <w:rPr>
                <w:sz w:val="24"/>
                <w:szCs w:val="24"/>
                <w:color w:val="auto"/>
              </w:rPr>
            </w:pPr>
          </w:p>
        </w:tc>
        <w:tc>
          <w:tcPr>
            <w:tcW w:w="24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7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320" w:type="dxa"/>
            <w:vAlign w:val="bottom"/>
            <w:gridSpan w:val="4"/>
            <w:shd w:val="clear" w:color="auto" w:fill="000000"/>
          </w:tcPr>
          <w:p>
            <w:pPr>
              <w:spacing w:after="0" w:line="20" w:lineRule="exact"/>
              <w:rPr>
                <w:sz w:val="1"/>
                <w:szCs w:val="1"/>
                <w:color w:val="auto"/>
              </w:rPr>
            </w:pPr>
          </w:p>
        </w:tc>
        <w:tc>
          <w:tcPr>
            <w:tcW w:w="42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07"/>
        </w:trPr>
        <w:tc>
          <w:tcPr>
            <w:tcW w:w="700" w:type="dxa"/>
            <w:vAlign w:val="bottom"/>
          </w:tcPr>
          <w:p>
            <w:pPr>
              <w:spacing w:after="0"/>
              <w:rPr>
                <w:sz w:val="24"/>
                <w:szCs w:val="24"/>
                <w:color w:val="auto"/>
              </w:rPr>
            </w:pPr>
          </w:p>
        </w:tc>
        <w:tc>
          <w:tcPr>
            <w:tcW w:w="6740" w:type="dxa"/>
            <w:vAlign w:val="bottom"/>
            <w:gridSpan w:val="6"/>
          </w:tcPr>
          <w:p>
            <w:pPr>
              <w:ind w:left="120"/>
              <w:spacing w:after="0"/>
              <w:rPr>
                <w:sz w:val="20"/>
                <w:szCs w:val="20"/>
                <w:color w:val="auto"/>
              </w:rPr>
            </w:pPr>
            <w:r>
              <w:rPr>
                <w:rFonts w:ascii="Arial" w:cs="Arial" w:eastAsia="Arial" w:hAnsi="Arial"/>
                <w:sz w:val="18"/>
                <w:szCs w:val="18"/>
                <w:color w:val="auto"/>
              </w:rPr>
              <w:t>Long-term debt consists of the following at December 31, 2007 and 2006:</w:t>
            </w:r>
          </w:p>
        </w:tc>
        <w:tc>
          <w:tcPr>
            <w:tcW w:w="24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93"/>
        </w:trPr>
        <w:tc>
          <w:tcPr>
            <w:tcW w:w="7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4240" w:type="dxa"/>
            <w:vAlign w:val="bottom"/>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920" w:type="dxa"/>
            <w:vAlign w:val="bottom"/>
            <w:tcBorders>
              <w:bottom w:val="single" w:sz="8" w:color="auto"/>
            </w:tcBorders>
          </w:tcPr>
          <w:p>
            <w:pPr>
              <w:jc w:val="right"/>
              <w:ind w:right="330"/>
              <w:spacing w:after="0"/>
              <w:rPr>
                <w:sz w:val="20"/>
                <w:szCs w:val="20"/>
                <w:color w:val="auto"/>
              </w:rPr>
            </w:pPr>
            <w:r>
              <w:rPr>
                <w:rFonts w:ascii="Arial" w:cs="Arial" w:eastAsia="Arial" w:hAnsi="Arial"/>
                <w:sz w:val="18"/>
                <w:szCs w:val="18"/>
                <w:b w:val="1"/>
                <w:bCs w:val="1"/>
                <w:color w:val="auto"/>
              </w:rPr>
              <w:t>2007</w:t>
            </w:r>
          </w:p>
        </w:tc>
        <w:tc>
          <w:tcPr>
            <w:tcW w:w="160" w:type="dxa"/>
            <w:vAlign w:val="bottom"/>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900" w:type="dxa"/>
            <w:vAlign w:val="bottom"/>
            <w:tcBorders>
              <w:bottom w:val="single" w:sz="8" w:color="auto"/>
            </w:tcBorders>
          </w:tcPr>
          <w:p>
            <w:pPr>
              <w:jc w:val="right"/>
              <w:ind w:right="310"/>
              <w:spacing w:after="0"/>
              <w:rPr>
                <w:sz w:val="20"/>
                <w:szCs w:val="20"/>
                <w:color w:val="auto"/>
              </w:rPr>
            </w:pPr>
            <w:r>
              <w:rPr>
                <w:rFonts w:ascii="Arial" w:cs="Arial" w:eastAsia="Arial" w:hAnsi="Arial"/>
                <w:sz w:val="18"/>
                <w:szCs w:val="18"/>
                <w:b w:val="1"/>
                <w:bCs w:val="1"/>
                <w:color w:val="auto"/>
              </w:rPr>
              <w:t>2006</w:t>
            </w: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7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6000" w:type="dxa"/>
            <w:vAlign w:val="bottom"/>
            <w:gridSpan w:val="3"/>
            <w:shd w:val="clear" w:color="auto" w:fill="EEEEEE"/>
          </w:tcPr>
          <w:p>
            <w:pPr>
              <w:spacing w:after="0"/>
              <w:rPr>
                <w:sz w:val="20"/>
                <w:szCs w:val="20"/>
                <w:color w:val="auto"/>
              </w:rPr>
            </w:pPr>
            <w:r>
              <w:rPr>
                <w:rFonts w:ascii="Arial" w:cs="Arial" w:eastAsia="Arial" w:hAnsi="Arial"/>
                <w:sz w:val="18"/>
                <w:szCs w:val="18"/>
                <w:color w:val="auto"/>
              </w:rPr>
              <w:t>Note Payable – Dante Panetta</w:t>
            </w:r>
          </w:p>
        </w:tc>
        <w:tc>
          <w:tcPr>
            <w:tcW w:w="240" w:type="dxa"/>
            <w:vAlign w:val="bottom"/>
            <w:shd w:val="clear" w:color="auto" w:fill="EEEEEE"/>
          </w:tcPr>
          <w:p>
            <w:pPr>
              <w:jc w:val="right"/>
              <w:ind w:right="50"/>
              <w:spacing w:after="0"/>
              <w:rPr>
                <w:sz w:val="20"/>
                <w:szCs w:val="20"/>
                <w:color w:val="auto"/>
              </w:rPr>
            </w:pPr>
            <w:r>
              <w:rPr>
                <w:rFonts w:ascii="Arial" w:cs="Arial" w:eastAsia="Arial" w:hAnsi="Arial"/>
                <w:sz w:val="18"/>
                <w:szCs w:val="18"/>
                <w:color w:val="auto"/>
                <w:w w:val="79"/>
              </w:rPr>
              <w:t>$</w:t>
            </w:r>
          </w:p>
        </w:tc>
        <w:tc>
          <w:tcPr>
            <w:tcW w:w="920" w:type="dxa"/>
            <w:vAlign w:val="bottom"/>
            <w:shd w:val="clear" w:color="auto" w:fill="EEEEEE"/>
          </w:tcPr>
          <w:p>
            <w:pPr>
              <w:jc w:val="right"/>
              <w:spacing w:after="0"/>
              <w:rPr>
                <w:sz w:val="20"/>
                <w:szCs w:val="20"/>
                <w:color w:val="auto"/>
              </w:rPr>
            </w:pPr>
            <w:r>
              <w:rPr>
                <w:rFonts w:ascii="Arial" w:cs="Arial" w:eastAsia="Arial" w:hAnsi="Arial"/>
                <w:sz w:val="18"/>
                <w:szCs w:val="18"/>
                <w:color w:val="auto"/>
              </w:rPr>
              <w:t>50,000</w:t>
            </w:r>
          </w:p>
        </w:tc>
        <w:tc>
          <w:tcPr>
            <w:tcW w:w="400" w:type="dxa"/>
            <w:vAlign w:val="bottom"/>
            <w:gridSpan w:val="2"/>
            <w:shd w:val="clear" w:color="auto" w:fill="EEEEEE"/>
          </w:tcPr>
          <w:p>
            <w:pPr>
              <w:jc w:val="right"/>
              <w:ind w:right="160"/>
              <w:spacing w:after="0"/>
              <w:rPr>
                <w:sz w:val="20"/>
                <w:szCs w:val="20"/>
                <w:color w:val="auto"/>
              </w:rPr>
            </w:pPr>
            <w:r>
              <w:rPr>
                <w:rFonts w:ascii="Arial" w:cs="Arial" w:eastAsia="Arial" w:hAnsi="Arial"/>
                <w:sz w:val="18"/>
                <w:szCs w:val="18"/>
                <w:color w:val="auto"/>
              </w:rPr>
              <w:t>$</w:t>
            </w:r>
          </w:p>
        </w:tc>
        <w:tc>
          <w:tcPr>
            <w:tcW w:w="900" w:type="dxa"/>
            <w:vAlign w:val="bottom"/>
            <w:shd w:val="clear" w:color="auto" w:fill="EEEEEE"/>
          </w:tcPr>
          <w:p>
            <w:pPr>
              <w:jc w:val="right"/>
              <w:spacing w:after="0"/>
              <w:rPr>
                <w:sz w:val="20"/>
                <w:szCs w:val="20"/>
                <w:color w:val="auto"/>
              </w:rPr>
            </w:pPr>
            <w:r>
              <w:rPr>
                <w:rFonts w:ascii="Arial" w:cs="Arial" w:eastAsia="Arial" w:hAnsi="Arial"/>
                <w:sz w:val="18"/>
                <w:szCs w:val="18"/>
                <w:color w:val="auto"/>
              </w:rPr>
              <w:t>0</w:t>
            </w:r>
          </w:p>
        </w:tc>
        <w:tc>
          <w:tcPr>
            <w:tcW w:w="80" w:type="dxa"/>
            <w:vAlign w:val="bottom"/>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6000" w:type="dxa"/>
            <w:vAlign w:val="bottom"/>
            <w:gridSpan w:val="3"/>
          </w:tcPr>
          <w:p>
            <w:pPr>
              <w:spacing w:after="0"/>
              <w:rPr>
                <w:sz w:val="20"/>
                <w:szCs w:val="20"/>
                <w:color w:val="auto"/>
              </w:rPr>
            </w:pPr>
            <w:r>
              <w:rPr>
                <w:rFonts w:ascii="Arial" w:cs="Arial" w:eastAsia="Arial" w:hAnsi="Arial"/>
                <w:sz w:val="18"/>
                <w:szCs w:val="18"/>
                <w:color w:val="auto"/>
              </w:rPr>
              <w:t>Note Payable – David Harrell</w:t>
            </w:r>
          </w:p>
        </w:tc>
        <w:tc>
          <w:tcPr>
            <w:tcW w:w="24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24,000</w:t>
            </w:r>
          </w:p>
        </w:tc>
        <w:tc>
          <w:tcPr>
            <w:tcW w:w="1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4,000</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7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6000" w:type="dxa"/>
            <w:vAlign w:val="bottom"/>
            <w:tcBorders>
              <w:bottom w:val="single" w:sz="8" w:color="EEEEEE"/>
            </w:tcBorders>
            <w:gridSpan w:val="3"/>
            <w:shd w:val="clear" w:color="auto" w:fill="EEEEEE"/>
          </w:tcPr>
          <w:p>
            <w:pPr>
              <w:spacing w:after="0"/>
              <w:rPr>
                <w:sz w:val="20"/>
                <w:szCs w:val="20"/>
                <w:color w:val="auto"/>
              </w:rPr>
            </w:pPr>
            <w:r>
              <w:rPr>
                <w:rFonts w:ascii="Arial" w:cs="Arial" w:eastAsia="Arial" w:hAnsi="Arial"/>
                <w:sz w:val="18"/>
                <w:szCs w:val="18"/>
                <w:color w:val="auto"/>
              </w:rPr>
              <w:t>Note Payable – LLC members</w:t>
            </w:r>
          </w:p>
        </w:tc>
        <w:tc>
          <w:tcPr>
            <w:tcW w:w="240" w:type="dxa"/>
            <w:vAlign w:val="bottom"/>
            <w:tcBorders>
              <w:bottom w:val="single" w:sz="8" w:color="auto"/>
            </w:tcBorders>
            <w:shd w:val="clear" w:color="auto" w:fill="EEEEEE"/>
          </w:tcPr>
          <w:p>
            <w:pPr>
              <w:spacing w:after="0"/>
              <w:rPr>
                <w:sz w:val="19"/>
                <w:szCs w:val="19"/>
                <w:color w:val="auto"/>
              </w:rPr>
            </w:pPr>
          </w:p>
        </w:tc>
        <w:tc>
          <w:tcPr>
            <w:tcW w:w="920" w:type="dxa"/>
            <w:vAlign w:val="bottom"/>
            <w:tcBorders>
              <w:bottom w:val="single" w:sz="8" w:color="auto"/>
            </w:tcBorders>
            <w:shd w:val="clear" w:color="auto" w:fill="EEEEEE"/>
          </w:tcPr>
          <w:p>
            <w:pPr>
              <w:jc w:val="right"/>
              <w:spacing w:after="0"/>
              <w:rPr>
                <w:sz w:val="20"/>
                <w:szCs w:val="20"/>
                <w:color w:val="auto"/>
              </w:rPr>
            </w:pPr>
            <w:r>
              <w:rPr>
                <w:rFonts w:ascii="Arial" w:cs="Arial" w:eastAsia="Arial" w:hAnsi="Arial"/>
                <w:sz w:val="18"/>
                <w:szCs w:val="18"/>
                <w:color w:val="auto"/>
              </w:rPr>
              <w:t>253,750</w:t>
            </w:r>
          </w:p>
        </w:tc>
        <w:tc>
          <w:tcPr>
            <w:tcW w:w="160" w:type="dxa"/>
            <w:vAlign w:val="bottom"/>
            <w:tcBorders>
              <w:bottom w:val="single" w:sz="8" w:color="EEEEEE"/>
            </w:tcBorders>
            <w:shd w:val="clear" w:color="auto" w:fill="EEEEEE"/>
          </w:tcPr>
          <w:p>
            <w:pPr>
              <w:spacing w:after="0"/>
              <w:rPr>
                <w:sz w:val="19"/>
                <w:szCs w:val="19"/>
                <w:color w:val="auto"/>
              </w:rPr>
            </w:pPr>
          </w:p>
        </w:tc>
        <w:tc>
          <w:tcPr>
            <w:tcW w:w="240" w:type="dxa"/>
            <w:vAlign w:val="bottom"/>
            <w:tcBorders>
              <w:bottom w:val="single" w:sz="8" w:color="auto"/>
            </w:tcBorders>
            <w:shd w:val="clear" w:color="auto" w:fill="EEEEEE"/>
          </w:tcPr>
          <w:p>
            <w:pPr>
              <w:spacing w:after="0"/>
              <w:rPr>
                <w:sz w:val="19"/>
                <w:szCs w:val="19"/>
                <w:color w:val="auto"/>
              </w:rPr>
            </w:pPr>
          </w:p>
        </w:tc>
        <w:tc>
          <w:tcPr>
            <w:tcW w:w="900" w:type="dxa"/>
            <w:vAlign w:val="bottom"/>
            <w:tcBorders>
              <w:bottom w:val="single" w:sz="8" w:color="auto"/>
            </w:tcBorders>
            <w:shd w:val="clear" w:color="auto" w:fill="EEEEEE"/>
          </w:tcPr>
          <w:p>
            <w:pPr>
              <w:jc w:val="right"/>
              <w:spacing w:after="0"/>
              <w:rPr>
                <w:sz w:val="20"/>
                <w:szCs w:val="20"/>
                <w:color w:val="auto"/>
              </w:rPr>
            </w:pPr>
            <w:r>
              <w:rPr>
                <w:rFonts w:ascii="Arial" w:cs="Arial" w:eastAsia="Arial" w:hAnsi="Arial"/>
                <w:sz w:val="18"/>
                <w:szCs w:val="18"/>
                <w:color w:val="auto"/>
              </w:rPr>
              <w:t>0</w:t>
            </w:r>
          </w:p>
        </w:tc>
        <w:tc>
          <w:tcPr>
            <w:tcW w:w="80" w:type="dxa"/>
            <w:vAlign w:val="bottom"/>
            <w:tcBorders>
              <w:bottom w:val="single" w:sz="8" w:color="EEEEEE"/>
            </w:tcBorders>
            <w:shd w:val="clear" w:color="auto" w:fill="EEEEEE"/>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7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6000" w:type="dxa"/>
            <w:vAlign w:val="bottom"/>
            <w:gridSpan w:val="3"/>
          </w:tcPr>
          <w:p>
            <w:pPr>
              <w:ind w:left="160"/>
              <w:spacing w:after="0"/>
              <w:rPr>
                <w:sz w:val="20"/>
                <w:szCs w:val="20"/>
                <w:color w:val="auto"/>
              </w:rPr>
            </w:pPr>
            <w:r>
              <w:rPr>
                <w:rFonts w:ascii="Arial" w:cs="Arial" w:eastAsia="Arial" w:hAnsi="Arial"/>
                <w:sz w:val="18"/>
                <w:szCs w:val="18"/>
                <w:color w:val="auto"/>
              </w:rPr>
              <w:t>Long-Term Debt</w:t>
            </w:r>
          </w:p>
        </w:tc>
        <w:tc>
          <w:tcPr>
            <w:tcW w:w="240" w:type="dxa"/>
            <w:vAlign w:val="bottom"/>
          </w:tcPr>
          <w:p>
            <w:pPr>
              <w:jc w:val="right"/>
              <w:ind w:right="50"/>
              <w:spacing w:after="0"/>
              <w:rPr>
                <w:sz w:val="20"/>
                <w:szCs w:val="20"/>
                <w:color w:val="auto"/>
              </w:rPr>
            </w:pPr>
            <w:r>
              <w:rPr>
                <w:rFonts w:ascii="Arial" w:cs="Arial" w:eastAsia="Arial" w:hAnsi="Arial"/>
                <w:sz w:val="18"/>
                <w:szCs w:val="18"/>
                <w:color w:val="auto"/>
                <w:w w:val="79"/>
              </w:rPr>
              <w:t>$</w:t>
            </w:r>
          </w:p>
        </w:tc>
        <w:tc>
          <w:tcPr>
            <w:tcW w:w="920" w:type="dxa"/>
            <w:vAlign w:val="bottom"/>
          </w:tcPr>
          <w:p>
            <w:pPr>
              <w:jc w:val="right"/>
              <w:spacing w:after="0"/>
              <w:rPr>
                <w:sz w:val="20"/>
                <w:szCs w:val="20"/>
                <w:color w:val="auto"/>
              </w:rPr>
            </w:pPr>
            <w:r>
              <w:rPr>
                <w:rFonts w:ascii="Arial" w:cs="Arial" w:eastAsia="Arial" w:hAnsi="Arial"/>
                <w:sz w:val="18"/>
                <w:szCs w:val="18"/>
                <w:color w:val="auto"/>
              </w:rPr>
              <w:t>327,750</w:t>
            </w:r>
          </w:p>
        </w:tc>
        <w:tc>
          <w:tcPr>
            <w:tcW w:w="40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900" w:type="dxa"/>
            <w:vAlign w:val="bottom"/>
          </w:tcPr>
          <w:p>
            <w:pPr>
              <w:jc w:val="right"/>
              <w:spacing w:after="0"/>
              <w:rPr>
                <w:sz w:val="20"/>
                <w:szCs w:val="20"/>
                <w:color w:val="auto"/>
              </w:rPr>
            </w:pPr>
            <w:r>
              <w:rPr>
                <w:rFonts w:ascii="Arial" w:cs="Arial" w:eastAsia="Arial" w:hAnsi="Arial"/>
                <w:sz w:val="18"/>
                <w:szCs w:val="18"/>
                <w:color w:val="auto"/>
              </w:rPr>
              <w:t>4,000</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
        </w:trPr>
        <w:tc>
          <w:tcPr>
            <w:tcW w:w="7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424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56" w:lineRule="exact"/>
        <w:rPr>
          <w:sz w:val="20"/>
          <w:szCs w:val="20"/>
          <w:color w:val="auto"/>
        </w:rPr>
      </w:pPr>
    </w:p>
    <w:p>
      <w:pPr>
        <w:ind w:left="820"/>
        <w:spacing w:after="0"/>
        <w:rPr>
          <w:sz w:val="20"/>
          <w:szCs w:val="20"/>
          <w:color w:val="auto"/>
        </w:rPr>
      </w:pPr>
      <w:r>
        <w:rPr>
          <w:rFonts w:ascii="Arial" w:cs="Arial" w:eastAsia="Arial" w:hAnsi="Arial"/>
          <w:sz w:val="16"/>
          <w:szCs w:val="16"/>
          <w:color w:val="auto"/>
        </w:rPr>
        <w:t>The note payable to David Harrell was paid off during the year ended December 31, 2007. The note was due on demand and bore 9% interest.</w:t>
      </w:r>
    </w:p>
    <w:p>
      <w:pPr>
        <w:spacing w:after="0" w:line="302" w:lineRule="exact"/>
        <w:rPr>
          <w:sz w:val="20"/>
          <w:szCs w:val="20"/>
          <w:color w:val="auto"/>
        </w:rPr>
      </w:pPr>
    </w:p>
    <w:p>
      <w:pPr>
        <w:ind w:left="820"/>
        <w:spacing w:after="0"/>
        <w:rPr>
          <w:sz w:val="20"/>
          <w:szCs w:val="20"/>
          <w:color w:val="auto"/>
        </w:rPr>
      </w:pPr>
      <w:r>
        <w:rPr>
          <w:rFonts w:ascii="Arial" w:cs="Arial" w:eastAsia="Arial" w:hAnsi="Arial"/>
          <w:sz w:val="17"/>
          <w:szCs w:val="17"/>
          <w:color w:val="auto"/>
        </w:rPr>
        <w:t>The note payable to Dante Panetta is non-interest bearing and is due within 5 days of the Company raising $1,000,000 of additional capital.</w:t>
      </w:r>
    </w:p>
    <w:p>
      <w:pPr>
        <w:spacing w:after="0" w:line="291" w:lineRule="exact"/>
        <w:rPr>
          <w:sz w:val="20"/>
          <w:szCs w:val="20"/>
          <w:color w:val="auto"/>
        </w:rPr>
      </w:pPr>
    </w:p>
    <w:p>
      <w:pPr>
        <w:ind w:left="820"/>
        <w:spacing w:after="0" w:line="282" w:lineRule="auto"/>
        <w:rPr>
          <w:sz w:val="20"/>
          <w:szCs w:val="20"/>
          <w:color w:val="auto"/>
        </w:rPr>
      </w:pPr>
      <w:r>
        <w:rPr>
          <w:rFonts w:ascii="Arial" w:cs="Arial" w:eastAsia="Arial" w:hAnsi="Arial"/>
          <w:sz w:val="18"/>
          <w:szCs w:val="18"/>
          <w:color w:val="auto"/>
        </w:rPr>
        <w:t xml:space="preserve">The note payable to the LLC members was created in a dilution agreement on October 18, 2007 and is non-interest bearing. The entire loan was paid off in the 1 </w:t>
      </w:r>
      <w:r>
        <w:rPr>
          <w:rFonts w:ascii="Arial" w:cs="Arial" w:eastAsia="Arial" w:hAnsi="Arial"/>
          <w:sz w:val="25"/>
          <w:szCs w:val="25"/>
          <w:color w:val="auto"/>
          <w:vertAlign w:val="superscript"/>
        </w:rPr>
        <w:t>st</w:t>
      </w:r>
      <w:r>
        <w:rPr>
          <w:rFonts w:ascii="Arial" w:cs="Arial" w:eastAsia="Arial" w:hAnsi="Arial"/>
          <w:sz w:val="18"/>
          <w:szCs w:val="18"/>
          <w:color w:val="auto"/>
        </w:rPr>
        <w:t xml:space="preserve"> quarter of 2008.</w:t>
      </w:r>
    </w:p>
    <w:p>
      <w:pPr>
        <w:spacing w:after="0" w:line="118"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700" w:type="dxa"/>
            <w:vAlign w:val="bottom"/>
          </w:tcPr>
          <w:p>
            <w:pPr>
              <w:spacing w:after="0"/>
              <w:rPr>
                <w:sz w:val="20"/>
                <w:szCs w:val="20"/>
                <w:color w:val="auto"/>
              </w:rPr>
            </w:pPr>
            <w:r>
              <w:rPr>
                <w:rFonts w:ascii="Arial" w:cs="Arial" w:eastAsia="Arial" w:hAnsi="Arial"/>
                <w:sz w:val="18"/>
                <w:szCs w:val="18"/>
                <w:b w:val="1"/>
                <w:bCs w:val="1"/>
                <w:color w:val="auto"/>
              </w:rPr>
              <w:t>Note 7:</w:t>
            </w:r>
          </w:p>
        </w:tc>
        <w:tc>
          <w:tcPr>
            <w:tcW w:w="180" w:type="dxa"/>
            <w:vAlign w:val="bottom"/>
          </w:tcPr>
          <w:p>
            <w:pPr>
              <w:spacing w:after="0"/>
              <w:rPr>
                <w:sz w:val="18"/>
                <w:szCs w:val="18"/>
                <w:color w:val="auto"/>
              </w:rPr>
            </w:pPr>
          </w:p>
        </w:tc>
        <w:tc>
          <w:tcPr>
            <w:tcW w:w="7400" w:type="dxa"/>
            <w:vAlign w:val="bottom"/>
            <w:gridSpan w:val="4"/>
          </w:tcPr>
          <w:p>
            <w:pPr>
              <w:jc w:val="center"/>
              <w:ind w:right="4860"/>
              <w:spacing w:after="0"/>
              <w:rPr>
                <w:sz w:val="20"/>
                <w:szCs w:val="20"/>
                <w:color w:val="auto"/>
              </w:rPr>
            </w:pPr>
            <w:r>
              <w:rPr>
                <w:rFonts w:ascii="Arial" w:cs="Arial" w:eastAsia="Arial" w:hAnsi="Arial"/>
                <w:sz w:val="18"/>
                <w:szCs w:val="18"/>
                <w:b w:val="1"/>
                <w:bCs w:val="1"/>
                <w:color w:val="auto"/>
                <w:w w:val="88"/>
              </w:rPr>
              <w:t>Commitments and Contingencies</w:t>
            </w:r>
          </w:p>
        </w:tc>
        <w:tc>
          <w:tcPr>
            <w:tcW w:w="4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80" w:type="dxa"/>
            <w:vAlign w:val="bottom"/>
          </w:tcPr>
          <w:p>
            <w:pPr>
              <w:spacing w:after="0"/>
              <w:rPr>
                <w:sz w:val="18"/>
                <w:szCs w:val="18"/>
                <w:color w:val="auto"/>
              </w:rPr>
            </w:pPr>
          </w:p>
        </w:tc>
      </w:tr>
      <w:tr>
        <w:trPr>
          <w:trHeight w:val="20"/>
        </w:trPr>
        <w:tc>
          <w:tcPr>
            <w:tcW w:w="7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680" w:type="dxa"/>
            <w:vAlign w:val="bottom"/>
            <w:gridSpan w:val="2"/>
            <w:shd w:val="clear" w:color="auto" w:fill="000000"/>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486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r>
        <w:trPr>
          <w:trHeight w:val="507"/>
        </w:trPr>
        <w:tc>
          <w:tcPr>
            <w:tcW w:w="700" w:type="dxa"/>
            <w:vAlign w:val="bottom"/>
          </w:tcPr>
          <w:p>
            <w:pPr>
              <w:spacing w:after="0"/>
              <w:rPr>
                <w:sz w:val="24"/>
                <w:szCs w:val="24"/>
                <w:color w:val="auto"/>
              </w:rPr>
            </w:pPr>
          </w:p>
        </w:tc>
        <w:tc>
          <w:tcPr>
            <w:tcW w:w="7580" w:type="dxa"/>
            <w:vAlign w:val="bottom"/>
            <w:gridSpan w:val="5"/>
          </w:tcPr>
          <w:p>
            <w:pPr>
              <w:ind w:left="120"/>
              <w:spacing w:after="0"/>
              <w:rPr>
                <w:sz w:val="20"/>
                <w:szCs w:val="20"/>
                <w:color w:val="auto"/>
              </w:rPr>
            </w:pPr>
            <w:r>
              <w:rPr>
                <w:rFonts w:ascii="Arial" w:cs="Arial" w:eastAsia="Arial" w:hAnsi="Arial"/>
                <w:sz w:val="18"/>
                <w:szCs w:val="18"/>
                <w:color w:val="auto"/>
                <w:w w:val="95"/>
              </w:rPr>
              <w:t>The company leases its offices for $2,500 a month and has signed a lease through May 31, 2009.</w:t>
            </w:r>
          </w:p>
        </w:tc>
        <w:tc>
          <w:tcPr>
            <w:tcW w:w="48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80" w:type="dxa"/>
            <w:vAlign w:val="bottom"/>
          </w:tcPr>
          <w:p>
            <w:pPr>
              <w:spacing w:after="0"/>
              <w:rPr>
                <w:sz w:val="24"/>
                <w:szCs w:val="24"/>
                <w:color w:val="auto"/>
              </w:rPr>
            </w:pPr>
          </w:p>
        </w:tc>
      </w:tr>
      <w:tr>
        <w:trPr>
          <w:trHeight w:val="270"/>
        </w:trPr>
        <w:tc>
          <w:tcPr>
            <w:tcW w:w="70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560" w:type="dxa"/>
            <w:vAlign w:val="bottom"/>
          </w:tcPr>
          <w:p>
            <w:pPr>
              <w:spacing w:after="0"/>
              <w:rPr>
                <w:sz w:val="23"/>
                <w:szCs w:val="23"/>
                <w:color w:val="auto"/>
              </w:rPr>
            </w:pPr>
          </w:p>
        </w:tc>
        <w:tc>
          <w:tcPr>
            <w:tcW w:w="1120" w:type="dxa"/>
            <w:vAlign w:val="bottom"/>
          </w:tcPr>
          <w:p>
            <w:pPr>
              <w:spacing w:after="0"/>
              <w:rPr>
                <w:sz w:val="23"/>
                <w:szCs w:val="23"/>
                <w:color w:val="auto"/>
              </w:rPr>
            </w:pPr>
          </w:p>
        </w:tc>
        <w:tc>
          <w:tcPr>
            <w:tcW w:w="860" w:type="dxa"/>
            <w:vAlign w:val="bottom"/>
          </w:tcPr>
          <w:p>
            <w:pPr>
              <w:spacing w:after="0"/>
              <w:rPr>
                <w:sz w:val="23"/>
                <w:szCs w:val="23"/>
                <w:color w:val="auto"/>
              </w:rPr>
            </w:pPr>
          </w:p>
        </w:tc>
        <w:tc>
          <w:tcPr>
            <w:tcW w:w="4860" w:type="dxa"/>
            <w:vAlign w:val="bottom"/>
          </w:tcPr>
          <w:p>
            <w:pPr>
              <w:spacing w:after="0"/>
              <w:rPr>
                <w:sz w:val="23"/>
                <w:szCs w:val="23"/>
                <w:color w:val="auto"/>
              </w:rPr>
            </w:pPr>
          </w:p>
        </w:tc>
        <w:tc>
          <w:tcPr>
            <w:tcW w:w="480" w:type="dxa"/>
            <w:vAlign w:val="bottom"/>
          </w:tcPr>
          <w:p>
            <w:pPr>
              <w:spacing w:after="0"/>
              <w:rPr>
                <w:sz w:val="23"/>
                <w:szCs w:val="23"/>
                <w:color w:val="auto"/>
              </w:rPr>
            </w:pPr>
          </w:p>
        </w:tc>
        <w:tc>
          <w:tcPr>
            <w:tcW w:w="360" w:type="dxa"/>
            <w:vAlign w:val="bottom"/>
          </w:tcPr>
          <w:p>
            <w:pPr>
              <w:spacing w:after="0"/>
              <w:rPr>
                <w:sz w:val="23"/>
                <w:szCs w:val="23"/>
                <w:color w:val="auto"/>
              </w:rPr>
            </w:pPr>
          </w:p>
        </w:tc>
        <w:tc>
          <w:tcPr>
            <w:tcW w:w="780" w:type="dxa"/>
            <w:vAlign w:val="bottom"/>
          </w:tcPr>
          <w:p>
            <w:pPr>
              <w:spacing w:after="0"/>
              <w:rPr>
                <w:sz w:val="23"/>
                <w:szCs w:val="23"/>
                <w:color w:val="auto"/>
              </w:rPr>
            </w:pPr>
          </w:p>
        </w:tc>
        <w:tc>
          <w:tcPr>
            <w:tcW w:w="80" w:type="dxa"/>
            <w:vAlign w:val="bottom"/>
          </w:tcPr>
          <w:p>
            <w:pPr>
              <w:spacing w:after="0"/>
              <w:rPr>
                <w:sz w:val="23"/>
                <w:szCs w:val="23"/>
                <w:color w:val="auto"/>
              </w:rPr>
            </w:pPr>
          </w:p>
        </w:tc>
      </w:tr>
      <w:tr>
        <w:trPr>
          <w:trHeight w:val="216"/>
        </w:trPr>
        <w:tc>
          <w:tcPr>
            <w:tcW w:w="7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6840" w:type="dxa"/>
            <w:vAlign w:val="bottom"/>
            <w:gridSpan w:val="3"/>
            <w:shd w:val="clear" w:color="auto" w:fill="EEEEEE"/>
          </w:tcPr>
          <w:p>
            <w:pPr>
              <w:jc w:val="center"/>
              <w:ind w:right="5420"/>
              <w:spacing w:after="0"/>
              <w:rPr>
                <w:sz w:val="20"/>
                <w:szCs w:val="20"/>
                <w:color w:val="auto"/>
              </w:rPr>
            </w:pPr>
            <w:r>
              <w:rPr>
                <w:rFonts w:ascii="Arial" w:cs="Arial" w:eastAsia="Arial" w:hAnsi="Arial"/>
                <w:sz w:val="18"/>
                <w:szCs w:val="18"/>
                <w:color w:val="auto"/>
                <w:w w:val="89"/>
              </w:rPr>
              <w:t>December 31, 2008</w:t>
            </w:r>
          </w:p>
        </w:tc>
        <w:tc>
          <w:tcPr>
            <w:tcW w:w="840" w:type="dxa"/>
            <w:vAlign w:val="bottom"/>
            <w:gridSpan w:val="2"/>
            <w:shd w:val="clear" w:color="auto" w:fill="EEEEEE"/>
          </w:tcPr>
          <w:p>
            <w:pPr>
              <w:jc w:val="right"/>
              <w:ind w:right="280"/>
              <w:spacing w:after="0"/>
              <w:rPr>
                <w:sz w:val="20"/>
                <w:szCs w:val="20"/>
                <w:color w:val="auto"/>
              </w:rPr>
            </w:pPr>
            <w:r>
              <w:rPr>
                <w:rFonts w:ascii="Arial" w:cs="Arial" w:eastAsia="Arial" w:hAnsi="Arial"/>
                <w:sz w:val="18"/>
                <w:szCs w:val="18"/>
                <w:color w:val="auto"/>
              </w:rPr>
              <w:t>$</w:t>
            </w:r>
          </w:p>
        </w:tc>
        <w:tc>
          <w:tcPr>
            <w:tcW w:w="780" w:type="dxa"/>
            <w:vAlign w:val="bottom"/>
            <w:shd w:val="clear" w:color="auto" w:fill="EEEEEE"/>
          </w:tcPr>
          <w:p>
            <w:pPr>
              <w:jc w:val="right"/>
              <w:spacing w:after="0"/>
              <w:rPr>
                <w:sz w:val="20"/>
                <w:szCs w:val="20"/>
                <w:color w:val="auto"/>
              </w:rPr>
            </w:pPr>
            <w:r>
              <w:rPr>
                <w:rFonts w:ascii="Arial" w:cs="Arial" w:eastAsia="Arial" w:hAnsi="Arial"/>
                <w:sz w:val="18"/>
                <w:szCs w:val="18"/>
                <w:color w:val="auto"/>
              </w:rPr>
              <w:t>30,000</w:t>
            </w:r>
          </w:p>
        </w:tc>
        <w:tc>
          <w:tcPr>
            <w:tcW w:w="80" w:type="dxa"/>
            <w:vAlign w:val="bottom"/>
            <w:shd w:val="clear" w:color="auto" w:fill="EEEEEE"/>
          </w:tcPr>
          <w:p>
            <w:pPr>
              <w:spacing w:after="0"/>
              <w:rPr>
                <w:sz w:val="18"/>
                <w:szCs w:val="18"/>
                <w:color w:val="auto"/>
              </w:rPr>
            </w:pPr>
          </w:p>
        </w:tc>
      </w:tr>
      <w:tr>
        <w:trPr>
          <w:trHeight w:val="223"/>
        </w:trPr>
        <w:tc>
          <w:tcPr>
            <w:tcW w:w="7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6840" w:type="dxa"/>
            <w:vAlign w:val="bottom"/>
            <w:gridSpan w:val="3"/>
          </w:tcPr>
          <w:p>
            <w:pPr>
              <w:jc w:val="center"/>
              <w:ind w:right="5420"/>
              <w:spacing w:after="0"/>
              <w:rPr>
                <w:sz w:val="20"/>
                <w:szCs w:val="20"/>
                <w:color w:val="auto"/>
              </w:rPr>
            </w:pPr>
            <w:r>
              <w:rPr>
                <w:rFonts w:ascii="Arial" w:cs="Arial" w:eastAsia="Arial" w:hAnsi="Arial"/>
                <w:sz w:val="18"/>
                <w:szCs w:val="18"/>
                <w:color w:val="auto"/>
                <w:w w:val="89"/>
              </w:rPr>
              <w:t>December 31, 2009</w:t>
            </w:r>
          </w:p>
        </w:tc>
        <w:tc>
          <w:tcPr>
            <w:tcW w:w="480" w:type="dxa"/>
            <w:vAlign w:val="bottom"/>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12,500</w:t>
            </w:r>
          </w:p>
        </w:tc>
        <w:tc>
          <w:tcPr>
            <w:tcW w:w="80" w:type="dxa"/>
            <w:vAlign w:val="bottom"/>
          </w:tcPr>
          <w:p>
            <w:pPr>
              <w:spacing w:after="0"/>
              <w:rPr>
                <w:sz w:val="19"/>
                <w:szCs w:val="19"/>
                <w:color w:val="auto"/>
              </w:rPr>
            </w:pPr>
          </w:p>
        </w:tc>
      </w:tr>
      <w:tr>
        <w:trPr>
          <w:trHeight w:val="237"/>
        </w:trPr>
        <w:tc>
          <w:tcPr>
            <w:tcW w:w="7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6840" w:type="dxa"/>
            <w:vAlign w:val="bottom"/>
            <w:gridSpan w:val="3"/>
            <w:shd w:val="clear" w:color="auto" w:fill="EEEEEE"/>
          </w:tcPr>
          <w:p>
            <w:pPr>
              <w:ind w:left="160"/>
              <w:spacing w:after="0"/>
              <w:rPr>
                <w:sz w:val="20"/>
                <w:szCs w:val="20"/>
                <w:color w:val="auto"/>
              </w:rPr>
            </w:pPr>
            <w:r>
              <w:rPr>
                <w:rFonts w:ascii="Arial" w:cs="Arial" w:eastAsia="Arial" w:hAnsi="Arial"/>
                <w:sz w:val="18"/>
                <w:szCs w:val="18"/>
                <w:color w:val="auto"/>
              </w:rPr>
              <w:t>Total Lease Obligation</w:t>
            </w:r>
          </w:p>
        </w:tc>
        <w:tc>
          <w:tcPr>
            <w:tcW w:w="840" w:type="dxa"/>
            <w:vAlign w:val="bottom"/>
            <w:gridSpan w:val="2"/>
            <w:shd w:val="clear" w:color="auto" w:fill="EEEEEE"/>
          </w:tcPr>
          <w:p>
            <w:pPr>
              <w:jc w:val="right"/>
              <w:ind w:right="280"/>
              <w:spacing w:after="0"/>
              <w:rPr>
                <w:sz w:val="20"/>
                <w:szCs w:val="20"/>
                <w:color w:val="auto"/>
              </w:rPr>
            </w:pPr>
            <w:r>
              <w:rPr>
                <w:rFonts w:ascii="Arial" w:cs="Arial" w:eastAsia="Arial" w:hAnsi="Arial"/>
                <w:sz w:val="18"/>
                <w:szCs w:val="18"/>
                <w:color w:val="auto"/>
              </w:rPr>
              <w:t>$</w:t>
            </w:r>
          </w:p>
        </w:tc>
        <w:tc>
          <w:tcPr>
            <w:tcW w:w="780" w:type="dxa"/>
            <w:vAlign w:val="bottom"/>
            <w:shd w:val="clear" w:color="auto" w:fill="EEEEEE"/>
          </w:tcPr>
          <w:p>
            <w:pPr>
              <w:jc w:val="right"/>
              <w:spacing w:after="0"/>
              <w:rPr>
                <w:sz w:val="20"/>
                <w:szCs w:val="20"/>
                <w:color w:val="auto"/>
              </w:rPr>
            </w:pPr>
            <w:r>
              <w:rPr>
                <w:rFonts w:ascii="Arial" w:cs="Arial" w:eastAsia="Arial" w:hAnsi="Arial"/>
                <w:sz w:val="18"/>
                <w:szCs w:val="18"/>
                <w:color w:val="auto"/>
              </w:rPr>
              <w:t>42,500</w:t>
            </w:r>
          </w:p>
        </w:tc>
        <w:tc>
          <w:tcPr>
            <w:tcW w:w="80" w:type="dxa"/>
            <w:vAlign w:val="bottom"/>
            <w:shd w:val="clear" w:color="auto" w:fill="EEEEEE"/>
          </w:tcPr>
          <w:p>
            <w:pPr>
              <w:spacing w:after="0"/>
              <w:rPr>
                <w:sz w:val="20"/>
                <w:szCs w:val="20"/>
                <w:color w:val="auto"/>
              </w:rPr>
            </w:pPr>
          </w:p>
        </w:tc>
      </w:tr>
      <w:tr>
        <w:trPr>
          <w:trHeight w:val="20"/>
        </w:trPr>
        <w:tc>
          <w:tcPr>
            <w:tcW w:w="7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120" w:type="dxa"/>
            <w:vAlign w:val="bottom"/>
            <w:tcBorders>
              <w:top w:val="single" w:sz="8" w:color="EEEEEE"/>
            </w:tcBorders>
            <w:shd w:val="clear" w:color="auto" w:fill="EEEEEE"/>
          </w:tcPr>
          <w:p>
            <w:pPr>
              <w:spacing w:after="0" w:line="20" w:lineRule="exact"/>
              <w:rPr>
                <w:sz w:val="1"/>
                <w:szCs w:val="1"/>
                <w:color w:val="auto"/>
              </w:rPr>
            </w:pPr>
          </w:p>
        </w:tc>
        <w:tc>
          <w:tcPr>
            <w:tcW w:w="860" w:type="dxa"/>
            <w:vAlign w:val="bottom"/>
            <w:tcBorders>
              <w:top w:val="single" w:sz="8" w:color="EEEEEE"/>
            </w:tcBorders>
            <w:shd w:val="clear" w:color="auto" w:fill="EEEEEE"/>
          </w:tcPr>
          <w:p>
            <w:pPr>
              <w:spacing w:after="0" w:line="20" w:lineRule="exact"/>
              <w:rPr>
                <w:sz w:val="1"/>
                <w:szCs w:val="1"/>
                <w:color w:val="auto"/>
              </w:rPr>
            </w:pPr>
          </w:p>
        </w:tc>
        <w:tc>
          <w:tcPr>
            <w:tcW w:w="4860" w:type="dxa"/>
            <w:vAlign w:val="bottom"/>
            <w:tcBorders>
              <w:top w:val="single" w:sz="8" w:color="EEEEEE"/>
            </w:tcBorders>
            <w:shd w:val="clear" w:color="auto" w:fill="EEEEEE"/>
          </w:tcPr>
          <w:p>
            <w:pPr>
              <w:spacing w:after="0" w:line="20" w:lineRule="exact"/>
              <w:rPr>
                <w:sz w:val="1"/>
                <w:szCs w:val="1"/>
                <w:color w:val="auto"/>
              </w:rPr>
            </w:pPr>
          </w:p>
        </w:tc>
        <w:tc>
          <w:tcPr>
            <w:tcW w:w="480" w:type="dxa"/>
            <w:vAlign w:val="bottom"/>
            <w:tcBorders>
              <w:top w:val="single" w:sz="8" w:color="EEEEEE"/>
            </w:tcBorders>
            <w:shd w:val="clear" w:color="auto" w:fill="EEEEEE"/>
          </w:tcPr>
          <w:p>
            <w:pPr>
              <w:spacing w:after="0" w:line="20" w:lineRule="exact"/>
              <w:rPr>
                <w:sz w:val="1"/>
                <w:szCs w:val="1"/>
                <w:color w:val="auto"/>
              </w:rPr>
            </w:pPr>
          </w:p>
        </w:tc>
        <w:tc>
          <w:tcPr>
            <w:tcW w:w="360" w:type="dxa"/>
            <w:vAlign w:val="bottom"/>
            <w:tcBorders>
              <w:top w:val="single" w:sz="8" w:color="auto"/>
            </w:tcBorders>
            <w:shd w:val="clear" w:color="auto" w:fill="000000"/>
          </w:tcPr>
          <w:p>
            <w:pPr>
              <w:spacing w:after="0" w:line="20" w:lineRule="exact"/>
              <w:rPr>
                <w:sz w:val="1"/>
                <w:szCs w:val="1"/>
                <w:color w:val="auto"/>
              </w:rPr>
            </w:pPr>
          </w:p>
        </w:tc>
        <w:tc>
          <w:tcPr>
            <w:tcW w:w="780" w:type="dxa"/>
            <w:vAlign w:val="bottom"/>
            <w:tcBorders>
              <w:top w:val="single" w:sz="8" w:color="auto"/>
            </w:tcBorders>
            <w:shd w:val="clear" w:color="auto" w:fill="000000"/>
          </w:tcPr>
          <w:p>
            <w:pPr>
              <w:spacing w:after="0" w:line="20" w:lineRule="exact"/>
              <w:rPr>
                <w:sz w:val="1"/>
                <w:szCs w:val="1"/>
                <w:color w:val="auto"/>
              </w:rPr>
            </w:pPr>
          </w:p>
        </w:tc>
        <w:tc>
          <w:tcPr>
            <w:tcW w:w="80" w:type="dxa"/>
            <w:vAlign w:val="bottom"/>
            <w:tcBorders>
              <w:top w:val="single" w:sz="8" w:color="EEEEEE"/>
            </w:tcBorders>
            <w:shd w:val="clear" w:color="auto" w:fill="EEEEEE"/>
          </w:tcPr>
          <w:p>
            <w:pPr>
              <w:spacing w:after="0" w:line="20" w:lineRule="exact"/>
              <w:rPr>
                <w:sz w:val="1"/>
                <w:szCs w:val="1"/>
                <w:color w:val="auto"/>
              </w:rPr>
            </w:pPr>
          </w:p>
        </w:tc>
      </w:tr>
      <w:tr>
        <w:trPr>
          <w:trHeight w:val="439"/>
        </w:trPr>
        <w:tc>
          <w:tcPr>
            <w:tcW w:w="700" w:type="dxa"/>
            <w:vAlign w:val="bottom"/>
          </w:tcPr>
          <w:p>
            <w:pPr>
              <w:spacing w:after="0"/>
              <w:rPr>
                <w:sz w:val="20"/>
                <w:szCs w:val="20"/>
                <w:color w:val="auto"/>
              </w:rPr>
            </w:pPr>
            <w:r>
              <w:rPr>
                <w:rFonts w:ascii="Arial" w:cs="Arial" w:eastAsia="Arial" w:hAnsi="Arial"/>
                <w:sz w:val="18"/>
                <w:szCs w:val="18"/>
                <w:b w:val="1"/>
                <w:bCs w:val="1"/>
                <w:color w:val="auto"/>
              </w:rPr>
              <w:t>Note 8:</w:t>
            </w:r>
          </w:p>
        </w:tc>
        <w:tc>
          <w:tcPr>
            <w:tcW w:w="180" w:type="dxa"/>
            <w:vAlign w:val="bottom"/>
          </w:tcPr>
          <w:p>
            <w:pPr>
              <w:spacing w:after="0"/>
              <w:rPr>
                <w:sz w:val="24"/>
                <w:szCs w:val="24"/>
                <w:color w:val="auto"/>
              </w:rPr>
            </w:pPr>
          </w:p>
        </w:tc>
        <w:tc>
          <w:tcPr>
            <w:tcW w:w="7400" w:type="dxa"/>
            <w:vAlign w:val="bottom"/>
            <w:gridSpan w:val="4"/>
          </w:tcPr>
          <w:p>
            <w:pPr>
              <w:spacing w:after="0"/>
              <w:rPr>
                <w:sz w:val="20"/>
                <w:szCs w:val="20"/>
                <w:color w:val="auto"/>
              </w:rPr>
            </w:pPr>
            <w:r>
              <w:rPr>
                <w:rFonts w:ascii="Arial" w:cs="Arial" w:eastAsia="Arial" w:hAnsi="Arial"/>
                <w:sz w:val="18"/>
                <w:szCs w:val="18"/>
                <w:b w:val="1"/>
                <w:bCs w:val="1"/>
                <w:color w:val="auto"/>
              </w:rPr>
              <w:t>Dividend Distribution</w:t>
            </w:r>
          </w:p>
        </w:tc>
        <w:tc>
          <w:tcPr>
            <w:tcW w:w="48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80" w:type="dxa"/>
            <w:vAlign w:val="bottom"/>
          </w:tcPr>
          <w:p>
            <w:pPr>
              <w:spacing w:after="0"/>
              <w:rPr>
                <w:sz w:val="24"/>
                <w:szCs w:val="24"/>
                <w:color w:val="auto"/>
              </w:rPr>
            </w:pPr>
          </w:p>
        </w:tc>
      </w:tr>
      <w:tr>
        <w:trPr>
          <w:trHeight w:val="20"/>
        </w:trPr>
        <w:tc>
          <w:tcPr>
            <w:tcW w:w="7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1120" w:type="dxa"/>
            <w:vAlign w:val="bottom"/>
            <w:shd w:val="clear" w:color="auto" w:fill="000000"/>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486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283" w:lineRule="exact"/>
        <w:rPr>
          <w:sz w:val="20"/>
          <w:szCs w:val="20"/>
          <w:color w:val="auto"/>
        </w:rPr>
      </w:pPr>
    </w:p>
    <w:p>
      <w:pPr>
        <w:ind w:left="820"/>
        <w:spacing w:after="0" w:line="308" w:lineRule="auto"/>
        <w:rPr>
          <w:sz w:val="20"/>
          <w:szCs w:val="20"/>
          <w:color w:val="auto"/>
        </w:rPr>
      </w:pPr>
      <w:r>
        <w:rPr>
          <w:rFonts w:ascii="Arial" w:cs="Arial" w:eastAsia="Arial" w:hAnsi="Arial"/>
          <w:sz w:val="17"/>
          <w:szCs w:val="17"/>
          <w:color w:val="auto"/>
        </w:rPr>
        <w:t>The Company recorded a one-time, non-cash deemed dividend on October 18, 2007 of $33,461. This dividend resulted due to the continuous efforts of acquiring all the assets from the LLC. Through this dividend, the Company acquired all assets and liabilities of the LLC.</w:t>
      </w:r>
    </w:p>
    <w:p>
      <w:pPr>
        <w:spacing w:after="0" w:line="200" w:lineRule="exact"/>
        <w:rPr>
          <w:sz w:val="20"/>
          <w:szCs w:val="20"/>
          <w:color w:val="auto"/>
        </w:rPr>
      </w:pPr>
    </w:p>
    <w:p>
      <w:pPr>
        <w:spacing w:after="0" w:line="24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246620" cy="8890"/>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634" w:right="239" w:bottom="1440" w:gutter="0" w:footer="0" w:header="0"/>
        </w:sectPr>
      </w:pPr>
    </w:p>
    <w:bookmarkStart w:id="51" w:name="page52"/>
    <w:bookmarkEnd w:id="51"/>
    <w:p>
      <w:pPr>
        <w:jc w:val="center"/>
        <w:spacing w:after="0"/>
        <w:rPr>
          <w:sz w:val="20"/>
          <w:szCs w:val="20"/>
          <w:color w:val="auto"/>
        </w:rPr>
      </w:pPr>
      <w:r>
        <w:rPr>
          <w:rFonts w:ascii="Arial" w:cs="Arial" w:eastAsia="Arial" w:hAnsi="Arial"/>
          <w:sz w:val="18"/>
          <w:szCs w:val="18"/>
          <w:b w:val="1"/>
          <w:bCs w:val="1"/>
          <w:color w:val="auto"/>
        </w:rPr>
        <w:t>OPTIMIZERx CORPORATION</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OPTIMIZER SYSTEMS, LLC</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 DEVELOPMENT STAGE COMPANY)</w:t>
      </w:r>
    </w:p>
    <w:p>
      <w:pPr>
        <w:spacing w:after="0" w:line="9"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NOTES TO FINANCIAL STATEMENTS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DECEMBER 31, 2007</w:t>
      </w:r>
    </w:p>
    <w:p>
      <w:pPr>
        <w:spacing w:after="0" w:line="261" w:lineRule="exact"/>
        <w:rPr>
          <w:sz w:val="20"/>
          <w:szCs w:val="20"/>
          <w:color w:val="auto"/>
        </w:rPr>
      </w:pPr>
    </w:p>
    <w:p>
      <w:pPr>
        <w:spacing w:after="0"/>
        <w:tabs>
          <w:tab w:leader="none" w:pos="860" w:val="left"/>
        </w:tabs>
        <w:rPr>
          <w:sz w:val="20"/>
          <w:szCs w:val="20"/>
          <w:color w:val="auto"/>
        </w:rPr>
      </w:pPr>
      <w:r>
        <w:rPr>
          <w:rFonts w:ascii="Arial" w:cs="Arial" w:eastAsia="Arial" w:hAnsi="Arial"/>
          <w:sz w:val="18"/>
          <w:szCs w:val="18"/>
          <w:b w:val="1"/>
          <w:bCs w:val="1"/>
          <w:color w:val="auto"/>
        </w:rPr>
        <w:t>Note 9:</w:t>
      </w:r>
      <w:r>
        <w:rPr>
          <w:sz w:val="20"/>
          <w:szCs w:val="20"/>
          <w:color w:val="auto"/>
        </w:rPr>
        <w:tab/>
      </w:r>
      <w:r>
        <w:rPr>
          <w:rFonts w:ascii="Arial" w:cs="Arial" w:eastAsia="Arial" w:hAnsi="Arial"/>
          <w:sz w:val="16"/>
          <w:szCs w:val="16"/>
          <w:b w:val="1"/>
          <w:bCs w:val="1"/>
          <w:u w:val="single" w:color="auto"/>
          <w:color w:val="auto"/>
        </w:rPr>
        <w:t>Capital Stock</w:t>
      </w:r>
    </w:p>
    <w:p>
      <w:pPr>
        <w:spacing w:after="0" w:line="283" w:lineRule="exact"/>
        <w:rPr>
          <w:sz w:val="20"/>
          <w:szCs w:val="20"/>
          <w:color w:val="auto"/>
        </w:rPr>
      </w:pPr>
    </w:p>
    <w:p>
      <w:pPr>
        <w:jc w:val="both"/>
        <w:ind w:left="820"/>
        <w:spacing w:after="0" w:line="277" w:lineRule="auto"/>
        <w:rPr>
          <w:sz w:val="20"/>
          <w:szCs w:val="20"/>
          <w:color w:val="auto"/>
        </w:rPr>
      </w:pPr>
      <w:r>
        <w:rPr>
          <w:rFonts w:ascii="Arial" w:cs="Arial" w:eastAsia="Arial" w:hAnsi="Arial"/>
          <w:sz w:val="18"/>
          <w:szCs w:val="18"/>
          <w:color w:val="auto"/>
        </w:rPr>
        <w:t>The Company has 40,000,000 shares of $.001 par value common stock authorized as of December 31, 2007. There were 10,300,000 common shares issued and outstanding at December 31, 2007.</w:t>
      </w:r>
    </w:p>
    <w:p>
      <w:pPr>
        <w:spacing w:after="0" w:line="220" w:lineRule="exact"/>
        <w:rPr>
          <w:sz w:val="20"/>
          <w:szCs w:val="20"/>
          <w:color w:val="auto"/>
        </w:rPr>
      </w:pPr>
    </w:p>
    <w:p>
      <w:pPr>
        <w:spacing w:after="0"/>
        <w:tabs>
          <w:tab w:leader="none" w:pos="860" w:val="left"/>
        </w:tabs>
        <w:rPr>
          <w:sz w:val="20"/>
          <w:szCs w:val="20"/>
          <w:color w:val="auto"/>
        </w:rPr>
      </w:pPr>
      <w:r>
        <w:rPr>
          <w:rFonts w:ascii="Arial" w:cs="Arial" w:eastAsia="Arial" w:hAnsi="Arial"/>
          <w:sz w:val="18"/>
          <w:szCs w:val="18"/>
          <w:b w:val="1"/>
          <w:bCs w:val="1"/>
          <w:color w:val="auto"/>
        </w:rPr>
        <w:t>Note 10:</w:t>
      </w:r>
      <w:r>
        <w:rPr>
          <w:sz w:val="20"/>
          <w:szCs w:val="20"/>
          <w:color w:val="auto"/>
        </w:rPr>
        <w:tab/>
      </w:r>
      <w:r>
        <w:rPr>
          <w:rFonts w:ascii="Arial" w:cs="Arial" w:eastAsia="Arial" w:hAnsi="Arial"/>
          <w:sz w:val="16"/>
          <w:szCs w:val="16"/>
          <w:b w:val="1"/>
          <w:bCs w:val="1"/>
          <w:u w:val="single" w:color="auto"/>
          <w:color w:val="auto"/>
        </w:rPr>
        <w:t>Related Party Transactions</w:t>
      </w:r>
    </w:p>
    <w:p>
      <w:pPr>
        <w:spacing w:after="0" w:line="283" w:lineRule="exact"/>
        <w:rPr>
          <w:sz w:val="20"/>
          <w:szCs w:val="20"/>
          <w:color w:val="auto"/>
        </w:rPr>
      </w:pPr>
    </w:p>
    <w:p>
      <w:pPr>
        <w:jc w:val="both"/>
        <w:ind w:left="820"/>
        <w:spacing w:after="0" w:line="277" w:lineRule="auto"/>
        <w:rPr>
          <w:sz w:val="20"/>
          <w:szCs w:val="20"/>
          <w:color w:val="auto"/>
        </w:rPr>
      </w:pPr>
      <w:r>
        <w:rPr>
          <w:rFonts w:ascii="Arial" w:cs="Arial" w:eastAsia="Arial" w:hAnsi="Arial"/>
          <w:sz w:val="18"/>
          <w:szCs w:val="18"/>
          <w:color w:val="auto"/>
        </w:rPr>
        <w:t>The company has engaged an officer of the company for management services under a contract that paid him $114,500 and $101,900 in 2007 and 2006, respectively.</w:t>
      </w:r>
    </w:p>
    <w:p>
      <w:pPr>
        <w:spacing w:after="0" w:line="224" w:lineRule="exact"/>
        <w:rPr>
          <w:sz w:val="20"/>
          <w:szCs w:val="20"/>
          <w:color w:val="auto"/>
        </w:rPr>
      </w:pPr>
    </w:p>
    <w:p>
      <w:pPr>
        <w:jc w:val="both"/>
        <w:ind w:left="820"/>
        <w:spacing w:after="0" w:line="277" w:lineRule="auto"/>
        <w:rPr>
          <w:sz w:val="20"/>
          <w:szCs w:val="20"/>
          <w:color w:val="auto"/>
        </w:rPr>
      </w:pPr>
      <w:r>
        <w:rPr>
          <w:rFonts w:ascii="Arial" w:cs="Arial" w:eastAsia="Arial" w:hAnsi="Arial"/>
          <w:sz w:val="18"/>
          <w:szCs w:val="18"/>
          <w:color w:val="auto"/>
        </w:rPr>
        <w:t>Upon the transfer of the assets and liabilities from the LLC to the corporation, the LLC members were issued promissory notes totaling $253,750 under a dilution agreement for a portion of their interests in Optimizer Systems, LLC.</w:t>
      </w:r>
    </w:p>
    <w:p>
      <w:pPr>
        <w:spacing w:after="0" w:line="224" w:lineRule="exact"/>
        <w:rPr>
          <w:sz w:val="20"/>
          <w:szCs w:val="20"/>
          <w:color w:val="auto"/>
        </w:rPr>
      </w:pPr>
    </w:p>
    <w:p>
      <w:pPr>
        <w:jc w:val="both"/>
        <w:ind w:left="820" w:right="20"/>
        <w:spacing w:after="0" w:line="277" w:lineRule="auto"/>
        <w:rPr>
          <w:sz w:val="20"/>
          <w:szCs w:val="20"/>
          <w:color w:val="auto"/>
        </w:rPr>
      </w:pPr>
      <w:r>
        <w:rPr>
          <w:rFonts w:ascii="Arial" w:cs="Arial" w:eastAsia="Arial" w:hAnsi="Arial"/>
          <w:sz w:val="18"/>
          <w:szCs w:val="18"/>
          <w:color w:val="auto"/>
        </w:rPr>
        <w:t>The company has a $50,000 note payable to a shareholder (see note 5) that will be repaid only if $1,000,000 of additional capital is raised. In addition there is a $24,000 note to an officer of the company (see note 5).</w:t>
      </w:r>
    </w:p>
    <w:p>
      <w:pPr>
        <w:spacing w:after="0" w:line="220" w:lineRule="exact"/>
        <w:rPr>
          <w:sz w:val="20"/>
          <w:szCs w:val="20"/>
          <w:color w:val="auto"/>
        </w:rPr>
      </w:pPr>
    </w:p>
    <w:p>
      <w:pPr>
        <w:spacing w:after="0"/>
        <w:tabs>
          <w:tab w:leader="none" w:pos="840" w:val="left"/>
        </w:tabs>
        <w:rPr>
          <w:sz w:val="20"/>
          <w:szCs w:val="20"/>
          <w:color w:val="auto"/>
        </w:rPr>
      </w:pPr>
      <w:r>
        <w:rPr>
          <w:rFonts w:ascii="Arial" w:cs="Arial" w:eastAsia="Arial" w:hAnsi="Arial"/>
          <w:sz w:val="18"/>
          <w:szCs w:val="18"/>
          <w:b w:val="1"/>
          <w:bCs w:val="1"/>
          <w:color w:val="auto"/>
        </w:rPr>
        <w:t>Note 11:</w:t>
      </w:r>
      <w:r>
        <w:rPr>
          <w:sz w:val="20"/>
          <w:szCs w:val="20"/>
          <w:color w:val="auto"/>
        </w:rPr>
        <w:tab/>
      </w:r>
      <w:r>
        <w:rPr>
          <w:rFonts w:ascii="Arial" w:cs="Arial" w:eastAsia="Arial" w:hAnsi="Arial"/>
          <w:sz w:val="16"/>
          <w:szCs w:val="16"/>
          <w:b w:val="1"/>
          <w:bCs w:val="1"/>
          <w:u w:val="single" w:color="auto"/>
          <w:color w:val="auto"/>
        </w:rPr>
        <w:t>Income Taxes</w:t>
      </w:r>
    </w:p>
    <w:p>
      <w:pPr>
        <w:spacing w:after="0" w:line="283" w:lineRule="exact"/>
        <w:rPr>
          <w:sz w:val="20"/>
          <w:szCs w:val="20"/>
          <w:color w:val="auto"/>
        </w:rPr>
      </w:pPr>
    </w:p>
    <w:p>
      <w:pPr>
        <w:jc w:val="both"/>
        <w:ind w:left="820"/>
        <w:spacing w:after="0" w:line="279" w:lineRule="auto"/>
        <w:rPr>
          <w:sz w:val="20"/>
          <w:szCs w:val="20"/>
          <w:color w:val="auto"/>
        </w:rPr>
      </w:pPr>
      <w:r>
        <w:rPr>
          <w:rFonts w:ascii="Arial" w:cs="Arial" w:eastAsia="Arial" w:hAnsi="Arial"/>
          <w:sz w:val="17"/>
          <w:szCs w:val="17"/>
          <w:color w:val="auto"/>
        </w:rPr>
        <w:t>For the periods ended December 31, 2007, the Company has incurred a net loss of approximately 200,000 and therefore has no tax liability. The company began operations in 2007 and therefore it has no previous net operating loss carry-forwards. The 2007 loss will be carried forward and can be used through the year 2027 to offset future taxable income. In the future the cumulative net operating loss carry-forward for income tax purposes may differ from the cumulative financial statement loss due to timing differences between book and tax reporting.</w:t>
      </w:r>
    </w:p>
    <w:p>
      <w:pPr>
        <w:spacing w:after="0" w:line="225" w:lineRule="exact"/>
        <w:rPr>
          <w:sz w:val="20"/>
          <w:szCs w:val="20"/>
          <w:color w:val="auto"/>
        </w:rPr>
      </w:pPr>
    </w:p>
    <w:p>
      <w:pPr>
        <w:ind w:left="820"/>
        <w:spacing w:after="0"/>
        <w:rPr>
          <w:sz w:val="20"/>
          <w:szCs w:val="20"/>
          <w:color w:val="auto"/>
        </w:rPr>
      </w:pPr>
      <w:r>
        <w:rPr>
          <w:rFonts w:ascii="Arial" w:cs="Arial" w:eastAsia="Arial" w:hAnsi="Arial"/>
          <w:sz w:val="18"/>
          <w:szCs w:val="18"/>
          <w:color w:val="auto"/>
        </w:rPr>
        <w:t>The cumulative tax effect at the expected rate of 34% of significant items comprising our net deferred tax amount is as follows:</w:t>
      </w:r>
    </w:p>
    <w:p>
      <w:pPr>
        <w:sectPr>
          <w:pgSz w:w="11900" w:h="16838" w:orient="portrait"/>
          <w:cols w:equalWidth="0" w:num="1">
            <w:col w:w="11420"/>
          </w:cols>
          <w:pgMar w:left="240" w:top="634" w:right="239" w:bottom="1440" w:gutter="0" w:footer="0" w:header="0"/>
        </w:sectPr>
      </w:pPr>
    </w:p>
    <w:p>
      <w:pPr>
        <w:spacing w:after="0" w:line="200" w:lineRule="exact"/>
        <w:rPr>
          <w:sz w:val="20"/>
          <w:szCs w:val="20"/>
          <w:color w:val="auto"/>
        </w:rPr>
      </w:pPr>
    </w:p>
    <w:p>
      <w:pPr>
        <w:spacing w:after="0" w:line="322" w:lineRule="exact"/>
        <w:rPr>
          <w:sz w:val="20"/>
          <w:szCs w:val="20"/>
          <w:color w:val="auto"/>
        </w:rPr>
      </w:pPr>
    </w:p>
    <w:p>
      <w:pPr>
        <w:ind w:left="1440"/>
        <w:spacing w:after="0"/>
        <w:rPr>
          <w:sz w:val="20"/>
          <w:szCs w:val="20"/>
          <w:color w:val="auto"/>
        </w:rPr>
      </w:pPr>
      <w:r>
        <w:rPr>
          <w:rFonts w:ascii="Arial" w:cs="Arial" w:eastAsia="Arial" w:hAnsi="Arial"/>
          <w:sz w:val="16"/>
          <w:szCs w:val="16"/>
          <w:color w:val="auto"/>
        </w:rPr>
        <w:t>Deferred tax asset attributable to: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914400</wp:posOffset>
            </wp:positionH>
            <wp:positionV relativeFrom="paragraph">
              <wp:posOffset>-107315</wp:posOffset>
            </wp:positionV>
            <wp:extent cx="5428615" cy="137160"/>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5428615" cy="137160"/>
                    </a:xfrm>
                    <a:prstGeom prst="rect">
                      <a:avLst/>
                    </a:prstGeom>
                    <a:noFill/>
                  </pic:spPr>
                </pic:pic>
              </a:graphicData>
            </a:graphic>
          </wp:anchor>
        </w:drawing>
      </w:r>
    </w:p>
    <w:p>
      <w:pPr>
        <w:spacing w:after="0" w:line="26" w:lineRule="exact"/>
        <w:rPr>
          <w:sz w:val="20"/>
          <w:szCs w:val="20"/>
          <w:color w:val="auto"/>
        </w:rPr>
      </w:pPr>
    </w:p>
    <w:p>
      <w:pPr>
        <w:ind w:left="1600"/>
        <w:spacing w:after="0"/>
        <w:rPr>
          <w:sz w:val="20"/>
          <w:szCs w:val="20"/>
          <w:color w:val="auto"/>
        </w:rPr>
      </w:pPr>
      <w:r>
        <w:rPr>
          <w:rFonts w:ascii="Arial" w:cs="Arial" w:eastAsia="Arial" w:hAnsi="Arial"/>
          <w:sz w:val="17"/>
          <w:szCs w:val="17"/>
          <w:color w:val="auto"/>
        </w:rPr>
        <w:t>Net operating loss carryover</w:t>
      </w:r>
    </w:p>
    <w:p>
      <w:pPr>
        <w:spacing w:after="0" w:line="21" w:lineRule="exact"/>
        <w:rPr>
          <w:sz w:val="20"/>
          <w:szCs w:val="20"/>
          <w:color w:val="auto"/>
        </w:rPr>
      </w:pPr>
    </w:p>
    <w:p>
      <w:pPr>
        <w:ind w:left="1600"/>
        <w:spacing w:after="0"/>
        <w:rPr>
          <w:sz w:val="20"/>
          <w:szCs w:val="20"/>
          <w:color w:val="auto"/>
        </w:rPr>
      </w:pPr>
      <w:r>
        <w:rPr>
          <w:rFonts w:ascii="Arial" w:cs="Arial" w:eastAsia="Arial" w:hAnsi="Arial"/>
          <w:sz w:val="18"/>
          <w:szCs w:val="18"/>
          <w:color w:val="auto"/>
        </w:rPr>
        <w:t>Valuation allowance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914400</wp:posOffset>
            </wp:positionH>
            <wp:positionV relativeFrom="paragraph">
              <wp:posOffset>-130810</wp:posOffset>
            </wp:positionV>
            <wp:extent cx="5428615" cy="15430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5428615" cy="154305"/>
                    </a:xfrm>
                    <a:prstGeom prst="rect">
                      <a:avLst/>
                    </a:prstGeom>
                    <a:noFill/>
                  </pic:spPr>
                </pic:pic>
              </a:graphicData>
            </a:graphic>
          </wp:anchor>
        </w:drawing>
      </w:r>
    </w:p>
    <w:p>
      <w:pPr>
        <w:spacing w:after="0" w:line="2" w:lineRule="exact"/>
        <w:rPr>
          <w:sz w:val="20"/>
          <w:szCs w:val="20"/>
          <w:color w:val="auto"/>
        </w:rPr>
      </w:pPr>
    </w:p>
    <w:p>
      <w:pPr>
        <w:ind w:left="1760"/>
        <w:spacing w:after="0"/>
        <w:rPr>
          <w:sz w:val="20"/>
          <w:szCs w:val="20"/>
          <w:color w:val="auto"/>
        </w:rPr>
      </w:pPr>
      <w:r>
        <w:rPr>
          <w:rFonts w:ascii="Arial" w:cs="Arial" w:eastAsia="Arial" w:hAnsi="Arial"/>
          <w:sz w:val="18"/>
          <w:szCs w:val="18"/>
          <w:color w:val="auto"/>
        </w:rPr>
        <w:t>Net deferred tax asset</w:t>
      </w:r>
    </w:p>
    <w:p>
      <w:pPr>
        <w:spacing w:after="0" w:line="20" w:lineRule="exact"/>
        <w:rPr>
          <w:sz w:val="20"/>
          <w:szCs w:val="20"/>
          <w:color w:val="auto"/>
        </w:rPr>
      </w:pPr>
      <w:r>
        <w:rPr>
          <w:sz w:val="20"/>
          <w:szCs w:val="20"/>
          <w:color w:val="auto"/>
        </w:rPr>
        <w:br w:type="column"/>
      </w:r>
    </w:p>
    <w:p>
      <w:pPr>
        <w:spacing w:after="0" w:line="255" w:lineRule="exact"/>
        <w:rPr>
          <w:sz w:val="20"/>
          <w:szCs w:val="20"/>
          <w:color w:val="auto"/>
        </w:rPr>
      </w:pPr>
    </w:p>
    <w:p>
      <w:pPr>
        <w:ind w:left="348"/>
        <w:spacing w:after="0"/>
        <w:rPr>
          <w:sz w:val="20"/>
          <w:szCs w:val="20"/>
          <w:color w:val="auto"/>
        </w:rPr>
      </w:pPr>
      <w:r>
        <w:rPr>
          <w:rFonts w:ascii="Arial" w:cs="Arial" w:eastAsia="Arial" w:hAnsi="Arial"/>
          <w:sz w:val="18"/>
          <w:szCs w:val="18"/>
          <w:b w:val="1"/>
          <w:bCs w:val="1"/>
          <w:color w:val="auto"/>
        </w:rPr>
        <w:t>2007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17145</wp:posOffset>
            </wp:positionV>
            <wp:extent cx="728980" cy="1714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28980" cy="17145"/>
                    </a:xfrm>
                    <a:prstGeom prst="rect">
                      <a:avLst/>
                    </a:prstGeom>
                    <a:noFill/>
                  </pic:spPr>
                </pic:pic>
              </a:graphicData>
            </a:graphic>
          </wp:anchor>
        </w:drawing>
      </w:r>
    </w:p>
    <w:p>
      <w:pPr>
        <w:spacing w:after="0" w:line="236" w:lineRule="exact"/>
        <w:rPr>
          <w:sz w:val="20"/>
          <w:szCs w:val="20"/>
          <w:color w:val="auto"/>
        </w:rPr>
      </w:pPr>
    </w:p>
    <w:p>
      <w:pPr>
        <w:ind w:left="648" w:hanging="648"/>
        <w:spacing w:after="0"/>
        <w:tabs>
          <w:tab w:leader="none" w:pos="648" w:val="left"/>
        </w:tabs>
        <w:numPr>
          <w:ilvl w:val="0"/>
          <w:numId w:val="33"/>
        </w:numPr>
        <w:rPr>
          <w:rFonts w:ascii="Arial" w:cs="Arial" w:eastAsia="Arial" w:hAnsi="Arial"/>
          <w:sz w:val="18"/>
          <w:szCs w:val="18"/>
          <w:color w:val="auto"/>
        </w:rPr>
      </w:pPr>
      <w:r>
        <w:rPr>
          <w:rFonts w:ascii="Arial" w:cs="Arial" w:eastAsia="Arial" w:hAnsi="Arial"/>
          <w:sz w:val="18"/>
          <w:szCs w:val="18"/>
          <w:color w:val="auto"/>
        </w:rPr>
        <w:t>68,000</w:t>
      </w:r>
    </w:p>
    <w:p>
      <w:pPr>
        <w:spacing w:after="0" w:line="23" w:lineRule="exact"/>
        <w:rPr>
          <w:rFonts w:ascii="Arial" w:cs="Arial" w:eastAsia="Arial" w:hAnsi="Arial"/>
          <w:sz w:val="18"/>
          <w:szCs w:val="18"/>
          <w:color w:val="auto"/>
        </w:rPr>
      </w:pPr>
    </w:p>
    <w:p>
      <w:pPr>
        <w:ind w:left="588"/>
        <w:spacing w:after="0"/>
        <w:rPr>
          <w:rFonts w:ascii="Arial" w:cs="Arial" w:eastAsia="Arial" w:hAnsi="Arial"/>
          <w:sz w:val="18"/>
          <w:szCs w:val="18"/>
          <w:color w:val="auto"/>
        </w:rPr>
      </w:pPr>
      <w:r>
        <w:rPr>
          <w:rFonts w:ascii="Arial" w:cs="Arial" w:eastAsia="Arial" w:hAnsi="Arial"/>
          <w:sz w:val="16"/>
          <w:szCs w:val="16"/>
          <w:color w:val="auto"/>
        </w:rPr>
        <w:t>(68,000)</w:t>
      </w:r>
    </w:p>
    <w:p>
      <w:pPr>
        <w:spacing w:after="0" w:line="45" w:lineRule="exact"/>
        <w:rPr>
          <w:sz w:val="20"/>
          <w:szCs w:val="20"/>
          <w:color w:val="auto"/>
        </w:rPr>
      </w:pPr>
    </w:p>
    <w:p>
      <w:pPr>
        <w:ind w:left="1068" w:hanging="1068"/>
        <w:spacing w:after="0"/>
        <w:tabs>
          <w:tab w:leader="none" w:pos="1068" w:val="left"/>
        </w:tabs>
        <w:numPr>
          <w:ilvl w:val="0"/>
          <w:numId w:val="34"/>
        </w:numPr>
        <w:rPr>
          <w:rFonts w:ascii="Arial" w:cs="Arial" w:eastAsia="Arial" w:hAnsi="Arial"/>
          <w:sz w:val="18"/>
          <w:szCs w:val="18"/>
          <w:color w:val="auto"/>
        </w:rPr>
      </w:pPr>
      <w:r>
        <w:rPr>
          <w:rFonts w:ascii="Arial" w:cs="Arial" w:eastAsia="Arial" w:hAnsi="Arial"/>
          <w:sz w:val="18"/>
          <w:szCs w:val="18"/>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14605</wp:posOffset>
            </wp:positionV>
            <wp:extent cx="728980" cy="8890"/>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28980" cy="8890"/>
                    </a:xfrm>
                    <a:prstGeom prst="rect">
                      <a:avLst/>
                    </a:prstGeom>
                    <a:noFill/>
                  </pic:spPr>
                </pic:pic>
              </a:graphicData>
            </a:graphic>
          </wp:anchor>
        </w:drawing>
        <w:drawing>
          <wp:anchor simplePos="0" relativeHeight="251657728" behindDoc="1" locked="0" layoutInCell="0" allowOverlap="1">
            <wp:simplePos x="0" y="0"/>
            <wp:positionH relativeFrom="column">
              <wp:posOffset>0</wp:posOffset>
            </wp:positionH>
            <wp:positionV relativeFrom="paragraph">
              <wp:posOffset>40640</wp:posOffset>
            </wp:positionV>
            <wp:extent cx="728980" cy="8890"/>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28980" cy="8890"/>
                    </a:xfrm>
                    <a:prstGeom prst="rect">
                      <a:avLst/>
                    </a:prstGeom>
                    <a:noFill/>
                  </pic:spPr>
                </pic:pic>
              </a:graphicData>
            </a:graphic>
          </wp:anchor>
        </w:drawing>
      </w:r>
    </w:p>
    <w:p>
      <w:pPr>
        <w:spacing w:after="0" w:line="200" w:lineRule="exact"/>
        <w:rPr>
          <w:sz w:val="20"/>
          <w:szCs w:val="20"/>
          <w:color w:val="auto"/>
        </w:rPr>
      </w:pPr>
    </w:p>
    <w:p>
      <w:pPr>
        <w:sectPr>
          <w:pgSz w:w="11900" w:h="16838" w:orient="portrait"/>
          <w:cols w:equalWidth="0" w:num="2">
            <w:col w:w="8012" w:space="720"/>
            <w:col w:w="2688"/>
          </w:cols>
          <w:pgMar w:left="240" w:top="634" w:right="239" w:bottom="1440" w:gutter="0" w:footer="0" w:header="0"/>
          <w:type w:val="continuous"/>
        </w:sectPr>
      </w:pPr>
    </w:p>
    <w:p>
      <w:pPr>
        <w:spacing w:after="0" w:line="129" w:lineRule="exact"/>
        <w:rPr>
          <w:sz w:val="20"/>
          <w:szCs w:val="20"/>
          <w:color w:val="auto"/>
        </w:rPr>
      </w:pPr>
    </w:p>
    <w:p>
      <w:pPr>
        <w:spacing w:after="0"/>
        <w:tabs>
          <w:tab w:leader="none" w:pos="860" w:val="left"/>
        </w:tabs>
        <w:rPr>
          <w:sz w:val="20"/>
          <w:szCs w:val="20"/>
          <w:color w:val="auto"/>
        </w:rPr>
      </w:pPr>
      <w:r>
        <w:rPr>
          <w:rFonts w:ascii="Arial" w:cs="Arial" w:eastAsia="Arial" w:hAnsi="Arial"/>
          <w:sz w:val="18"/>
          <w:szCs w:val="18"/>
          <w:b w:val="1"/>
          <w:bCs w:val="1"/>
          <w:color w:val="auto"/>
        </w:rPr>
        <w:t>Note 12:</w:t>
      </w:r>
      <w:r>
        <w:rPr>
          <w:sz w:val="20"/>
          <w:szCs w:val="20"/>
          <w:color w:val="auto"/>
        </w:rPr>
        <w:tab/>
      </w:r>
      <w:r>
        <w:rPr>
          <w:rFonts w:ascii="Arial" w:cs="Arial" w:eastAsia="Arial" w:hAnsi="Arial"/>
          <w:sz w:val="15"/>
          <w:szCs w:val="15"/>
          <w:b w:val="1"/>
          <w:bCs w:val="1"/>
          <w:u w:val="single" w:color="auto"/>
          <w:color w:val="auto"/>
        </w:rPr>
        <w:t>Other Expenses</w:t>
      </w:r>
    </w:p>
    <w:p>
      <w:pPr>
        <w:spacing w:after="0" w:line="283" w:lineRule="exact"/>
        <w:rPr>
          <w:sz w:val="20"/>
          <w:szCs w:val="20"/>
          <w:color w:val="auto"/>
        </w:rPr>
      </w:pPr>
    </w:p>
    <w:p>
      <w:pPr>
        <w:ind w:left="820"/>
        <w:spacing w:after="0"/>
        <w:rPr>
          <w:sz w:val="20"/>
          <w:szCs w:val="20"/>
          <w:color w:val="auto"/>
        </w:rPr>
      </w:pPr>
      <w:r>
        <w:rPr>
          <w:rFonts w:ascii="Arial" w:cs="Arial" w:eastAsia="Arial" w:hAnsi="Arial"/>
          <w:sz w:val="18"/>
          <w:szCs w:val="18"/>
          <w:color w:val="auto"/>
        </w:rPr>
        <w:t>Other expenses consisted of the following for the years ended December 31, 2007 and 2006:</w:t>
      </w:r>
    </w:p>
    <w:p>
      <w:pPr>
        <w:spacing w:after="0" w:line="275" w:lineRule="exact"/>
        <w:rPr>
          <w:sz w:val="20"/>
          <w:szCs w:val="20"/>
          <w:color w:val="auto"/>
        </w:rPr>
      </w:pPr>
    </w:p>
    <w:tbl>
      <w:tblPr>
        <w:tblLayout w:type="fixed"/>
        <w:tblInd w:w="0" w:type="dxa"/>
        <w:tblCellMar>
          <w:top w:w="0" w:type="dxa"/>
          <w:left w:w="0" w:type="dxa"/>
          <w:bottom w:w="0" w:type="dxa"/>
          <w:right w:w="0" w:type="dxa"/>
        </w:tblCellMar>
      </w:tblPr>
      <w:tr>
        <w:trPr>
          <w:trHeight w:val="241"/>
        </w:trPr>
        <w:tc>
          <w:tcPr>
            <w:tcW w:w="1440" w:type="dxa"/>
            <w:vAlign w:val="bottom"/>
          </w:tcPr>
          <w:p>
            <w:pPr>
              <w:spacing w:after="0"/>
              <w:rPr>
                <w:sz w:val="20"/>
                <w:szCs w:val="20"/>
                <w:color w:val="auto"/>
              </w:rPr>
            </w:pPr>
          </w:p>
        </w:tc>
        <w:tc>
          <w:tcPr>
            <w:tcW w:w="2920" w:type="dxa"/>
            <w:vAlign w:val="bottom"/>
          </w:tcPr>
          <w:p>
            <w:pPr>
              <w:spacing w:after="0"/>
              <w:rPr>
                <w:sz w:val="20"/>
                <w:szCs w:val="20"/>
                <w:color w:val="auto"/>
              </w:rPr>
            </w:pPr>
          </w:p>
        </w:tc>
        <w:tc>
          <w:tcPr>
            <w:tcW w:w="3060" w:type="dxa"/>
            <w:vAlign w:val="bottom"/>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940" w:type="dxa"/>
            <w:vAlign w:val="bottom"/>
            <w:tcBorders>
              <w:bottom w:val="single" w:sz="8" w:color="auto"/>
            </w:tcBorders>
          </w:tcPr>
          <w:p>
            <w:pPr>
              <w:jc w:val="right"/>
              <w:ind w:right="370"/>
              <w:spacing w:after="0"/>
              <w:rPr>
                <w:sz w:val="20"/>
                <w:szCs w:val="20"/>
                <w:color w:val="auto"/>
              </w:rPr>
            </w:pPr>
            <w:r>
              <w:rPr>
                <w:rFonts w:ascii="Arial" w:cs="Arial" w:eastAsia="Arial" w:hAnsi="Arial"/>
                <w:sz w:val="18"/>
                <w:szCs w:val="18"/>
                <w:b w:val="1"/>
                <w:bCs w:val="1"/>
                <w:color w:val="auto"/>
              </w:rPr>
              <w:t>2007</w:t>
            </w:r>
          </w:p>
        </w:tc>
        <w:tc>
          <w:tcPr>
            <w:tcW w:w="180" w:type="dxa"/>
            <w:vAlign w:val="bottom"/>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920" w:type="dxa"/>
            <w:vAlign w:val="bottom"/>
            <w:tcBorders>
              <w:bottom w:val="single" w:sz="8" w:color="auto"/>
            </w:tcBorders>
          </w:tcPr>
          <w:p>
            <w:pPr>
              <w:jc w:val="right"/>
              <w:ind w:right="350"/>
              <w:spacing w:after="0"/>
              <w:rPr>
                <w:sz w:val="20"/>
                <w:szCs w:val="20"/>
                <w:color w:val="auto"/>
              </w:rPr>
            </w:pPr>
            <w:r>
              <w:rPr>
                <w:rFonts w:ascii="Arial" w:cs="Arial" w:eastAsia="Arial" w:hAnsi="Arial"/>
                <w:sz w:val="18"/>
                <w:szCs w:val="18"/>
                <w:b w:val="1"/>
                <w:bCs w:val="1"/>
                <w:color w:val="auto"/>
              </w:rPr>
              <w:t>2006</w:t>
            </w:r>
          </w:p>
        </w:tc>
        <w:tc>
          <w:tcPr>
            <w:tcW w:w="80" w:type="dxa"/>
            <w:vAlign w:val="bottom"/>
          </w:tcPr>
          <w:p>
            <w:pPr>
              <w:spacing w:after="0"/>
              <w:rPr>
                <w:sz w:val="20"/>
                <w:szCs w:val="20"/>
                <w:color w:val="auto"/>
              </w:rPr>
            </w:pPr>
          </w:p>
        </w:tc>
        <w:tc>
          <w:tcPr>
            <w:tcW w:w="1440" w:type="dxa"/>
            <w:vAlign w:val="bottom"/>
          </w:tcPr>
          <w:p>
            <w:pPr>
              <w:spacing w:after="0"/>
              <w:rPr>
                <w:sz w:val="20"/>
                <w:szCs w:val="20"/>
                <w:color w:val="auto"/>
              </w:rPr>
            </w:pPr>
          </w:p>
        </w:tc>
      </w:tr>
      <w:tr>
        <w:trPr>
          <w:trHeight w:val="216"/>
        </w:trPr>
        <w:tc>
          <w:tcPr>
            <w:tcW w:w="1440" w:type="dxa"/>
            <w:vAlign w:val="bottom"/>
          </w:tcPr>
          <w:p>
            <w:pPr>
              <w:spacing w:after="0"/>
              <w:rPr>
                <w:sz w:val="18"/>
                <w:szCs w:val="18"/>
                <w:color w:val="auto"/>
              </w:rPr>
            </w:pPr>
          </w:p>
        </w:tc>
        <w:tc>
          <w:tcPr>
            <w:tcW w:w="2920" w:type="dxa"/>
            <w:vAlign w:val="bottom"/>
            <w:shd w:val="clear" w:color="auto" w:fill="EEEEEE"/>
          </w:tcPr>
          <w:p>
            <w:pPr>
              <w:spacing w:after="0"/>
              <w:rPr>
                <w:sz w:val="20"/>
                <w:szCs w:val="20"/>
                <w:color w:val="auto"/>
              </w:rPr>
            </w:pPr>
            <w:r>
              <w:rPr>
                <w:rFonts w:ascii="Arial" w:cs="Arial" w:eastAsia="Arial" w:hAnsi="Arial"/>
                <w:sz w:val="18"/>
                <w:szCs w:val="18"/>
                <w:color w:val="auto"/>
              </w:rPr>
              <w:t>Interest expense</w:t>
            </w:r>
          </w:p>
        </w:tc>
        <w:tc>
          <w:tcPr>
            <w:tcW w:w="3060" w:type="dxa"/>
            <w:vAlign w:val="bottom"/>
            <w:shd w:val="clear" w:color="auto" w:fill="EEEEEE"/>
          </w:tcPr>
          <w:p>
            <w:pPr>
              <w:spacing w:after="0"/>
              <w:rPr>
                <w:sz w:val="18"/>
                <w:szCs w:val="18"/>
                <w:color w:val="auto"/>
              </w:rPr>
            </w:pPr>
          </w:p>
        </w:tc>
        <w:tc>
          <w:tcPr>
            <w:tcW w:w="220" w:type="dxa"/>
            <w:vAlign w:val="bottom"/>
            <w:shd w:val="clear" w:color="auto" w:fill="EEEEEE"/>
          </w:tcPr>
          <w:p>
            <w:pPr>
              <w:jc w:val="right"/>
              <w:ind w:right="30"/>
              <w:spacing w:after="0"/>
              <w:rPr>
                <w:sz w:val="20"/>
                <w:szCs w:val="20"/>
                <w:color w:val="auto"/>
              </w:rPr>
            </w:pPr>
            <w:r>
              <w:rPr>
                <w:rFonts w:ascii="Arial" w:cs="Arial" w:eastAsia="Arial" w:hAnsi="Arial"/>
                <w:sz w:val="18"/>
                <w:szCs w:val="18"/>
                <w:color w:val="auto"/>
                <w:w w:val="79"/>
              </w:rPr>
              <w:t>$</w:t>
            </w:r>
          </w:p>
        </w:tc>
        <w:tc>
          <w:tcPr>
            <w:tcW w:w="1120" w:type="dxa"/>
            <w:vAlign w:val="bottom"/>
            <w:tcBorders>
              <w:right w:val="single" w:sz="8" w:color="EEEEEE"/>
            </w:tcBorders>
            <w:gridSpan w:val="2"/>
            <w:shd w:val="clear" w:color="auto" w:fill="EEEEEE"/>
          </w:tcPr>
          <w:p>
            <w:pPr>
              <w:jc w:val="right"/>
              <w:ind w:right="120"/>
              <w:spacing w:after="0"/>
              <w:rPr>
                <w:sz w:val="20"/>
                <w:szCs w:val="20"/>
                <w:color w:val="auto"/>
              </w:rPr>
            </w:pPr>
            <w:r>
              <w:rPr>
                <w:rFonts w:ascii="Arial" w:cs="Arial" w:eastAsia="Arial" w:hAnsi="Arial"/>
                <w:sz w:val="18"/>
                <w:szCs w:val="18"/>
                <w:color w:val="auto"/>
              </w:rPr>
              <w:t>(5,525)</w:t>
            </w:r>
          </w:p>
        </w:tc>
        <w:tc>
          <w:tcPr>
            <w:tcW w:w="220" w:type="dxa"/>
            <w:vAlign w:val="bottom"/>
            <w:shd w:val="clear" w:color="auto" w:fill="EEEEEE"/>
          </w:tcPr>
          <w:p>
            <w:pPr>
              <w:jc w:val="right"/>
              <w:ind w:right="65"/>
              <w:spacing w:after="0"/>
              <w:rPr>
                <w:sz w:val="20"/>
                <w:szCs w:val="20"/>
                <w:color w:val="auto"/>
              </w:rPr>
            </w:pPr>
            <w:r>
              <w:rPr>
                <w:rFonts w:ascii="Arial" w:cs="Arial" w:eastAsia="Arial" w:hAnsi="Arial"/>
                <w:sz w:val="15"/>
                <w:szCs w:val="15"/>
                <w:color w:val="auto"/>
                <w:w w:val="71"/>
              </w:rPr>
              <w:t>$</w:t>
            </w:r>
          </w:p>
        </w:tc>
        <w:tc>
          <w:tcPr>
            <w:tcW w:w="920" w:type="dxa"/>
            <w:vAlign w:val="bottom"/>
            <w:shd w:val="clear" w:color="auto" w:fill="EEEEEE"/>
          </w:tcPr>
          <w:p>
            <w:pPr>
              <w:jc w:val="right"/>
              <w:spacing w:after="0"/>
              <w:rPr>
                <w:sz w:val="20"/>
                <w:szCs w:val="20"/>
                <w:color w:val="auto"/>
              </w:rPr>
            </w:pPr>
            <w:r>
              <w:rPr>
                <w:rFonts w:ascii="Arial" w:cs="Arial" w:eastAsia="Arial" w:hAnsi="Arial"/>
                <w:sz w:val="18"/>
                <w:szCs w:val="18"/>
                <w:color w:val="auto"/>
              </w:rPr>
              <w:t>0</w:t>
            </w:r>
          </w:p>
        </w:tc>
        <w:tc>
          <w:tcPr>
            <w:tcW w:w="80" w:type="dxa"/>
            <w:vAlign w:val="bottom"/>
            <w:shd w:val="clear" w:color="auto" w:fill="EEEEEE"/>
          </w:tcPr>
          <w:p>
            <w:pPr>
              <w:spacing w:after="0"/>
              <w:rPr>
                <w:sz w:val="18"/>
                <w:szCs w:val="18"/>
                <w:color w:val="auto"/>
              </w:rPr>
            </w:pPr>
          </w:p>
        </w:tc>
        <w:tc>
          <w:tcPr>
            <w:tcW w:w="1440" w:type="dxa"/>
            <w:vAlign w:val="bottom"/>
          </w:tcPr>
          <w:p>
            <w:pPr>
              <w:spacing w:after="0"/>
              <w:rPr>
                <w:sz w:val="18"/>
                <w:szCs w:val="18"/>
                <w:color w:val="auto"/>
              </w:rPr>
            </w:pPr>
          </w:p>
        </w:tc>
      </w:tr>
      <w:tr>
        <w:trPr>
          <w:trHeight w:val="27"/>
        </w:trPr>
        <w:tc>
          <w:tcPr>
            <w:tcW w:w="1440" w:type="dxa"/>
            <w:vAlign w:val="bottom"/>
          </w:tcPr>
          <w:p>
            <w:pPr>
              <w:spacing w:after="0"/>
              <w:rPr>
                <w:sz w:val="2"/>
                <w:szCs w:val="2"/>
                <w:color w:val="auto"/>
              </w:rPr>
            </w:pPr>
          </w:p>
        </w:tc>
        <w:tc>
          <w:tcPr>
            <w:tcW w:w="2920" w:type="dxa"/>
            <w:vAlign w:val="bottom"/>
            <w:shd w:val="clear" w:color="auto" w:fill="EEEEEE"/>
          </w:tcPr>
          <w:p>
            <w:pPr>
              <w:spacing w:after="0"/>
              <w:rPr>
                <w:sz w:val="2"/>
                <w:szCs w:val="2"/>
                <w:color w:val="auto"/>
              </w:rPr>
            </w:pPr>
          </w:p>
        </w:tc>
        <w:tc>
          <w:tcPr>
            <w:tcW w:w="3060" w:type="dxa"/>
            <w:vAlign w:val="bottom"/>
            <w:shd w:val="clear" w:color="auto" w:fill="EEEEEE"/>
          </w:tcPr>
          <w:p>
            <w:pPr>
              <w:spacing w:after="0"/>
              <w:rPr>
                <w:sz w:val="2"/>
                <w:szCs w:val="2"/>
                <w:color w:val="auto"/>
              </w:rPr>
            </w:pPr>
          </w:p>
        </w:tc>
        <w:tc>
          <w:tcPr>
            <w:tcW w:w="220" w:type="dxa"/>
            <w:vAlign w:val="bottom"/>
            <w:shd w:val="clear" w:color="auto" w:fill="000000"/>
          </w:tcPr>
          <w:p>
            <w:pPr>
              <w:spacing w:after="0"/>
              <w:rPr>
                <w:sz w:val="2"/>
                <w:szCs w:val="2"/>
                <w:color w:val="auto"/>
              </w:rPr>
            </w:pPr>
          </w:p>
        </w:tc>
        <w:tc>
          <w:tcPr>
            <w:tcW w:w="940" w:type="dxa"/>
            <w:vAlign w:val="bottom"/>
            <w:shd w:val="clear" w:color="auto" w:fill="000000"/>
          </w:tcPr>
          <w:p>
            <w:pPr>
              <w:spacing w:after="0"/>
              <w:rPr>
                <w:sz w:val="2"/>
                <w:szCs w:val="2"/>
                <w:color w:val="auto"/>
              </w:rPr>
            </w:pPr>
          </w:p>
        </w:tc>
        <w:tc>
          <w:tcPr>
            <w:tcW w:w="180" w:type="dxa"/>
            <w:vAlign w:val="bottom"/>
            <w:tcBorders>
              <w:right w:val="single" w:sz="8" w:color="EEEEEE"/>
            </w:tcBorders>
            <w:shd w:val="clear" w:color="auto" w:fill="EEEEEE"/>
          </w:tcPr>
          <w:p>
            <w:pPr>
              <w:spacing w:after="0"/>
              <w:rPr>
                <w:sz w:val="2"/>
                <w:szCs w:val="2"/>
                <w:color w:val="auto"/>
              </w:rPr>
            </w:pPr>
          </w:p>
        </w:tc>
        <w:tc>
          <w:tcPr>
            <w:tcW w:w="220" w:type="dxa"/>
            <w:vAlign w:val="bottom"/>
            <w:shd w:val="clear" w:color="auto" w:fill="000000"/>
          </w:tcPr>
          <w:p>
            <w:pPr>
              <w:spacing w:after="0"/>
              <w:rPr>
                <w:sz w:val="2"/>
                <w:szCs w:val="2"/>
                <w:color w:val="auto"/>
              </w:rPr>
            </w:pPr>
          </w:p>
        </w:tc>
        <w:tc>
          <w:tcPr>
            <w:tcW w:w="920" w:type="dxa"/>
            <w:vAlign w:val="bottom"/>
            <w:shd w:val="clear" w:color="auto" w:fill="000000"/>
          </w:tcPr>
          <w:p>
            <w:pPr>
              <w:spacing w:after="0"/>
              <w:rPr>
                <w:sz w:val="2"/>
                <w:szCs w:val="2"/>
                <w:color w:val="auto"/>
              </w:rPr>
            </w:pPr>
          </w:p>
        </w:tc>
        <w:tc>
          <w:tcPr>
            <w:tcW w:w="80" w:type="dxa"/>
            <w:vAlign w:val="bottom"/>
            <w:shd w:val="clear" w:color="auto" w:fill="EEEEEE"/>
          </w:tcPr>
          <w:p>
            <w:pPr>
              <w:spacing w:after="0"/>
              <w:rPr>
                <w:sz w:val="2"/>
                <w:szCs w:val="2"/>
                <w:color w:val="auto"/>
              </w:rPr>
            </w:pPr>
          </w:p>
        </w:tc>
        <w:tc>
          <w:tcPr>
            <w:tcW w:w="1440" w:type="dxa"/>
            <w:vAlign w:val="bottom"/>
          </w:tcPr>
          <w:p>
            <w:pPr>
              <w:spacing w:after="0"/>
              <w:rPr>
                <w:sz w:val="2"/>
                <w:szCs w:val="2"/>
                <w:color w:val="auto"/>
              </w:rPr>
            </w:pPr>
          </w:p>
        </w:tc>
      </w:tr>
      <w:tr>
        <w:trPr>
          <w:trHeight w:val="216"/>
        </w:trPr>
        <w:tc>
          <w:tcPr>
            <w:tcW w:w="1440" w:type="dxa"/>
            <w:vAlign w:val="bottom"/>
          </w:tcPr>
          <w:p>
            <w:pPr>
              <w:spacing w:after="0"/>
              <w:rPr>
                <w:sz w:val="18"/>
                <w:szCs w:val="18"/>
                <w:color w:val="auto"/>
              </w:rPr>
            </w:pPr>
          </w:p>
        </w:tc>
        <w:tc>
          <w:tcPr>
            <w:tcW w:w="2920" w:type="dxa"/>
            <w:vAlign w:val="bottom"/>
          </w:tcPr>
          <w:p>
            <w:pPr>
              <w:ind w:left="180"/>
              <w:spacing w:after="0"/>
              <w:rPr>
                <w:sz w:val="20"/>
                <w:szCs w:val="20"/>
                <w:color w:val="auto"/>
              </w:rPr>
            </w:pPr>
            <w:r>
              <w:rPr>
                <w:rFonts w:ascii="Arial" w:cs="Arial" w:eastAsia="Arial" w:hAnsi="Arial"/>
                <w:sz w:val="18"/>
                <w:szCs w:val="18"/>
                <w:color w:val="auto"/>
              </w:rPr>
              <w:t>Total Other Expenses</w:t>
            </w:r>
          </w:p>
        </w:tc>
        <w:tc>
          <w:tcPr>
            <w:tcW w:w="3060" w:type="dxa"/>
            <w:vAlign w:val="bottom"/>
          </w:tcPr>
          <w:p>
            <w:pPr>
              <w:spacing w:after="0"/>
              <w:rPr>
                <w:sz w:val="18"/>
                <w:szCs w:val="18"/>
                <w:color w:val="auto"/>
              </w:rPr>
            </w:pPr>
          </w:p>
        </w:tc>
        <w:tc>
          <w:tcPr>
            <w:tcW w:w="220" w:type="dxa"/>
            <w:vAlign w:val="bottom"/>
          </w:tcPr>
          <w:p>
            <w:pPr>
              <w:jc w:val="right"/>
              <w:ind w:right="30"/>
              <w:spacing w:after="0"/>
              <w:rPr>
                <w:sz w:val="20"/>
                <w:szCs w:val="20"/>
                <w:color w:val="auto"/>
              </w:rPr>
            </w:pPr>
            <w:r>
              <w:rPr>
                <w:rFonts w:ascii="Arial" w:cs="Arial" w:eastAsia="Arial" w:hAnsi="Arial"/>
                <w:sz w:val="18"/>
                <w:szCs w:val="18"/>
                <w:color w:val="auto"/>
                <w:w w:val="79"/>
              </w:rPr>
              <w:t>$</w:t>
            </w:r>
          </w:p>
        </w:tc>
        <w:tc>
          <w:tcPr>
            <w:tcW w:w="1120" w:type="dxa"/>
            <w:vAlign w:val="bottom"/>
            <w:gridSpan w:val="2"/>
          </w:tcPr>
          <w:p>
            <w:pPr>
              <w:jc w:val="right"/>
              <w:ind w:right="120"/>
              <w:spacing w:after="0"/>
              <w:rPr>
                <w:sz w:val="20"/>
                <w:szCs w:val="20"/>
                <w:color w:val="auto"/>
              </w:rPr>
            </w:pPr>
            <w:r>
              <w:rPr>
                <w:rFonts w:ascii="Arial" w:cs="Arial" w:eastAsia="Arial" w:hAnsi="Arial"/>
                <w:sz w:val="18"/>
                <w:szCs w:val="18"/>
                <w:color w:val="auto"/>
              </w:rPr>
              <w:t>(5,525)</w:t>
            </w:r>
          </w:p>
        </w:tc>
        <w:tc>
          <w:tcPr>
            <w:tcW w:w="220" w:type="dxa"/>
            <w:vAlign w:val="bottom"/>
          </w:tcPr>
          <w:p>
            <w:pPr>
              <w:jc w:val="right"/>
              <w:ind w:right="65"/>
              <w:spacing w:after="0"/>
              <w:rPr>
                <w:sz w:val="20"/>
                <w:szCs w:val="20"/>
                <w:color w:val="auto"/>
              </w:rPr>
            </w:pPr>
            <w:r>
              <w:rPr>
                <w:rFonts w:ascii="Arial" w:cs="Arial" w:eastAsia="Arial" w:hAnsi="Arial"/>
                <w:sz w:val="15"/>
                <w:szCs w:val="15"/>
                <w:color w:val="auto"/>
                <w:w w:val="71"/>
              </w:rPr>
              <w:t>$</w:t>
            </w:r>
          </w:p>
        </w:tc>
        <w:tc>
          <w:tcPr>
            <w:tcW w:w="920" w:type="dxa"/>
            <w:vAlign w:val="bottom"/>
          </w:tcPr>
          <w:p>
            <w:pPr>
              <w:jc w:val="right"/>
              <w:spacing w:after="0"/>
              <w:rPr>
                <w:sz w:val="20"/>
                <w:szCs w:val="20"/>
                <w:color w:val="auto"/>
              </w:rPr>
            </w:pPr>
            <w:r>
              <w:rPr>
                <w:rFonts w:ascii="Arial" w:cs="Arial" w:eastAsia="Arial" w:hAnsi="Arial"/>
                <w:sz w:val="18"/>
                <w:szCs w:val="18"/>
                <w:color w:val="auto"/>
              </w:rPr>
              <w:t>0</w:t>
            </w:r>
          </w:p>
        </w:tc>
        <w:tc>
          <w:tcPr>
            <w:tcW w:w="80" w:type="dxa"/>
            <w:vAlign w:val="bottom"/>
          </w:tcPr>
          <w:p>
            <w:pPr>
              <w:spacing w:after="0"/>
              <w:rPr>
                <w:sz w:val="18"/>
                <w:szCs w:val="18"/>
                <w:color w:val="auto"/>
              </w:rPr>
            </w:pPr>
          </w:p>
        </w:tc>
        <w:tc>
          <w:tcPr>
            <w:tcW w:w="1440" w:type="dxa"/>
            <w:vAlign w:val="bottom"/>
          </w:tcPr>
          <w:p>
            <w:pPr>
              <w:spacing w:after="0"/>
              <w:rPr>
                <w:sz w:val="18"/>
                <w:szCs w:val="18"/>
                <w:color w:val="auto"/>
              </w:rPr>
            </w:pPr>
          </w:p>
        </w:tc>
      </w:tr>
      <w:tr>
        <w:trPr>
          <w:trHeight w:val="21"/>
        </w:trPr>
        <w:tc>
          <w:tcPr>
            <w:tcW w:w="1440" w:type="dxa"/>
            <w:vAlign w:val="bottom"/>
          </w:tcPr>
          <w:p>
            <w:pPr>
              <w:spacing w:after="0" w:line="20" w:lineRule="exact"/>
              <w:rPr>
                <w:sz w:val="1"/>
                <w:szCs w:val="1"/>
                <w:color w:val="auto"/>
              </w:rPr>
            </w:pPr>
          </w:p>
        </w:tc>
        <w:tc>
          <w:tcPr>
            <w:tcW w:w="2920" w:type="dxa"/>
            <w:vAlign w:val="bottom"/>
          </w:tcPr>
          <w:p>
            <w:pPr>
              <w:spacing w:after="0" w:line="20" w:lineRule="exact"/>
              <w:rPr>
                <w:sz w:val="1"/>
                <w:szCs w:val="1"/>
                <w:color w:val="auto"/>
              </w:rPr>
            </w:pPr>
          </w:p>
        </w:tc>
        <w:tc>
          <w:tcPr>
            <w:tcW w:w="306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40" w:type="dxa"/>
            <w:vAlign w:val="bottom"/>
          </w:tcPr>
          <w:p>
            <w:pPr>
              <w:spacing w:after="0" w:line="20" w:lineRule="exact"/>
              <w:rPr>
                <w:sz w:val="1"/>
                <w:szCs w:val="1"/>
                <w:color w:val="auto"/>
              </w:rPr>
            </w:pPr>
          </w:p>
        </w:tc>
      </w:tr>
      <w:tr>
        <w:trPr>
          <w:trHeight w:val="723"/>
        </w:trPr>
        <w:tc>
          <w:tcPr>
            <w:tcW w:w="1440" w:type="dxa"/>
            <w:vAlign w:val="bottom"/>
          </w:tcPr>
          <w:p>
            <w:pPr>
              <w:spacing w:after="0"/>
              <w:rPr>
                <w:sz w:val="24"/>
                <w:szCs w:val="24"/>
                <w:color w:val="auto"/>
              </w:rPr>
            </w:pPr>
          </w:p>
        </w:tc>
        <w:tc>
          <w:tcPr>
            <w:tcW w:w="2920" w:type="dxa"/>
            <w:vAlign w:val="bottom"/>
          </w:tcPr>
          <w:p>
            <w:pPr>
              <w:spacing w:after="0"/>
              <w:rPr>
                <w:sz w:val="24"/>
                <w:szCs w:val="24"/>
                <w:color w:val="auto"/>
              </w:rPr>
            </w:pPr>
          </w:p>
        </w:tc>
        <w:tc>
          <w:tcPr>
            <w:tcW w:w="3280" w:type="dxa"/>
            <w:vAlign w:val="bottom"/>
            <w:gridSpan w:val="2"/>
          </w:tcPr>
          <w:p>
            <w:pPr>
              <w:jc w:val="right"/>
              <w:ind w:right="1670"/>
              <w:spacing w:after="0"/>
              <w:rPr>
                <w:sz w:val="20"/>
                <w:szCs w:val="20"/>
                <w:color w:val="auto"/>
              </w:rPr>
            </w:pPr>
            <w:r>
              <w:rPr>
                <w:rFonts w:ascii="Arial" w:cs="Arial" w:eastAsia="Arial" w:hAnsi="Arial"/>
                <w:sz w:val="18"/>
                <w:szCs w:val="18"/>
                <w:color w:val="auto"/>
              </w:rPr>
              <w:t>F-10</w:t>
            </w:r>
          </w:p>
        </w:tc>
        <w:tc>
          <w:tcPr>
            <w:tcW w:w="9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440" w:type="dxa"/>
            <w:vAlign w:val="bottom"/>
          </w:tcPr>
          <w:p>
            <w:pPr>
              <w:spacing w:after="0"/>
              <w:rPr>
                <w:sz w:val="24"/>
                <w:szCs w:val="24"/>
                <w:color w:val="auto"/>
              </w:rPr>
            </w:pPr>
          </w:p>
        </w:tc>
      </w:tr>
      <w:tr>
        <w:trPr>
          <w:trHeight w:val="108"/>
        </w:trPr>
        <w:tc>
          <w:tcPr>
            <w:tcW w:w="1440" w:type="dxa"/>
            <w:vAlign w:val="bottom"/>
            <w:tcBorders>
              <w:bottom w:val="single" w:sz="8" w:color="808080"/>
            </w:tcBorders>
          </w:tcPr>
          <w:p>
            <w:pPr>
              <w:spacing w:after="0"/>
              <w:rPr>
                <w:sz w:val="9"/>
                <w:szCs w:val="9"/>
                <w:color w:val="auto"/>
              </w:rPr>
            </w:pPr>
          </w:p>
        </w:tc>
        <w:tc>
          <w:tcPr>
            <w:tcW w:w="2920" w:type="dxa"/>
            <w:vAlign w:val="bottom"/>
            <w:tcBorders>
              <w:bottom w:val="single" w:sz="8" w:color="808080"/>
            </w:tcBorders>
          </w:tcPr>
          <w:p>
            <w:pPr>
              <w:spacing w:after="0"/>
              <w:rPr>
                <w:sz w:val="9"/>
                <w:szCs w:val="9"/>
                <w:color w:val="auto"/>
              </w:rPr>
            </w:pPr>
          </w:p>
        </w:tc>
        <w:tc>
          <w:tcPr>
            <w:tcW w:w="3060" w:type="dxa"/>
            <w:vAlign w:val="bottom"/>
            <w:tcBorders>
              <w:bottom w:val="single" w:sz="8" w:color="808080"/>
            </w:tcBorders>
          </w:tcPr>
          <w:p>
            <w:pPr>
              <w:spacing w:after="0"/>
              <w:rPr>
                <w:sz w:val="9"/>
                <w:szCs w:val="9"/>
                <w:color w:val="auto"/>
              </w:rPr>
            </w:pPr>
          </w:p>
        </w:tc>
        <w:tc>
          <w:tcPr>
            <w:tcW w:w="220" w:type="dxa"/>
            <w:vAlign w:val="bottom"/>
            <w:tcBorders>
              <w:bottom w:val="single" w:sz="8" w:color="808080"/>
            </w:tcBorders>
          </w:tcPr>
          <w:p>
            <w:pPr>
              <w:spacing w:after="0"/>
              <w:rPr>
                <w:sz w:val="9"/>
                <w:szCs w:val="9"/>
                <w:color w:val="auto"/>
              </w:rPr>
            </w:pPr>
          </w:p>
        </w:tc>
        <w:tc>
          <w:tcPr>
            <w:tcW w:w="940" w:type="dxa"/>
            <w:vAlign w:val="bottom"/>
            <w:tcBorders>
              <w:bottom w:val="single" w:sz="8" w:color="808080"/>
            </w:tcBorders>
          </w:tcPr>
          <w:p>
            <w:pPr>
              <w:spacing w:after="0"/>
              <w:rPr>
                <w:sz w:val="9"/>
                <w:szCs w:val="9"/>
                <w:color w:val="auto"/>
              </w:rPr>
            </w:pPr>
          </w:p>
        </w:tc>
        <w:tc>
          <w:tcPr>
            <w:tcW w:w="180" w:type="dxa"/>
            <w:vAlign w:val="bottom"/>
            <w:tcBorders>
              <w:bottom w:val="single" w:sz="8" w:color="808080"/>
            </w:tcBorders>
          </w:tcPr>
          <w:p>
            <w:pPr>
              <w:spacing w:after="0"/>
              <w:rPr>
                <w:sz w:val="9"/>
                <w:szCs w:val="9"/>
                <w:color w:val="auto"/>
              </w:rPr>
            </w:pPr>
          </w:p>
        </w:tc>
        <w:tc>
          <w:tcPr>
            <w:tcW w:w="220" w:type="dxa"/>
            <w:vAlign w:val="bottom"/>
            <w:tcBorders>
              <w:bottom w:val="single" w:sz="8" w:color="808080"/>
            </w:tcBorders>
          </w:tcPr>
          <w:p>
            <w:pPr>
              <w:spacing w:after="0"/>
              <w:rPr>
                <w:sz w:val="9"/>
                <w:szCs w:val="9"/>
                <w:color w:val="auto"/>
              </w:rPr>
            </w:pPr>
          </w:p>
        </w:tc>
        <w:tc>
          <w:tcPr>
            <w:tcW w:w="920" w:type="dxa"/>
            <w:vAlign w:val="bottom"/>
            <w:tcBorders>
              <w:bottom w:val="single" w:sz="8" w:color="808080"/>
            </w:tcBorders>
          </w:tcPr>
          <w:p>
            <w:pPr>
              <w:spacing w:after="0"/>
              <w:rPr>
                <w:sz w:val="9"/>
                <w:szCs w:val="9"/>
                <w:color w:val="auto"/>
              </w:rPr>
            </w:pPr>
          </w:p>
        </w:tc>
        <w:tc>
          <w:tcPr>
            <w:tcW w:w="80" w:type="dxa"/>
            <w:vAlign w:val="bottom"/>
            <w:tcBorders>
              <w:bottom w:val="single" w:sz="8" w:color="808080"/>
            </w:tcBorders>
          </w:tcPr>
          <w:p>
            <w:pPr>
              <w:spacing w:after="0"/>
              <w:rPr>
                <w:sz w:val="9"/>
                <w:szCs w:val="9"/>
                <w:color w:val="auto"/>
              </w:rPr>
            </w:pPr>
          </w:p>
        </w:tc>
        <w:tc>
          <w:tcPr>
            <w:tcW w:w="1440" w:type="dxa"/>
            <w:vAlign w:val="bottom"/>
            <w:tcBorders>
              <w:bottom w:val="single" w:sz="8" w:color="808080"/>
            </w:tcBorders>
          </w:tcPr>
          <w:p>
            <w:pPr>
              <w:spacing w:after="0"/>
              <w:rPr>
                <w:sz w:val="9"/>
                <w:szCs w:val="9"/>
                <w:color w:val="auto"/>
              </w:rPr>
            </w:pPr>
          </w:p>
        </w:tc>
      </w:tr>
    </w:tbl>
    <w:p>
      <w:pPr>
        <w:sectPr>
          <w:pgSz w:w="11900" w:h="16838" w:orient="portrait"/>
          <w:cols w:equalWidth="0" w:num="1">
            <w:col w:w="11420"/>
          </w:cols>
          <w:pgMar w:left="240" w:top="634" w:right="239" w:bottom="1440" w:gutter="0" w:footer="0" w:header="0"/>
          <w:type w:val="continuous"/>
        </w:sectPr>
      </w:pPr>
    </w:p>
    <w:bookmarkStart w:id="52" w:name="page53"/>
    <w:bookmarkEnd w:id="52"/>
    <w:p>
      <w:pPr>
        <w:jc w:val="center"/>
        <w:spacing w:after="0"/>
        <w:rPr>
          <w:sz w:val="20"/>
          <w:szCs w:val="20"/>
          <w:color w:val="auto"/>
        </w:rPr>
      </w:pPr>
      <w:r>
        <w:rPr>
          <w:rFonts w:ascii="Arial" w:cs="Arial" w:eastAsia="Arial" w:hAnsi="Arial"/>
          <w:sz w:val="18"/>
          <w:szCs w:val="18"/>
          <w:b w:val="1"/>
          <w:bCs w:val="1"/>
          <w:color w:val="auto"/>
        </w:rPr>
        <w:t>OPTIMIZERx CORPORATION</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OPTIMIZER SYSTEMS, LLC</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 DEVELOPMENT STAGE COMPANY)</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FINANCIAL STATEMENTS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DECEMBER 31, 2007</w:t>
      </w:r>
    </w:p>
    <w:p>
      <w:pPr>
        <w:spacing w:after="0" w:line="261" w:lineRule="exact"/>
        <w:rPr>
          <w:sz w:val="20"/>
          <w:szCs w:val="20"/>
          <w:color w:val="auto"/>
        </w:rPr>
      </w:pPr>
    </w:p>
    <w:p>
      <w:pPr>
        <w:spacing w:after="0"/>
        <w:tabs>
          <w:tab w:leader="none" w:pos="860" w:val="left"/>
        </w:tabs>
        <w:rPr>
          <w:sz w:val="20"/>
          <w:szCs w:val="20"/>
          <w:color w:val="auto"/>
        </w:rPr>
      </w:pPr>
      <w:r>
        <w:rPr>
          <w:rFonts w:ascii="Arial" w:cs="Arial" w:eastAsia="Arial" w:hAnsi="Arial"/>
          <w:sz w:val="18"/>
          <w:szCs w:val="18"/>
          <w:b w:val="1"/>
          <w:bCs w:val="1"/>
          <w:color w:val="auto"/>
        </w:rPr>
        <w:t>Note 13:</w:t>
      </w:r>
      <w:r>
        <w:rPr>
          <w:sz w:val="20"/>
          <w:szCs w:val="20"/>
          <w:color w:val="auto"/>
        </w:rPr>
        <w:tab/>
      </w:r>
      <w:r>
        <w:rPr>
          <w:rFonts w:ascii="Arial" w:cs="Arial" w:eastAsia="Arial" w:hAnsi="Arial"/>
          <w:sz w:val="15"/>
          <w:szCs w:val="15"/>
          <w:b w:val="1"/>
          <w:bCs w:val="1"/>
          <w:u w:val="single" w:color="auto"/>
          <w:color w:val="auto"/>
        </w:rPr>
        <w:t>Subsequent Events</w:t>
      </w:r>
    </w:p>
    <w:p>
      <w:pPr>
        <w:spacing w:after="0" w:line="283" w:lineRule="exact"/>
        <w:rPr>
          <w:sz w:val="20"/>
          <w:szCs w:val="20"/>
          <w:color w:val="auto"/>
        </w:rPr>
      </w:pPr>
    </w:p>
    <w:p>
      <w:pPr>
        <w:ind w:left="820"/>
        <w:spacing w:after="0" w:line="277" w:lineRule="auto"/>
        <w:rPr>
          <w:sz w:val="20"/>
          <w:szCs w:val="20"/>
          <w:color w:val="auto"/>
        </w:rPr>
      </w:pPr>
      <w:r>
        <w:rPr>
          <w:rFonts w:ascii="Arial" w:cs="Arial" w:eastAsia="Arial" w:hAnsi="Arial"/>
          <w:sz w:val="18"/>
          <w:szCs w:val="18"/>
          <w:color w:val="auto"/>
        </w:rPr>
        <w:t>On September 8, 2008, we entered into a private placement pursuant to which we sold various securities in consideration of an aggregate purchase price of $3,500,000. In connection with this private placement, we issued the following securities:</w:t>
      </w:r>
    </w:p>
    <w:p>
      <w:pPr>
        <w:spacing w:after="0" w:line="224" w:lineRule="exact"/>
        <w:rPr>
          <w:sz w:val="20"/>
          <w:szCs w:val="20"/>
          <w:color w:val="auto"/>
        </w:rPr>
      </w:pPr>
    </w:p>
    <w:p>
      <w:pPr>
        <w:ind w:left="1080" w:hanging="262"/>
        <w:spacing w:after="0"/>
        <w:tabs>
          <w:tab w:leader="none" w:pos="1080" w:val="left"/>
        </w:tabs>
        <w:numPr>
          <w:ilvl w:val="0"/>
          <w:numId w:val="35"/>
        </w:numPr>
        <w:rPr>
          <w:rFonts w:ascii="Arial" w:cs="Arial" w:eastAsia="Arial" w:hAnsi="Arial"/>
          <w:sz w:val="18"/>
          <w:szCs w:val="18"/>
          <w:color w:val="auto"/>
        </w:rPr>
      </w:pPr>
      <w:r>
        <w:rPr>
          <w:rFonts w:ascii="Arial" w:cs="Arial" w:eastAsia="Arial" w:hAnsi="Arial"/>
          <w:sz w:val="18"/>
          <w:szCs w:val="18"/>
          <w:color w:val="auto"/>
        </w:rPr>
        <w:t>35 shares of Series A Preferred Stock; and</w:t>
      </w:r>
    </w:p>
    <w:p>
      <w:pPr>
        <w:spacing w:after="0" w:line="279" w:lineRule="exact"/>
        <w:rPr>
          <w:rFonts w:ascii="Arial" w:cs="Arial" w:eastAsia="Arial" w:hAnsi="Arial"/>
          <w:sz w:val="18"/>
          <w:szCs w:val="18"/>
          <w:color w:val="auto"/>
        </w:rPr>
      </w:pPr>
    </w:p>
    <w:p>
      <w:pPr>
        <w:ind w:left="1080" w:hanging="262"/>
        <w:spacing w:after="0"/>
        <w:tabs>
          <w:tab w:leader="none" w:pos="1080" w:val="left"/>
        </w:tabs>
        <w:numPr>
          <w:ilvl w:val="0"/>
          <w:numId w:val="35"/>
        </w:numPr>
        <w:rPr>
          <w:rFonts w:ascii="Arial" w:cs="Arial" w:eastAsia="Arial" w:hAnsi="Arial"/>
          <w:sz w:val="17"/>
          <w:szCs w:val="17"/>
          <w:color w:val="auto"/>
        </w:rPr>
      </w:pPr>
      <w:r>
        <w:rPr>
          <w:rFonts w:ascii="Arial" w:cs="Arial" w:eastAsia="Arial" w:hAnsi="Arial"/>
          <w:sz w:val="17"/>
          <w:szCs w:val="17"/>
          <w:color w:val="auto"/>
        </w:rPr>
        <w:t>Series A Common Stock Purchase Warrants to purchase 6,000,000 shares of common stock at $2.00 per share for a period of five years.</w:t>
      </w:r>
    </w:p>
    <w:p>
      <w:pPr>
        <w:spacing w:after="0" w:line="200" w:lineRule="exact"/>
        <w:rPr>
          <w:sz w:val="20"/>
          <w:szCs w:val="20"/>
          <w:color w:val="auto"/>
        </w:rPr>
      </w:pPr>
    </w:p>
    <w:p>
      <w:pPr>
        <w:spacing w:after="0" w:line="33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246620" cy="8890"/>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607" w:right="239" w:bottom="1440" w:gutter="0" w:footer="0" w:header="0"/>
        </w:sectPr>
      </w:pPr>
    </w:p>
    <w:bookmarkStart w:id="53" w:name="page54"/>
    <w:bookmarkEnd w:id="53"/>
    <w:p>
      <w:pPr>
        <w:jc w:val="center"/>
        <w:spacing w:after="0"/>
        <w:rPr>
          <w:sz w:val="20"/>
          <w:szCs w:val="20"/>
          <w:color w:val="auto"/>
        </w:rPr>
      </w:pPr>
      <w:r>
        <w:rPr>
          <w:rFonts w:ascii="Arial" w:cs="Arial" w:eastAsia="Arial" w:hAnsi="Arial"/>
          <w:sz w:val="18"/>
          <w:szCs w:val="18"/>
          <w:b w:val="1"/>
          <w:bCs w:val="1"/>
          <w:color w:val="auto"/>
        </w:rPr>
        <w:t>OPTIMIZERx CORPORATION</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OPTIMIZER SYSTEMS, LLC</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(A DEVELOPMENT STAGE COMPANY)</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FINANCIAL STATEMENTS</w:t>
      </w:r>
    </w:p>
    <w:p>
      <w:pPr>
        <w:spacing w:after="0" w:line="26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SEPTEMBER 30, 2008</w:t>
      </w:r>
    </w:p>
    <w:p>
      <w:pPr>
        <w:spacing w:after="0" w:line="200" w:lineRule="exact"/>
        <w:rPr>
          <w:sz w:val="20"/>
          <w:szCs w:val="20"/>
          <w:color w:val="auto"/>
        </w:rPr>
      </w:pPr>
    </w:p>
    <w:p>
      <w:pPr>
        <w:spacing w:after="0" w:line="32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-756285</wp:posOffset>
            </wp:positionH>
            <wp:positionV relativeFrom="paragraph">
              <wp:posOffset>83185</wp:posOffset>
            </wp:positionV>
            <wp:extent cx="7246620" cy="8890"/>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9019"/>
          </w:cols>
          <w:pgMar w:left="1440" w:top="634" w:right="1440" w:bottom="1440" w:gutter="0" w:footer="0" w:header="0"/>
        </w:sectPr>
      </w:pPr>
    </w:p>
    <w:bookmarkStart w:id="54" w:name="page55"/>
    <w:bookmarkEnd w:id="54"/>
    <w:p>
      <w:pPr>
        <w:jc w:val="center"/>
        <w:ind w:left="1380"/>
        <w:spacing w:after="0"/>
        <w:rPr>
          <w:sz w:val="20"/>
          <w:szCs w:val="20"/>
          <w:color w:val="auto"/>
        </w:rPr>
      </w:pPr>
      <w:r>
        <w:rPr>
          <w:rFonts w:ascii="Arial" w:cs="Arial" w:eastAsia="Arial" w:hAnsi="Arial"/>
          <w:sz w:val="18"/>
          <w:szCs w:val="18"/>
          <w:b w:val="1"/>
          <w:bCs w:val="1"/>
          <w:color w:val="auto"/>
        </w:rPr>
        <w:t>OPTIMIZERx CORPORATION</w:t>
      </w:r>
    </w:p>
    <w:p>
      <w:pPr>
        <w:spacing w:after="0" w:line="27" w:lineRule="exact"/>
        <w:rPr>
          <w:sz w:val="20"/>
          <w:szCs w:val="20"/>
          <w:color w:val="auto"/>
        </w:rPr>
      </w:pPr>
    </w:p>
    <w:p>
      <w:pPr>
        <w:jc w:val="center"/>
        <w:ind w:left="1380"/>
        <w:spacing w:after="0"/>
        <w:rPr>
          <w:sz w:val="20"/>
          <w:szCs w:val="20"/>
          <w:color w:val="auto"/>
        </w:rPr>
      </w:pPr>
      <w:r>
        <w:rPr>
          <w:rFonts w:ascii="Arial" w:cs="Arial" w:eastAsia="Arial" w:hAnsi="Arial"/>
          <w:sz w:val="18"/>
          <w:szCs w:val="18"/>
          <w:b w:val="1"/>
          <w:bCs w:val="1"/>
          <w:color w:val="auto"/>
        </w:rPr>
        <w:t>OPTIMIZER SYSTEMS, LLC</w:t>
      </w:r>
    </w:p>
    <w:p>
      <w:pPr>
        <w:spacing w:after="0" w:line="9" w:lineRule="exact"/>
        <w:rPr>
          <w:sz w:val="20"/>
          <w:szCs w:val="20"/>
          <w:color w:val="auto"/>
        </w:rPr>
      </w:pPr>
    </w:p>
    <w:p>
      <w:pPr>
        <w:jc w:val="center"/>
        <w:ind w:left="1380"/>
        <w:spacing w:after="0"/>
        <w:rPr>
          <w:sz w:val="20"/>
          <w:szCs w:val="20"/>
          <w:color w:val="auto"/>
        </w:rPr>
      </w:pPr>
      <w:r>
        <w:rPr>
          <w:rFonts w:ascii="Arial" w:cs="Arial" w:eastAsia="Arial" w:hAnsi="Arial"/>
          <w:sz w:val="17"/>
          <w:szCs w:val="17"/>
          <w:b w:val="1"/>
          <w:bCs w:val="1"/>
          <w:color w:val="auto"/>
        </w:rPr>
        <w:t>(A DEVELOPMENT STAGE COMPANY)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3" w:lineRule="exact"/>
        <w:rPr>
          <w:sz w:val="20"/>
          <w:szCs w:val="20"/>
          <w:color w:val="auto"/>
        </w:rPr>
      </w:pPr>
    </w:p>
    <w:p>
      <w:pPr>
        <w:ind w:left="4760"/>
        <w:spacing w:after="0"/>
        <w:rPr>
          <w:sz w:val="20"/>
          <w:szCs w:val="20"/>
          <w:color w:val="auto"/>
        </w:rPr>
      </w:pPr>
      <w:r>
        <w:rPr>
          <w:rFonts w:ascii="Arial" w:cs="Arial" w:eastAsia="Arial" w:hAnsi="Arial"/>
          <w:sz w:val="18"/>
          <w:szCs w:val="18"/>
          <w:b w:val="1"/>
          <w:bCs w:val="1"/>
          <w:color w:val="auto"/>
        </w:rPr>
        <w:t>TABLE OF CONTENTS</w:t>
      </w:r>
    </w:p>
    <w:p>
      <w:pPr>
        <w:spacing w:after="0" w:line="279" w:lineRule="exact"/>
        <w:rPr>
          <w:sz w:val="20"/>
          <w:szCs w:val="20"/>
          <w:color w:val="auto"/>
        </w:rPr>
      </w:pPr>
    </w:p>
    <w:p>
      <w:pPr>
        <w:ind w:left="4820"/>
        <w:spacing w:after="0"/>
        <w:rPr>
          <w:sz w:val="20"/>
          <w:szCs w:val="20"/>
          <w:color w:val="auto"/>
        </w:rPr>
      </w:pPr>
      <w:r>
        <w:rPr>
          <w:rFonts w:ascii="Arial" w:cs="Arial" w:eastAsia="Arial" w:hAnsi="Arial"/>
          <w:sz w:val="18"/>
          <w:szCs w:val="18"/>
          <w:b w:val="1"/>
          <w:bCs w:val="1"/>
          <w:color w:val="auto"/>
        </w:rPr>
        <w:t>SEPTEMBER 30, 2008</w:t>
      </w:r>
    </w:p>
    <w:p>
      <w:pPr>
        <w:spacing w:after="0" w:line="200" w:lineRule="exact"/>
        <w:rPr>
          <w:sz w:val="20"/>
          <w:szCs w:val="20"/>
          <w:color w:val="auto"/>
        </w:rPr>
      </w:pPr>
    </w:p>
    <w:p>
      <w:pPr>
        <w:spacing w:after="0" w:line="349"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Balance Sheets as of September 30, 2008 (unaudited) and December 31, 2007 (audited)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-111760</wp:posOffset>
            </wp:positionV>
            <wp:extent cx="7246620" cy="137160"/>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246620" cy="137160"/>
                    </a:xfrm>
                    <a:prstGeom prst="rect">
                      <a:avLst/>
                    </a:prstGeom>
                    <a:noFill/>
                  </pic:spPr>
                </pic:pic>
              </a:graphicData>
            </a:graphic>
          </wp:anchor>
        </w:drawing>
      </w:r>
    </w:p>
    <w:p>
      <w:pPr>
        <w:spacing w:after="0" w:line="21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Statements of Operations for the Nine Months Ended September 30, 2008 and 2007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-119380</wp:posOffset>
            </wp:positionV>
            <wp:extent cx="7246620" cy="274320"/>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7246620" cy="274320"/>
                    </a:xfrm>
                    <a:prstGeom prst="rect">
                      <a:avLst/>
                    </a:prstGeom>
                    <a:noFill/>
                  </pic:spPr>
                </pic:pic>
              </a:graphicData>
            </a:graphic>
          </wp:anchor>
        </w:drawing>
      </w:r>
    </w:p>
    <w:p>
      <w:pPr>
        <w:spacing w:after="0" w:line="7" w:lineRule="exact"/>
        <w:rPr>
          <w:sz w:val="20"/>
          <w:szCs w:val="20"/>
          <w:color w:val="auto"/>
        </w:rPr>
      </w:pPr>
    </w:p>
    <w:p>
      <w:pPr>
        <w:ind w:left="180"/>
        <w:spacing w:after="0"/>
        <w:rPr>
          <w:sz w:val="20"/>
          <w:szCs w:val="20"/>
          <w:color w:val="auto"/>
        </w:rPr>
      </w:pPr>
      <w:r>
        <w:rPr>
          <w:rFonts w:ascii="Arial" w:cs="Arial" w:eastAsia="Arial" w:hAnsi="Arial"/>
          <w:sz w:val="17"/>
          <w:szCs w:val="17"/>
          <w:b w:val="1"/>
          <w:bCs w:val="1"/>
          <w:color w:val="auto"/>
        </w:rPr>
        <w:t>and for the Period from January 31, 2006 (inception) to September 30, 2008 (unaudited)</w:t>
      </w:r>
    </w:p>
    <w:p>
      <w:pPr>
        <w:spacing w:after="0" w:line="21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Statement of Stockholders’ Equity (Deficit) as of September 30, 2008 (unaudited)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-119380</wp:posOffset>
            </wp:positionV>
            <wp:extent cx="7246620" cy="137160"/>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7246620" cy="137160"/>
                    </a:xfrm>
                    <a:prstGeom prst="rect">
                      <a:avLst/>
                    </a:prstGeom>
                    <a:noFill/>
                  </pic:spPr>
                </pic:pic>
              </a:graphicData>
            </a:graphic>
          </wp:anchor>
        </w:drawing>
      </w:r>
    </w:p>
    <w:p>
      <w:pPr>
        <w:spacing w:after="0" w:line="20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Statements of Cash Flows for the Nine Months Ended September 30, 2008 and 2007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-119380</wp:posOffset>
            </wp:positionV>
            <wp:extent cx="7246620" cy="274320"/>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7246620" cy="274320"/>
                    </a:xfrm>
                    <a:prstGeom prst="rect">
                      <a:avLst/>
                    </a:prstGeom>
                    <a:noFill/>
                  </pic:spPr>
                </pic:pic>
              </a:graphicData>
            </a:graphic>
          </wp:anchor>
        </w:drawing>
      </w:r>
    </w:p>
    <w:p>
      <w:pPr>
        <w:spacing w:after="0" w:line="7" w:lineRule="exact"/>
        <w:rPr>
          <w:sz w:val="20"/>
          <w:szCs w:val="20"/>
          <w:color w:val="auto"/>
        </w:rPr>
      </w:pPr>
    </w:p>
    <w:p>
      <w:pPr>
        <w:ind w:left="180"/>
        <w:spacing w:after="0"/>
        <w:rPr>
          <w:sz w:val="20"/>
          <w:szCs w:val="20"/>
          <w:color w:val="auto"/>
        </w:rPr>
      </w:pPr>
      <w:r>
        <w:rPr>
          <w:rFonts w:ascii="Arial" w:cs="Arial" w:eastAsia="Arial" w:hAnsi="Arial"/>
          <w:sz w:val="17"/>
          <w:szCs w:val="17"/>
          <w:b w:val="1"/>
          <w:bCs w:val="1"/>
          <w:color w:val="auto"/>
        </w:rPr>
        <w:t>and for the Period from January 31, 2006 (inception) to September 30, 2008 (unaudited)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150495</wp:posOffset>
            </wp:positionV>
            <wp:extent cx="7246620" cy="274320"/>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7246620" cy="274320"/>
                    </a:xfrm>
                    <a:prstGeom prst="rect">
                      <a:avLst/>
                    </a:prstGeom>
                    <a:noFill/>
                  </pic:spPr>
                </pic:pic>
              </a:graphicData>
            </a:graphic>
          </wp:anchor>
        </w:drawing>
      </w:r>
    </w:p>
    <w:p>
      <w:pPr>
        <w:spacing w:after="0" w:line="30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Notes to Financial Statements</w:t>
      </w:r>
    </w:p>
    <w:p>
      <w:pPr>
        <w:spacing w:after="0" w:line="200" w:lineRule="exact"/>
        <w:rPr>
          <w:sz w:val="20"/>
          <w:szCs w:val="20"/>
          <w:color w:val="auto"/>
        </w:rPr>
      </w:pPr>
    </w:p>
    <w:p>
      <w:pPr>
        <w:spacing w:after="0" w:line="200" w:lineRule="exact"/>
        <w:rPr>
          <w:sz w:val="20"/>
          <w:szCs w:val="20"/>
          <w:color w:val="auto"/>
        </w:rPr>
      </w:pPr>
    </w:p>
    <w:p>
      <w:pPr>
        <w:spacing w:after="0" w:line="234" w:lineRule="exact"/>
        <w:rPr>
          <w:sz w:val="20"/>
          <w:szCs w:val="20"/>
          <w:color w:val="auto"/>
        </w:rPr>
      </w:pPr>
    </w:p>
    <w:p>
      <w:pPr>
        <w:ind w:left="5580"/>
        <w:spacing w:after="0"/>
        <w:rPr>
          <w:sz w:val="20"/>
          <w:szCs w:val="20"/>
          <w:color w:val="auto"/>
        </w:rPr>
      </w:pPr>
      <w:r>
        <w:rPr>
          <w:rFonts w:ascii="Arial" w:cs="Arial" w:eastAsia="Arial" w:hAnsi="Arial"/>
          <w:sz w:val="18"/>
          <w:szCs w:val="18"/>
          <w:color w:val="auto"/>
        </w:rPr>
        <w:t>F-1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246620" cy="8890"/>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1" w:lineRule="exact"/>
        <w:rPr>
          <w:sz w:val="20"/>
          <w:szCs w:val="20"/>
          <w:color w:val="auto"/>
        </w:rPr>
      </w:pPr>
    </w:p>
    <w:p>
      <w:pPr>
        <w:ind w:left="160"/>
        <w:spacing w:after="0"/>
        <w:rPr>
          <w:sz w:val="20"/>
          <w:szCs w:val="20"/>
          <w:color w:val="auto"/>
        </w:rPr>
      </w:pPr>
      <w:r>
        <w:rPr>
          <w:rFonts w:ascii="Arial" w:cs="Arial" w:eastAsia="Arial" w:hAnsi="Arial"/>
          <w:sz w:val="18"/>
          <w:szCs w:val="18"/>
          <w:b w:val="1"/>
          <w:bCs w:val="1"/>
          <w:color w:val="auto"/>
        </w:rPr>
        <w:t>F-2</w:t>
      </w:r>
    </w:p>
    <w:p>
      <w:pPr>
        <w:spacing w:after="0" w:line="200" w:lineRule="exact"/>
        <w:rPr>
          <w:sz w:val="20"/>
          <w:szCs w:val="20"/>
          <w:color w:val="auto"/>
        </w:rPr>
      </w:pPr>
    </w:p>
    <w:p>
      <w:pPr>
        <w:spacing w:after="0" w:line="241" w:lineRule="exact"/>
        <w:rPr>
          <w:sz w:val="20"/>
          <w:szCs w:val="20"/>
          <w:color w:val="auto"/>
        </w:rPr>
      </w:pPr>
    </w:p>
    <w:p>
      <w:pPr>
        <w:ind w:left="160"/>
        <w:spacing w:after="0"/>
        <w:rPr>
          <w:sz w:val="20"/>
          <w:szCs w:val="20"/>
          <w:color w:val="auto"/>
        </w:rPr>
      </w:pPr>
      <w:r>
        <w:rPr>
          <w:rFonts w:ascii="Arial" w:cs="Arial" w:eastAsia="Arial" w:hAnsi="Arial"/>
          <w:sz w:val="18"/>
          <w:szCs w:val="18"/>
          <w:b w:val="1"/>
          <w:bCs w:val="1"/>
          <w:color w:val="auto"/>
        </w:rPr>
        <w:t>F-3</w:t>
      </w:r>
    </w:p>
    <w:p>
      <w:pPr>
        <w:spacing w:after="0" w:line="225" w:lineRule="exact"/>
        <w:rPr>
          <w:sz w:val="20"/>
          <w:szCs w:val="20"/>
          <w:color w:val="auto"/>
        </w:rPr>
      </w:pPr>
    </w:p>
    <w:p>
      <w:pPr>
        <w:ind w:left="160"/>
        <w:spacing w:after="0"/>
        <w:rPr>
          <w:sz w:val="20"/>
          <w:szCs w:val="20"/>
          <w:color w:val="auto"/>
        </w:rPr>
      </w:pPr>
      <w:r>
        <w:rPr>
          <w:rFonts w:ascii="Arial" w:cs="Arial" w:eastAsia="Arial" w:hAnsi="Arial"/>
          <w:sz w:val="18"/>
          <w:szCs w:val="18"/>
          <w:b w:val="1"/>
          <w:bCs w:val="1"/>
          <w:color w:val="auto"/>
        </w:rPr>
        <w:t>F-4</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F-5</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F-6 - F-</w:t>
      </w:r>
    </w:p>
    <w:p>
      <w:pPr>
        <w:spacing w:after="0" w:line="3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10</w:t>
      </w:r>
    </w:p>
    <w:p>
      <w:pPr>
        <w:sectPr>
          <w:pgSz w:w="11900" w:h="16838" w:orient="portrait"/>
          <w:cols w:equalWidth="0" w:num="2">
            <w:col w:w="10040" w:space="720"/>
            <w:col w:w="580"/>
          </w:cols>
          <w:pgMar w:left="240" w:top="634" w:right="319" w:bottom="1440" w:gutter="0" w:footer="0" w:header="0"/>
        </w:sectPr>
      </w:pPr>
    </w:p>
    <w:bookmarkStart w:id="55" w:name="page56"/>
    <w:bookmarkEnd w:id="55"/>
    <w:p>
      <w:pPr>
        <w:jc w:val="center"/>
        <w:spacing w:after="0"/>
        <w:rPr>
          <w:sz w:val="20"/>
          <w:szCs w:val="20"/>
          <w:color w:val="auto"/>
        </w:rPr>
      </w:pPr>
      <w:r>
        <w:rPr>
          <w:rFonts w:ascii="Arial" w:cs="Arial" w:eastAsia="Arial" w:hAnsi="Arial"/>
          <w:sz w:val="18"/>
          <w:szCs w:val="18"/>
          <w:b w:val="1"/>
          <w:bCs w:val="1"/>
          <w:color w:val="auto"/>
        </w:rPr>
        <w:t>OPTIMIZERx CORPORATION</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OPTIMIZER SYSTEMS, LLC</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 DEVELOPMENT STAGE COMPANY)</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BALANCE SHEETS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AS OF SEPTEMBER 30, 2008 and DECEMBER 31, 2007</w:t>
      </w:r>
    </w:p>
    <w:p>
      <w:pPr>
        <w:spacing w:after="0" w:line="200" w:lineRule="exact"/>
        <w:rPr>
          <w:sz w:val="20"/>
          <w:szCs w:val="20"/>
          <w:color w:val="auto"/>
        </w:rPr>
      </w:pPr>
    </w:p>
    <w:p>
      <w:pPr>
        <w:spacing w:after="0" w:line="331"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20" w:type="dxa"/>
            <w:vAlign w:val="bottom"/>
          </w:tcPr>
          <w:p>
            <w:pPr>
              <w:spacing w:after="0"/>
              <w:rPr>
                <w:sz w:val="18"/>
                <w:szCs w:val="18"/>
                <w:color w:val="auto"/>
              </w:rPr>
            </w:pPr>
          </w:p>
        </w:tc>
        <w:tc>
          <w:tcPr>
            <w:tcW w:w="8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500" w:type="dxa"/>
            <w:vAlign w:val="bottom"/>
            <w:gridSpan w:val="2"/>
          </w:tcPr>
          <w:p>
            <w:pPr>
              <w:jc w:val="center"/>
              <w:ind w:right="320"/>
              <w:spacing w:after="0"/>
              <w:rPr>
                <w:sz w:val="20"/>
                <w:szCs w:val="20"/>
                <w:color w:val="auto"/>
              </w:rPr>
            </w:pPr>
            <w:r>
              <w:rPr>
                <w:rFonts w:ascii="Arial" w:cs="Arial" w:eastAsia="Arial" w:hAnsi="Arial"/>
                <w:sz w:val="18"/>
                <w:szCs w:val="18"/>
                <w:b w:val="1"/>
                <w:bCs w:val="1"/>
                <w:color w:val="auto"/>
                <w:w w:val="89"/>
              </w:rPr>
              <w:t>September 30,</w:t>
            </w: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40" w:type="dxa"/>
            <w:vAlign w:val="bottom"/>
            <w:gridSpan w:val="2"/>
          </w:tcPr>
          <w:p>
            <w:pPr>
              <w:jc w:val="center"/>
              <w:ind w:right="280"/>
              <w:spacing w:after="0"/>
              <w:rPr>
                <w:sz w:val="20"/>
                <w:szCs w:val="20"/>
                <w:color w:val="auto"/>
              </w:rPr>
            </w:pPr>
            <w:r>
              <w:rPr>
                <w:rFonts w:ascii="Arial" w:cs="Arial" w:eastAsia="Arial" w:hAnsi="Arial"/>
                <w:sz w:val="18"/>
                <w:szCs w:val="18"/>
                <w:b w:val="1"/>
                <w:bCs w:val="1"/>
                <w:color w:val="auto"/>
                <w:w w:val="88"/>
              </w:rPr>
              <w:t>December 31,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360" w:type="dxa"/>
            <w:vAlign w:val="bottom"/>
          </w:tcPr>
          <w:p>
            <w:pPr>
              <w:jc w:val="center"/>
              <w:ind w:right="70"/>
              <w:spacing w:after="0"/>
              <w:rPr>
                <w:sz w:val="20"/>
                <w:szCs w:val="20"/>
                <w:color w:val="auto"/>
              </w:rPr>
            </w:pPr>
            <w:r>
              <w:rPr>
                <w:rFonts w:ascii="Arial" w:cs="Arial" w:eastAsia="Arial" w:hAnsi="Arial"/>
                <w:sz w:val="18"/>
                <w:szCs w:val="18"/>
                <w:b w:val="1"/>
                <w:bCs w:val="1"/>
                <w:color w:val="auto"/>
                <w:w w:val="89"/>
              </w:rPr>
              <w:t>2008</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340" w:type="dxa"/>
            <w:vAlign w:val="bottom"/>
          </w:tcPr>
          <w:p>
            <w:pPr>
              <w:jc w:val="center"/>
              <w:ind w:right="90"/>
              <w:spacing w:after="0"/>
              <w:rPr>
                <w:sz w:val="20"/>
                <w:szCs w:val="20"/>
                <w:color w:val="auto"/>
              </w:rPr>
            </w:pPr>
            <w:r>
              <w:rPr>
                <w:rFonts w:ascii="Arial" w:cs="Arial" w:eastAsia="Arial" w:hAnsi="Arial"/>
                <w:sz w:val="18"/>
                <w:szCs w:val="18"/>
                <w:b w:val="1"/>
                <w:bCs w:val="1"/>
                <w:color w:val="auto"/>
                <w:w w:val="89"/>
              </w:rPr>
              <w:t>2007</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41"/>
        </w:trPr>
        <w:tc>
          <w:tcPr>
            <w:tcW w:w="20" w:type="dxa"/>
            <w:vAlign w:val="bottom"/>
          </w:tcPr>
          <w:p>
            <w:pPr>
              <w:spacing w:after="0"/>
              <w:rPr>
                <w:sz w:val="20"/>
                <w:szCs w:val="20"/>
                <w:color w:val="auto"/>
              </w:rPr>
            </w:pPr>
          </w:p>
        </w:tc>
        <w:tc>
          <w:tcPr>
            <w:tcW w:w="8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500" w:type="dxa"/>
            <w:vAlign w:val="bottom"/>
            <w:gridSpan w:val="2"/>
          </w:tcPr>
          <w:p>
            <w:pPr>
              <w:jc w:val="center"/>
              <w:ind w:right="320"/>
              <w:spacing w:after="0"/>
              <w:rPr>
                <w:sz w:val="20"/>
                <w:szCs w:val="20"/>
                <w:color w:val="auto"/>
              </w:rPr>
            </w:pPr>
            <w:r>
              <w:rPr>
                <w:rFonts w:ascii="Arial" w:cs="Arial" w:eastAsia="Arial" w:hAnsi="Arial"/>
                <w:sz w:val="18"/>
                <w:szCs w:val="18"/>
                <w:b w:val="1"/>
                <w:bCs w:val="1"/>
                <w:color w:val="auto"/>
                <w:w w:val="91"/>
              </w:rPr>
              <w:t>(unaudited)</w:t>
            </w:r>
          </w:p>
        </w:tc>
        <w:tc>
          <w:tcPr>
            <w:tcW w:w="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440" w:type="dxa"/>
            <w:vAlign w:val="bottom"/>
            <w:gridSpan w:val="2"/>
          </w:tcPr>
          <w:p>
            <w:pPr>
              <w:jc w:val="center"/>
              <w:ind w:right="300"/>
              <w:spacing w:after="0"/>
              <w:rPr>
                <w:sz w:val="20"/>
                <w:szCs w:val="20"/>
                <w:color w:val="auto"/>
              </w:rPr>
            </w:pPr>
            <w:r>
              <w:rPr>
                <w:rFonts w:ascii="Arial" w:cs="Arial" w:eastAsia="Arial" w:hAnsi="Arial"/>
                <w:sz w:val="18"/>
                <w:szCs w:val="18"/>
                <w:b w:val="1"/>
                <w:bCs w:val="1"/>
                <w:color w:val="auto"/>
                <w:w w:val="92"/>
              </w:rPr>
              <w:t>(audited)</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8100" w:type="dxa"/>
            <w:vAlign w:val="bottom"/>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1360" w:type="dxa"/>
            <w:vAlign w:val="bottom"/>
            <w:tcBorders>
              <w:top w:val="single" w:sz="8" w:color="auto"/>
            </w:tcBorders>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134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8100" w:type="dxa"/>
            <w:vAlign w:val="bottom"/>
            <w:shd w:val="clear" w:color="auto" w:fill="EEEEEE"/>
          </w:tcPr>
          <w:p>
            <w:pPr>
              <w:spacing w:after="0"/>
              <w:rPr>
                <w:sz w:val="20"/>
                <w:szCs w:val="20"/>
                <w:color w:val="auto"/>
              </w:rPr>
            </w:pPr>
            <w:r>
              <w:rPr>
                <w:rFonts w:ascii="Arial" w:cs="Arial" w:eastAsia="Arial" w:hAnsi="Arial"/>
                <w:sz w:val="18"/>
                <w:szCs w:val="18"/>
                <w:b w:val="1"/>
                <w:bCs w:val="1"/>
                <w:color w:val="auto"/>
              </w:rPr>
              <w:t>ASSETS</w:t>
            </w:r>
          </w:p>
        </w:tc>
        <w:tc>
          <w:tcPr>
            <w:tcW w:w="140" w:type="dxa"/>
            <w:vAlign w:val="bottom"/>
            <w:shd w:val="clear" w:color="auto" w:fill="EEEEEE"/>
          </w:tcPr>
          <w:p>
            <w:pPr>
              <w:spacing w:after="0"/>
              <w:rPr>
                <w:sz w:val="18"/>
                <w:szCs w:val="18"/>
                <w:color w:val="auto"/>
              </w:rPr>
            </w:pPr>
          </w:p>
        </w:tc>
        <w:tc>
          <w:tcPr>
            <w:tcW w:w="1360" w:type="dxa"/>
            <w:vAlign w:val="bottom"/>
            <w:shd w:val="clear" w:color="auto" w:fill="EEEEEE"/>
          </w:tcPr>
          <w:p>
            <w:pPr>
              <w:spacing w:after="0"/>
              <w:rPr>
                <w:sz w:val="18"/>
                <w:szCs w:val="18"/>
                <w:color w:val="auto"/>
              </w:rPr>
            </w:pPr>
          </w:p>
        </w:tc>
        <w:tc>
          <w:tcPr>
            <w:tcW w:w="140" w:type="dxa"/>
            <w:vAlign w:val="bottom"/>
            <w:shd w:val="clear" w:color="auto" w:fill="EEEEEE"/>
          </w:tcPr>
          <w:p>
            <w:pPr>
              <w:spacing w:after="0"/>
              <w:rPr>
                <w:sz w:val="18"/>
                <w:szCs w:val="18"/>
                <w:color w:val="auto"/>
              </w:rPr>
            </w:pPr>
          </w:p>
        </w:tc>
        <w:tc>
          <w:tcPr>
            <w:tcW w:w="80" w:type="dxa"/>
            <w:vAlign w:val="bottom"/>
            <w:shd w:val="clear" w:color="auto" w:fill="EEEEEE"/>
          </w:tcPr>
          <w:p>
            <w:pPr>
              <w:spacing w:after="0"/>
              <w:rPr>
                <w:sz w:val="18"/>
                <w:szCs w:val="18"/>
                <w:color w:val="auto"/>
              </w:rPr>
            </w:pPr>
          </w:p>
        </w:tc>
        <w:tc>
          <w:tcPr>
            <w:tcW w:w="140" w:type="dxa"/>
            <w:vAlign w:val="bottom"/>
            <w:shd w:val="clear" w:color="auto" w:fill="EEEEEE"/>
          </w:tcPr>
          <w:p>
            <w:pPr>
              <w:spacing w:after="0"/>
              <w:rPr>
                <w:sz w:val="18"/>
                <w:szCs w:val="18"/>
                <w:color w:val="auto"/>
              </w:rPr>
            </w:pPr>
          </w:p>
        </w:tc>
        <w:tc>
          <w:tcPr>
            <w:tcW w:w="1340" w:type="dxa"/>
            <w:vAlign w:val="bottom"/>
            <w:shd w:val="clear" w:color="auto" w:fill="EEEEEE"/>
          </w:tcPr>
          <w:p>
            <w:pPr>
              <w:spacing w:after="0"/>
              <w:rPr>
                <w:sz w:val="18"/>
                <w:szCs w:val="18"/>
                <w:color w:val="auto"/>
              </w:rPr>
            </w:pPr>
          </w:p>
        </w:tc>
        <w:tc>
          <w:tcPr>
            <w:tcW w:w="100" w:type="dxa"/>
            <w:vAlign w:val="bottom"/>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100" w:type="dxa"/>
            <w:vAlign w:val="bottom"/>
          </w:tcPr>
          <w:p>
            <w:pPr>
              <w:spacing w:after="0"/>
              <w:rPr>
                <w:sz w:val="20"/>
                <w:szCs w:val="20"/>
                <w:color w:val="auto"/>
              </w:rPr>
            </w:pPr>
            <w:r>
              <w:rPr>
                <w:rFonts w:ascii="Arial" w:cs="Arial" w:eastAsia="Arial" w:hAnsi="Arial"/>
                <w:sz w:val="18"/>
                <w:szCs w:val="18"/>
                <w:b w:val="1"/>
                <w:bCs w:val="1"/>
                <w:color w:val="auto"/>
              </w:rPr>
              <w:t>Current Assets</w:t>
            </w:r>
          </w:p>
        </w:tc>
        <w:tc>
          <w:tcPr>
            <w:tcW w:w="14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100" w:type="dxa"/>
            <w:vAlign w:val="bottom"/>
            <w:shd w:val="clear" w:color="auto" w:fill="EEEEEE"/>
          </w:tcPr>
          <w:p>
            <w:pPr>
              <w:ind w:left="320"/>
              <w:spacing w:after="0"/>
              <w:rPr>
                <w:sz w:val="20"/>
                <w:szCs w:val="20"/>
                <w:color w:val="auto"/>
              </w:rPr>
            </w:pPr>
            <w:r>
              <w:rPr>
                <w:rFonts w:ascii="Arial" w:cs="Arial" w:eastAsia="Arial" w:hAnsi="Arial"/>
                <w:sz w:val="18"/>
                <w:szCs w:val="18"/>
                <w:color w:val="auto"/>
              </w:rPr>
              <w:t>Cash and cash equivalents</w:t>
            </w:r>
          </w:p>
        </w:tc>
        <w:tc>
          <w:tcPr>
            <w:tcW w:w="140" w:type="dxa"/>
            <w:vAlign w:val="bottom"/>
            <w:shd w:val="clear" w:color="auto" w:fill="EEEEEE"/>
          </w:tcPr>
          <w:p>
            <w:pPr>
              <w:jc w:val="right"/>
              <w:spacing w:after="0"/>
              <w:rPr>
                <w:sz w:val="20"/>
                <w:szCs w:val="20"/>
                <w:color w:val="auto"/>
              </w:rPr>
            </w:pPr>
            <w:r>
              <w:rPr>
                <w:rFonts w:ascii="Arial" w:cs="Arial" w:eastAsia="Arial" w:hAnsi="Arial"/>
                <w:sz w:val="18"/>
                <w:szCs w:val="18"/>
                <w:color w:val="auto"/>
                <w:w w:val="79"/>
              </w:rPr>
              <w:t>$</w:t>
            </w:r>
          </w:p>
        </w:tc>
        <w:tc>
          <w:tcPr>
            <w:tcW w:w="1360" w:type="dxa"/>
            <w:vAlign w:val="bottom"/>
            <w:shd w:val="clear" w:color="auto" w:fill="EEEEEE"/>
          </w:tcPr>
          <w:p>
            <w:pPr>
              <w:jc w:val="right"/>
              <w:spacing w:after="0"/>
              <w:rPr>
                <w:sz w:val="20"/>
                <w:szCs w:val="20"/>
                <w:color w:val="auto"/>
              </w:rPr>
            </w:pPr>
            <w:r>
              <w:rPr>
                <w:rFonts w:ascii="Arial" w:cs="Arial" w:eastAsia="Arial" w:hAnsi="Arial"/>
                <w:sz w:val="18"/>
                <w:szCs w:val="18"/>
                <w:color w:val="auto"/>
              </w:rPr>
              <w:t>2,807,520</w:t>
            </w:r>
          </w:p>
        </w:tc>
        <w:tc>
          <w:tcPr>
            <w:tcW w:w="140" w:type="dxa"/>
            <w:vAlign w:val="bottom"/>
            <w:shd w:val="clear" w:color="auto" w:fill="EEEEEE"/>
          </w:tcPr>
          <w:p>
            <w:pPr>
              <w:spacing w:after="0"/>
              <w:rPr>
                <w:sz w:val="18"/>
                <w:szCs w:val="18"/>
                <w:color w:val="auto"/>
              </w:rPr>
            </w:pPr>
          </w:p>
        </w:tc>
        <w:tc>
          <w:tcPr>
            <w:tcW w:w="220" w:type="dxa"/>
            <w:vAlign w:val="bottom"/>
            <w:gridSpan w:val="2"/>
            <w:shd w:val="clear" w:color="auto" w:fill="EEEEEE"/>
          </w:tcPr>
          <w:p>
            <w:pPr>
              <w:jc w:val="right"/>
              <w:ind w:right="60"/>
              <w:spacing w:after="0"/>
              <w:rPr>
                <w:sz w:val="20"/>
                <w:szCs w:val="20"/>
                <w:color w:val="auto"/>
              </w:rPr>
            </w:pPr>
            <w:r>
              <w:rPr>
                <w:rFonts w:ascii="Arial" w:cs="Arial" w:eastAsia="Arial" w:hAnsi="Arial"/>
                <w:sz w:val="18"/>
                <w:szCs w:val="18"/>
                <w:color w:val="auto"/>
              </w:rPr>
              <w:t>$</w:t>
            </w:r>
          </w:p>
        </w:tc>
        <w:tc>
          <w:tcPr>
            <w:tcW w:w="1340" w:type="dxa"/>
            <w:vAlign w:val="bottom"/>
            <w:shd w:val="clear" w:color="auto" w:fill="EEEEEE"/>
          </w:tcPr>
          <w:p>
            <w:pPr>
              <w:jc w:val="right"/>
              <w:spacing w:after="0"/>
              <w:rPr>
                <w:sz w:val="20"/>
                <w:szCs w:val="20"/>
                <w:color w:val="auto"/>
              </w:rPr>
            </w:pPr>
            <w:r>
              <w:rPr>
                <w:rFonts w:ascii="Arial" w:cs="Arial" w:eastAsia="Arial" w:hAnsi="Arial"/>
                <w:sz w:val="18"/>
                <w:szCs w:val="18"/>
                <w:color w:val="auto"/>
              </w:rPr>
              <w:t>135,429</w:t>
            </w:r>
          </w:p>
        </w:tc>
        <w:tc>
          <w:tcPr>
            <w:tcW w:w="100" w:type="dxa"/>
            <w:vAlign w:val="bottom"/>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8100" w:type="dxa"/>
            <w:vAlign w:val="bottom"/>
          </w:tcPr>
          <w:p>
            <w:pPr>
              <w:ind w:left="320"/>
              <w:spacing w:after="0"/>
              <w:rPr>
                <w:sz w:val="20"/>
                <w:szCs w:val="20"/>
                <w:color w:val="auto"/>
              </w:rPr>
            </w:pPr>
            <w:r>
              <w:rPr>
                <w:rFonts w:ascii="Arial" w:cs="Arial" w:eastAsia="Arial" w:hAnsi="Arial"/>
                <w:sz w:val="18"/>
                <w:szCs w:val="18"/>
                <w:color w:val="auto"/>
              </w:rPr>
              <w:t>Prepaid rent</w:t>
            </w:r>
          </w:p>
        </w:tc>
        <w:tc>
          <w:tcPr>
            <w:tcW w:w="140" w:type="dxa"/>
            <w:vAlign w:val="bottom"/>
            <w:tcBorders>
              <w:bottom w:val="single" w:sz="8" w:color="auto"/>
            </w:tcBorders>
          </w:tcPr>
          <w:p>
            <w:pPr>
              <w:spacing w:after="0"/>
              <w:rPr>
                <w:sz w:val="19"/>
                <w:szCs w:val="19"/>
                <w:color w:val="auto"/>
              </w:rPr>
            </w:pPr>
          </w:p>
        </w:tc>
        <w:tc>
          <w:tcPr>
            <w:tcW w:w="13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w:t>
            </w: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3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2,000</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100" w:type="dxa"/>
            <w:vAlign w:val="bottom"/>
            <w:shd w:val="clear" w:color="auto" w:fill="EEEEEE"/>
          </w:tcPr>
          <w:p>
            <w:pPr>
              <w:spacing w:after="0"/>
              <w:rPr>
                <w:sz w:val="20"/>
                <w:szCs w:val="20"/>
                <w:color w:val="auto"/>
              </w:rPr>
            </w:pPr>
            <w:r>
              <w:rPr>
                <w:rFonts w:ascii="Arial" w:cs="Arial" w:eastAsia="Arial" w:hAnsi="Arial"/>
                <w:sz w:val="18"/>
                <w:szCs w:val="18"/>
                <w:b w:val="1"/>
                <w:bCs w:val="1"/>
                <w:color w:val="auto"/>
              </w:rPr>
              <w:t>Total Current Assets</w:t>
            </w:r>
          </w:p>
        </w:tc>
        <w:tc>
          <w:tcPr>
            <w:tcW w:w="140" w:type="dxa"/>
            <w:vAlign w:val="bottom"/>
            <w:shd w:val="clear" w:color="auto" w:fill="EEEEEE"/>
          </w:tcPr>
          <w:p>
            <w:pPr>
              <w:spacing w:after="0"/>
              <w:rPr>
                <w:sz w:val="18"/>
                <w:szCs w:val="18"/>
                <w:color w:val="auto"/>
              </w:rPr>
            </w:pPr>
          </w:p>
        </w:tc>
        <w:tc>
          <w:tcPr>
            <w:tcW w:w="1360" w:type="dxa"/>
            <w:vAlign w:val="bottom"/>
            <w:shd w:val="clear" w:color="auto" w:fill="EEEEEE"/>
          </w:tcPr>
          <w:p>
            <w:pPr>
              <w:jc w:val="right"/>
              <w:spacing w:after="0"/>
              <w:rPr>
                <w:sz w:val="20"/>
                <w:szCs w:val="20"/>
                <w:color w:val="auto"/>
              </w:rPr>
            </w:pPr>
            <w:r>
              <w:rPr>
                <w:rFonts w:ascii="Arial" w:cs="Arial" w:eastAsia="Arial" w:hAnsi="Arial"/>
                <w:sz w:val="18"/>
                <w:szCs w:val="18"/>
                <w:color w:val="auto"/>
              </w:rPr>
              <w:t>2,807,520</w:t>
            </w:r>
          </w:p>
        </w:tc>
        <w:tc>
          <w:tcPr>
            <w:tcW w:w="140" w:type="dxa"/>
            <w:vAlign w:val="bottom"/>
            <w:shd w:val="clear" w:color="auto" w:fill="EEEEEE"/>
          </w:tcPr>
          <w:p>
            <w:pPr>
              <w:spacing w:after="0"/>
              <w:rPr>
                <w:sz w:val="18"/>
                <w:szCs w:val="18"/>
                <w:color w:val="auto"/>
              </w:rPr>
            </w:pPr>
          </w:p>
        </w:tc>
        <w:tc>
          <w:tcPr>
            <w:tcW w:w="80" w:type="dxa"/>
            <w:vAlign w:val="bottom"/>
            <w:shd w:val="clear" w:color="auto" w:fill="EEEEEE"/>
          </w:tcPr>
          <w:p>
            <w:pPr>
              <w:spacing w:after="0"/>
              <w:rPr>
                <w:sz w:val="18"/>
                <w:szCs w:val="18"/>
                <w:color w:val="auto"/>
              </w:rPr>
            </w:pPr>
          </w:p>
        </w:tc>
        <w:tc>
          <w:tcPr>
            <w:tcW w:w="140" w:type="dxa"/>
            <w:vAlign w:val="bottom"/>
            <w:shd w:val="clear" w:color="auto" w:fill="EEEEEE"/>
          </w:tcPr>
          <w:p>
            <w:pPr>
              <w:spacing w:after="0"/>
              <w:rPr>
                <w:sz w:val="18"/>
                <w:szCs w:val="18"/>
                <w:color w:val="auto"/>
              </w:rPr>
            </w:pPr>
          </w:p>
        </w:tc>
        <w:tc>
          <w:tcPr>
            <w:tcW w:w="1340" w:type="dxa"/>
            <w:vAlign w:val="bottom"/>
            <w:shd w:val="clear" w:color="auto" w:fill="EEEEEE"/>
          </w:tcPr>
          <w:p>
            <w:pPr>
              <w:jc w:val="right"/>
              <w:spacing w:after="0"/>
              <w:rPr>
                <w:sz w:val="20"/>
                <w:szCs w:val="20"/>
                <w:color w:val="auto"/>
              </w:rPr>
            </w:pPr>
            <w:r>
              <w:rPr>
                <w:rFonts w:ascii="Arial" w:cs="Arial" w:eastAsia="Arial" w:hAnsi="Arial"/>
                <w:sz w:val="18"/>
                <w:szCs w:val="18"/>
                <w:color w:val="auto"/>
              </w:rPr>
              <w:t>137,429</w:t>
            </w:r>
          </w:p>
        </w:tc>
        <w:tc>
          <w:tcPr>
            <w:tcW w:w="100" w:type="dxa"/>
            <w:vAlign w:val="bottom"/>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8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8100" w:type="dxa"/>
            <w:vAlign w:val="bottom"/>
            <w:shd w:val="clear" w:color="auto" w:fill="EEEEEE"/>
          </w:tcPr>
          <w:p>
            <w:pPr>
              <w:spacing w:after="0"/>
              <w:rPr>
                <w:sz w:val="20"/>
                <w:szCs w:val="20"/>
                <w:color w:val="auto"/>
              </w:rPr>
            </w:pPr>
            <w:r>
              <w:rPr>
                <w:rFonts w:ascii="Arial" w:cs="Arial" w:eastAsia="Arial" w:hAnsi="Arial"/>
                <w:sz w:val="18"/>
                <w:szCs w:val="18"/>
                <w:b w:val="1"/>
                <w:bCs w:val="1"/>
                <w:color w:val="auto"/>
              </w:rPr>
              <w:t>Property and Equipment, net</w:t>
            </w:r>
          </w:p>
        </w:tc>
        <w:tc>
          <w:tcPr>
            <w:tcW w:w="140" w:type="dxa"/>
            <w:vAlign w:val="bottom"/>
            <w:shd w:val="clear" w:color="auto" w:fill="EEEEEE"/>
          </w:tcPr>
          <w:p>
            <w:pPr>
              <w:spacing w:after="0"/>
              <w:rPr>
                <w:sz w:val="18"/>
                <w:szCs w:val="18"/>
                <w:color w:val="auto"/>
              </w:rPr>
            </w:pPr>
          </w:p>
        </w:tc>
        <w:tc>
          <w:tcPr>
            <w:tcW w:w="1360" w:type="dxa"/>
            <w:vAlign w:val="bottom"/>
            <w:shd w:val="clear" w:color="auto" w:fill="EEEEEE"/>
          </w:tcPr>
          <w:p>
            <w:pPr>
              <w:jc w:val="right"/>
              <w:spacing w:after="0"/>
              <w:rPr>
                <w:sz w:val="20"/>
                <w:szCs w:val="20"/>
                <w:color w:val="auto"/>
              </w:rPr>
            </w:pPr>
            <w:r>
              <w:rPr>
                <w:rFonts w:ascii="Arial" w:cs="Arial" w:eastAsia="Arial" w:hAnsi="Arial"/>
                <w:sz w:val="18"/>
                <w:szCs w:val="18"/>
                <w:color w:val="auto"/>
              </w:rPr>
              <w:t>7,618</w:t>
            </w:r>
          </w:p>
        </w:tc>
        <w:tc>
          <w:tcPr>
            <w:tcW w:w="140" w:type="dxa"/>
            <w:vAlign w:val="bottom"/>
            <w:shd w:val="clear" w:color="auto" w:fill="EEEEEE"/>
          </w:tcPr>
          <w:p>
            <w:pPr>
              <w:spacing w:after="0"/>
              <w:rPr>
                <w:sz w:val="18"/>
                <w:szCs w:val="18"/>
                <w:color w:val="auto"/>
              </w:rPr>
            </w:pPr>
          </w:p>
        </w:tc>
        <w:tc>
          <w:tcPr>
            <w:tcW w:w="80" w:type="dxa"/>
            <w:vAlign w:val="bottom"/>
            <w:shd w:val="clear" w:color="auto" w:fill="EEEEEE"/>
          </w:tcPr>
          <w:p>
            <w:pPr>
              <w:spacing w:after="0"/>
              <w:rPr>
                <w:sz w:val="18"/>
                <w:szCs w:val="18"/>
                <w:color w:val="auto"/>
              </w:rPr>
            </w:pPr>
          </w:p>
        </w:tc>
        <w:tc>
          <w:tcPr>
            <w:tcW w:w="140" w:type="dxa"/>
            <w:vAlign w:val="bottom"/>
            <w:shd w:val="clear" w:color="auto" w:fill="EEEEEE"/>
          </w:tcPr>
          <w:p>
            <w:pPr>
              <w:spacing w:after="0"/>
              <w:rPr>
                <w:sz w:val="18"/>
                <w:szCs w:val="18"/>
                <w:color w:val="auto"/>
              </w:rPr>
            </w:pPr>
          </w:p>
        </w:tc>
        <w:tc>
          <w:tcPr>
            <w:tcW w:w="1340" w:type="dxa"/>
            <w:vAlign w:val="bottom"/>
            <w:shd w:val="clear" w:color="auto" w:fill="EEEEEE"/>
          </w:tcPr>
          <w:p>
            <w:pPr>
              <w:jc w:val="right"/>
              <w:spacing w:after="0"/>
              <w:rPr>
                <w:sz w:val="20"/>
                <w:szCs w:val="20"/>
                <w:color w:val="auto"/>
              </w:rPr>
            </w:pPr>
            <w:r>
              <w:rPr>
                <w:rFonts w:ascii="Arial" w:cs="Arial" w:eastAsia="Arial" w:hAnsi="Arial"/>
                <w:sz w:val="18"/>
                <w:szCs w:val="18"/>
                <w:color w:val="auto"/>
              </w:rPr>
              <w:t>5,972</w:t>
            </w:r>
          </w:p>
        </w:tc>
        <w:tc>
          <w:tcPr>
            <w:tcW w:w="100" w:type="dxa"/>
            <w:vAlign w:val="bottom"/>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8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vMerge w:val="continue"/>
          </w:tcPr>
          <w:p>
            <w:pPr>
              <w:spacing w:after="0"/>
              <w:rPr>
                <w:sz w:val="19"/>
                <w:szCs w:val="19"/>
                <w:color w:val="auto"/>
              </w:rPr>
            </w:pPr>
          </w:p>
        </w:tc>
        <w:tc>
          <w:tcPr>
            <w:tcW w:w="8100" w:type="dxa"/>
            <w:vAlign w:val="bottom"/>
            <w:tcBorders>
              <w:bottom w:val="single" w:sz="8" w:color="EEEEEE"/>
            </w:tcBorders>
            <w:shd w:val="clear" w:color="auto" w:fill="EEEEEE"/>
          </w:tcPr>
          <w:p>
            <w:pPr>
              <w:spacing w:after="0"/>
              <w:rPr>
                <w:sz w:val="20"/>
                <w:szCs w:val="20"/>
                <w:color w:val="auto"/>
              </w:rPr>
            </w:pPr>
            <w:r>
              <w:rPr>
                <w:rFonts w:ascii="Arial" w:cs="Arial" w:eastAsia="Arial" w:hAnsi="Arial"/>
                <w:sz w:val="18"/>
                <w:szCs w:val="18"/>
                <w:b w:val="1"/>
                <w:bCs w:val="1"/>
                <w:color w:val="auto"/>
              </w:rPr>
              <w:t>Website Development Costs, net</w:t>
            </w:r>
          </w:p>
        </w:tc>
        <w:tc>
          <w:tcPr>
            <w:tcW w:w="140" w:type="dxa"/>
            <w:vAlign w:val="bottom"/>
            <w:tcBorders>
              <w:bottom w:val="single" w:sz="8" w:color="auto"/>
            </w:tcBorders>
            <w:shd w:val="clear" w:color="auto" w:fill="EEEEEE"/>
          </w:tcPr>
          <w:p>
            <w:pPr>
              <w:spacing w:after="0"/>
              <w:rPr>
                <w:sz w:val="19"/>
                <w:szCs w:val="19"/>
                <w:color w:val="auto"/>
              </w:rPr>
            </w:pPr>
          </w:p>
        </w:tc>
        <w:tc>
          <w:tcPr>
            <w:tcW w:w="1360" w:type="dxa"/>
            <w:vAlign w:val="bottom"/>
            <w:tcBorders>
              <w:bottom w:val="single" w:sz="8" w:color="auto"/>
            </w:tcBorders>
            <w:shd w:val="clear" w:color="auto" w:fill="EEEEEE"/>
          </w:tcPr>
          <w:p>
            <w:pPr>
              <w:jc w:val="right"/>
              <w:spacing w:after="0"/>
              <w:rPr>
                <w:sz w:val="20"/>
                <w:szCs w:val="20"/>
                <w:color w:val="auto"/>
              </w:rPr>
            </w:pPr>
            <w:r>
              <w:rPr>
                <w:rFonts w:ascii="Arial" w:cs="Arial" w:eastAsia="Arial" w:hAnsi="Arial"/>
                <w:sz w:val="18"/>
                <w:szCs w:val="18"/>
                <w:color w:val="auto"/>
              </w:rPr>
              <w:t>151,284</w:t>
            </w:r>
          </w:p>
        </w:tc>
        <w:tc>
          <w:tcPr>
            <w:tcW w:w="140" w:type="dxa"/>
            <w:vAlign w:val="bottom"/>
            <w:tcBorders>
              <w:bottom w:val="single" w:sz="8" w:color="EEEEEE"/>
            </w:tcBorders>
            <w:shd w:val="clear" w:color="auto" w:fill="EEEEEE"/>
          </w:tcPr>
          <w:p>
            <w:pPr>
              <w:spacing w:after="0"/>
              <w:rPr>
                <w:sz w:val="19"/>
                <w:szCs w:val="19"/>
                <w:color w:val="auto"/>
              </w:rPr>
            </w:pPr>
          </w:p>
        </w:tc>
        <w:tc>
          <w:tcPr>
            <w:tcW w:w="80" w:type="dxa"/>
            <w:vAlign w:val="bottom"/>
            <w:tcBorders>
              <w:bottom w:val="single" w:sz="8" w:color="EEEEEE"/>
            </w:tcBorders>
            <w:shd w:val="clear" w:color="auto" w:fill="EEEEEE"/>
          </w:tcPr>
          <w:p>
            <w:pPr>
              <w:spacing w:after="0"/>
              <w:rPr>
                <w:sz w:val="19"/>
                <w:szCs w:val="19"/>
                <w:color w:val="auto"/>
              </w:rPr>
            </w:pPr>
          </w:p>
        </w:tc>
        <w:tc>
          <w:tcPr>
            <w:tcW w:w="140" w:type="dxa"/>
            <w:vAlign w:val="bottom"/>
            <w:tcBorders>
              <w:bottom w:val="single" w:sz="8" w:color="auto"/>
            </w:tcBorders>
            <w:shd w:val="clear" w:color="auto" w:fill="EEEEEE"/>
          </w:tcPr>
          <w:p>
            <w:pPr>
              <w:spacing w:after="0"/>
              <w:rPr>
                <w:sz w:val="19"/>
                <w:szCs w:val="19"/>
                <w:color w:val="auto"/>
              </w:rPr>
            </w:pPr>
          </w:p>
        </w:tc>
        <w:tc>
          <w:tcPr>
            <w:tcW w:w="1340" w:type="dxa"/>
            <w:vAlign w:val="bottom"/>
            <w:tcBorders>
              <w:bottom w:val="single" w:sz="8" w:color="auto"/>
            </w:tcBorders>
            <w:shd w:val="clear" w:color="auto" w:fill="EEEEEE"/>
          </w:tcPr>
          <w:p>
            <w:pPr>
              <w:jc w:val="right"/>
              <w:spacing w:after="0"/>
              <w:rPr>
                <w:sz w:val="20"/>
                <w:szCs w:val="20"/>
                <w:color w:val="auto"/>
              </w:rPr>
            </w:pPr>
            <w:r>
              <w:rPr>
                <w:rFonts w:ascii="Arial" w:cs="Arial" w:eastAsia="Arial" w:hAnsi="Arial"/>
                <w:sz w:val="18"/>
                <w:szCs w:val="18"/>
                <w:color w:val="auto"/>
              </w:rPr>
              <w:t>151,564</w:t>
            </w:r>
          </w:p>
        </w:tc>
        <w:tc>
          <w:tcPr>
            <w:tcW w:w="100" w:type="dxa"/>
            <w:vAlign w:val="bottom"/>
            <w:tcBorders>
              <w:bottom w:val="single" w:sz="8" w:color="EEEEEE"/>
            </w:tcBorders>
            <w:shd w:val="clear" w:color="auto" w:fill="EEEEEE"/>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8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57"/>
        </w:trPr>
        <w:tc>
          <w:tcPr>
            <w:tcW w:w="20" w:type="dxa"/>
            <w:vAlign w:val="bottom"/>
            <w:vMerge w:val="continue"/>
          </w:tcPr>
          <w:p>
            <w:pPr>
              <w:spacing w:after="0"/>
              <w:rPr>
                <w:sz w:val="22"/>
                <w:szCs w:val="22"/>
                <w:color w:val="auto"/>
              </w:rPr>
            </w:pPr>
          </w:p>
        </w:tc>
        <w:tc>
          <w:tcPr>
            <w:tcW w:w="8100" w:type="dxa"/>
            <w:vAlign w:val="bottom"/>
            <w:shd w:val="clear" w:color="auto" w:fill="EEEEEE"/>
          </w:tcPr>
          <w:p>
            <w:pPr>
              <w:spacing w:after="0"/>
              <w:rPr>
                <w:sz w:val="20"/>
                <w:szCs w:val="20"/>
                <w:color w:val="auto"/>
              </w:rPr>
            </w:pPr>
            <w:r>
              <w:rPr>
                <w:rFonts w:ascii="Arial" w:cs="Arial" w:eastAsia="Arial" w:hAnsi="Arial"/>
                <w:sz w:val="18"/>
                <w:szCs w:val="18"/>
                <w:b w:val="1"/>
                <w:bCs w:val="1"/>
                <w:color w:val="auto"/>
              </w:rPr>
              <w:t>TOTAL ASSETS</w:t>
            </w:r>
          </w:p>
        </w:tc>
        <w:tc>
          <w:tcPr>
            <w:tcW w:w="140" w:type="dxa"/>
            <w:vAlign w:val="bottom"/>
            <w:shd w:val="clear" w:color="auto" w:fill="EEEEEE"/>
          </w:tcPr>
          <w:p>
            <w:pPr>
              <w:jc w:val="right"/>
              <w:spacing w:after="0"/>
              <w:rPr>
                <w:sz w:val="20"/>
                <w:szCs w:val="20"/>
                <w:color w:val="auto"/>
              </w:rPr>
            </w:pPr>
            <w:r>
              <w:rPr>
                <w:rFonts w:ascii="Arial" w:cs="Arial" w:eastAsia="Arial" w:hAnsi="Arial"/>
                <w:sz w:val="18"/>
                <w:szCs w:val="18"/>
                <w:color w:val="auto"/>
                <w:w w:val="79"/>
              </w:rPr>
              <w:t>$</w:t>
            </w:r>
          </w:p>
        </w:tc>
        <w:tc>
          <w:tcPr>
            <w:tcW w:w="1360" w:type="dxa"/>
            <w:vAlign w:val="bottom"/>
            <w:shd w:val="clear" w:color="auto" w:fill="EEEEEE"/>
          </w:tcPr>
          <w:p>
            <w:pPr>
              <w:jc w:val="right"/>
              <w:spacing w:after="0"/>
              <w:rPr>
                <w:sz w:val="20"/>
                <w:szCs w:val="20"/>
                <w:color w:val="auto"/>
              </w:rPr>
            </w:pPr>
            <w:r>
              <w:rPr>
                <w:rFonts w:ascii="Arial" w:cs="Arial" w:eastAsia="Arial" w:hAnsi="Arial"/>
                <w:sz w:val="18"/>
                <w:szCs w:val="18"/>
                <w:color w:val="auto"/>
              </w:rPr>
              <w:t>2,966,422</w:t>
            </w:r>
          </w:p>
        </w:tc>
        <w:tc>
          <w:tcPr>
            <w:tcW w:w="140" w:type="dxa"/>
            <w:vAlign w:val="bottom"/>
            <w:shd w:val="clear" w:color="auto" w:fill="EEEEEE"/>
          </w:tcPr>
          <w:p>
            <w:pPr>
              <w:spacing w:after="0"/>
              <w:rPr>
                <w:sz w:val="22"/>
                <w:szCs w:val="22"/>
                <w:color w:val="auto"/>
              </w:rPr>
            </w:pPr>
          </w:p>
        </w:tc>
        <w:tc>
          <w:tcPr>
            <w:tcW w:w="220" w:type="dxa"/>
            <w:vAlign w:val="bottom"/>
            <w:gridSpan w:val="2"/>
            <w:shd w:val="clear" w:color="auto" w:fill="EEEEEE"/>
          </w:tcPr>
          <w:p>
            <w:pPr>
              <w:jc w:val="right"/>
              <w:ind w:right="60"/>
              <w:spacing w:after="0"/>
              <w:rPr>
                <w:sz w:val="20"/>
                <w:szCs w:val="20"/>
                <w:color w:val="auto"/>
              </w:rPr>
            </w:pPr>
            <w:r>
              <w:rPr>
                <w:rFonts w:ascii="Arial" w:cs="Arial" w:eastAsia="Arial" w:hAnsi="Arial"/>
                <w:sz w:val="18"/>
                <w:szCs w:val="18"/>
                <w:color w:val="auto"/>
              </w:rPr>
              <w:t>$</w:t>
            </w:r>
          </w:p>
        </w:tc>
        <w:tc>
          <w:tcPr>
            <w:tcW w:w="1340" w:type="dxa"/>
            <w:vAlign w:val="bottom"/>
            <w:shd w:val="clear" w:color="auto" w:fill="EEEEEE"/>
          </w:tcPr>
          <w:p>
            <w:pPr>
              <w:jc w:val="right"/>
              <w:spacing w:after="0"/>
              <w:rPr>
                <w:sz w:val="20"/>
                <w:szCs w:val="20"/>
                <w:color w:val="auto"/>
              </w:rPr>
            </w:pPr>
            <w:r>
              <w:rPr>
                <w:rFonts w:ascii="Arial" w:cs="Arial" w:eastAsia="Arial" w:hAnsi="Arial"/>
                <w:sz w:val="18"/>
                <w:szCs w:val="18"/>
                <w:color w:val="auto"/>
              </w:rPr>
              <w:t>294,965</w:t>
            </w:r>
          </w:p>
        </w:tc>
        <w:tc>
          <w:tcPr>
            <w:tcW w:w="100" w:type="dxa"/>
            <w:vAlign w:val="bottom"/>
            <w:shd w:val="clear" w:color="auto" w:fill="EEEEEE"/>
          </w:tcPr>
          <w:p>
            <w:pPr>
              <w:spacing w:after="0"/>
              <w:rPr>
                <w:sz w:val="22"/>
                <w:szCs w:val="22"/>
                <w:color w:val="auto"/>
              </w:rPr>
            </w:pP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8100" w:type="dxa"/>
            <w:vAlign w:val="bottom"/>
            <w:tcBorders>
              <w:top w:val="single" w:sz="8" w:color="EEEEEE"/>
            </w:tcBorders>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1360" w:type="dxa"/>
            <w:vAlign w:val="bottom"/>
            <w:tcBorders>
              <w:top w:val="single" w:sz="8" w:color="auto"/>
            </w:tcBorders>
          </w:tcPr>
          <w:p>
            <w:pPr>
              <w:spacing w:after="0"/>
              <w:rPr>
                <w:sz w:val="18"/>
                <w:szCs w:val="18"/>
                <w:color w:val="auto"/>
              </w:rPr>
            </w:pPr>
          </w:p>
        </w:tc>
        <w:tc>
          <w:tcPr>
            <w:tcW w:w="140" w:type="dxa"/>
            <w:vAlign w:val="bottom"/>
            <w:tcBorders>
              <w:top w:val="single" w:sz="8" w:color="EEEEEE"/>
            </w:tcBorders>
          </w:tcPr>
          <w:p>
            <w:pPr>
              <w:spacing w:after="0"/>
              <w:rPr>
                <w:sz w:val="18"/>
                <w:szCs w:val="18"/>
                <w:color w:val="auto"/>
              </w:rPr>
            </w:pPr>
          </w:p>
        </w:tc>
        <w:tc>
          <w:tcPr>
            <w:tcW w:w="80" w:type="dxa"/>
            <w:vAlign w:val="bottom"/>
            <w:tcBorders>
              <w:top w:val="single" w:sz="8" w:color="EEEEEE"/>
            </w:tcBorders>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1340" w:type="dxa"/>
            <w:vAlign w:val="bottom"/>
            <w:tcBorders>
              <w:top w:val="single" w:sz="8" w:color="auto"/>
            </w:tcBorders>
          </w:tcPr>
          <w:p>
            <w:pPr>
              <w:spacing w:after="0"/>
              <w:rPr>
                <w:sz w:val="18"/>
                <w:szCs w:val="18"/>
                <w:color w:val="auto"/>
              </w:rPr>
            </w:pPr>
          </w:p>
        </w:tc>
        <w:tc>
          <w:tcPr>
            <w:tcW w:w="100" w:type="dxa"/>
            <w:vAlign w:val="bottom"/>
            <w:tcBorders>
              <w:top w:val="single" w:sz="8" w:color="EEEEEE"/>
            </w:tcBorders>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8100" w:type="dxa"/>
            <w:vAlign w:val="bottom"/>
            <w:shd w:val="clear" w:color="auto" w:fill="EEEEEE"/>
          </w:tcPr>
          <w:p>
            <w:pPr>
              <w:spacing w:after="0"/>
              <w:rPr>
                <w:sz w:val="20"/>
                <w:szCs w:val="20"/>
                <w:color w:val="auto"/>
              </w:rPr>
            </w:pPr>
            <w:r>
              <w:rPr>
                <w:rFonts w:ascii="Arial" w:cs="Arial" w:eastAsia="Arial" w:hAnsi="Arial"/>
                <w:sz w:val="18"/>
                <w:szCs w:val="18"/>
                <w:b w:val="1"/>
                <w:bCs w:val="1"/>
                <w:color w:val="auto"/>
              </w:rPr>
              <w:t>LIABILITIES AND STOCKHOLDERS’ EQUITY</w:t>
            </w:r>
          </w:p>
        </w:tc>
        <w:tc>
          <w:tcPr>
            <w:tcW w:w="140" w:type="dxa"/>
            <w:vAlign w:val="bottom"/>
            <w:shd w:val="clear" w:color="auto" w:fill="EEEEEE"/>
          </w:tcPr>
          <w:p>
            <w:pPr>
              <w:spacing w:after="0"/>
              <w:rPr>
                <w:sz w:val="18"/>
                <w:szCs w:val="18"/>
                <w:color w:val="auto"/>
              </w:rPr>
            </w:pPr>
          </w:p>
        </w:tc>
        <w:tc>
          <w:tcPr>
            <w:tcW w:w="1360" w:type="dxa"/>
            <w:vAlign w:val="bottom"/>
            <w:shd w:val="clear" w:color="auto" w:fill="EEEEEE"/>
          </w:tcPr>
          <w:p>
            <w:pPr>
              <w:spacing w:after="0"/>
              <w:rPr>
                <w:sz w:val="18"/>
                <w:szCs w:val="18"/>
                <w:color w:val="auto"/>
              </w:rPr>
            </w:pPr>
          </w:p>
        </w:tc>
        <w:tc>
          <w:tcPr>
            <w:tcW w:w="140" w:type="dxa"/>
            <w:vAlign w:val="bottom"/>
            <w:shd w:val="clear" w:color="auto" w:fill="EEEEEE"/>
          </w:tcPr>
          <w:p>
            <w:pPr>
              <w:spacing w:after="0"/>
              <w:rPr>
                <w:sz w:val="18"/>
                <w:szCs w:val="18"/>
                <w:color w:val="auto"/>
              </w:rPr>
            </w:pPr>
          </w:p>
        </w:tc>
        <w:tc>
          <w:tcPr>
            <w:tcW w:w="80" w:type="dxa"/>
            <w:vAlign w:val="bottom"/>
            <w:shd w:val="clear" w:color="auto" w:fill="EEEEEE"/>
          </w:tcPr>
          <w:p>
            <w:pPr>
              <w:spacing w:after="0"/>
              <w:rPr>
                <w:sz w:val="18"/>
                <w:szCs w:val="18"/>
                <w:color w:val="auto"/>
              </w:rPr>
            </w:pPr>
          </w:p>
        </w:tc>
        <w:tc>
          <w:tcPr>
            <w:tcW w:w="140" w:type="dxa"/>
            <w:vAlign w:val="bottom"/>
            <w:shd w:val="clear" w:color="auto" w:fill="EEEEEE"/>
          </w:tcPr>
          <w:p>
            <w:pPr>
              <w:spacing w:after="0"/>
              <w:rPr>
                <w:sz w:val="18"/>
                <w:szCs w:val="18"/>
                <w:color w:val="auto"/>
              </w:rPr>
            </w:pPr>
          </w:p>
        </w:tc>
        <w:tc>
          <w:tcPr>
            <w:tcW w:w="1340" w:type="dxa"/>
            <w:vAlign w:val="bottom"/>
            <w:shd w:val="clear" w:color="auto" w:fill="EEEEEE"/>
          </w:tcPr>
          <w:p>
            <w:pPr>
              <w:spacing w:after="0"/>
              <w:rPr>
                <w:sz w:val="18"/>
                <w:szCs w:val="18"/>
                <w:color w:val="auto"/>
              </w:rPr>
            </w:pPr>
          </w:p>
        </w:tc>
        <w:tc>
          <w:tcPr>
            <w:tcW w:w="100" w:type="dxa"/>
            <w:vAlign w:val="bottom"/>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100" w:type="dxa"/>
            <w:vAlign w:val="bottom"/>
          </w:tcPr>
          <w:p>
            <w:pPr>
              <w:spacing w:after="0"/>
              <w:rPr>
                <w:sz w:val="20"/>
                <w:szCs w:val="20"/>
                <w:color w:val="auto"/>
              </w:rPr>
            </w:pPr>
            <w:r>
              <w:rPr>
                <w:rFonts w:ascii="Arial" w:cs="Arial" w:eastAsia="Arial" w:hAnsi="Arial"/>
                <w:sz w:val="18"/>
                <w:szCs w:val="18"/>
                <w:b w:val="1"/>
                <w:bCs w:val="1"/>
                <w:color w:val="auto"/>
              </w:rPr>
              <w:t>Current Liabilities</w:t>
            </w:r>
          </w:p>
        </w:tc>
        <w:tc>
          <w:tcPr>
            <w:tcW w:w="14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100" w:type="dxa"/>
            <w:vAlign w:val="bottom"/>
            <w:shd w:val="clear" w:color="auto" w:fill="EEEEEE"/>
          </w:tcPr>
          <w:p>
            <w:pPr>
              <w:ind w:left="320"/>
              <w:spacing w:after="0"/>
              <w:rPr>
                <w:sz w:val="20"/>
                <w:szCs w:val="20"/>
                <w:color w:val="auto"/>
              </w:rPr>
            </w:pPr>
            <w:r>
              <w:rPr>
                <w:rFonts w:ascii="Arial" w:cs="Arial" w:eastAsia="Arial" w:hAnsi="Arial"/>
                <w:sz w:val="18"/>
                <w:szCs w:val="18"/>
                <w:color w:val="auto"/>
              </w:rPr>
              <w:t>Accounts payable</w:t>
            </w:r>
          </w:p>
        </w:tc>
        <w:tc>
          <w:tcPr>
            <w:tcW w:w="140" w:type="dxa"/>
            <w:vAlign w:val="bottom"/>
            <w:shd w:val="clear" w:color="auto" w:fill="EEEEEE"/>
          </w:tcPr>
          <w:p>
            <w:pPr>
              <w:jc w:val="right"/>
              <w:spacing w:after="0"/>
              <w:rPr>
                <w:sz w:val="20"/>
                <w:szCs w:val="20"/>
                <w:color w:val="auto"/>
              </w:rPr>
            </w:pPr>
            <w:r>
              <w:rPr>
                <w:rFonts w:ascii="Arial" w:cs="Arial" w:eastAsia="Arial" w:hAnsi="Arial"/>
                <w:sz w:val="18"/>
                <w:szCs w:val="18"/>
                <w:color w:val="auto"/>
                <w:w w:val="79"/>
              </w:rPr>
              <w:t>$</w:t>
            </w:r>
          </w:p>
        </w:tc>
        <w:tc>
          <w:tcPr>
            <w:tcW w:w="1360" w:type="dxa"/>
            <w:vAlign w:val="bottom"/>
            <w:shd w:val="clear" w:color="auto" w:fill="EEEEEE"/>
          </w:tcPr>
          <w:p>
            <w:pPr>
              <w:jc w:val="right"/>
              <w:spacing w:after="0"/>
              <w:rPr>
                <w:sz w:val="20"/>
                <w:szCs w:val="20"/>
                <w:color w:val="auto"/>
              </w:rPr>
            </w:pPr>
            <w:r>
              <w:rPr>
                <w:rFonts w:ascii="Arial" w:cs="Arial" w:eastAsia="Arial" w:hAnsi="Arial"/>
                <w:sz w:val="18"/>
                <w:szCs w:val="18"/>
                <w:color w:val="auto"/>
              </w:rPr>
              <w:t>11,303</w:t>
            </w:r>
          </w:p>
        </w:tc>
        <w:tc>
          <w:tcPr>
            <w:tcW w:w="140" w:type="dxa"/>
            <w:vAlign w:val="bottom"/>
            <w:shd w:val="clear" w:color="auto" w:fill="EEEEEE"/>
          </w:tcPr>
          <w:p>
            <w:pPr>
              <w:spacing w:after="0"/>
              <w:rPr>
                <w:sz w:val="18"/>
                <w:szCs w:val="18"/>
                <w:color w:val="auto"/>
              </w:rPr>
            </w:pPr>
          </w:p>
        </w:tc>
        <w:tc>
          <w:tcPr>
            <w:tcW w:w="220" w:type="dxa"/>
            <w:vAlign w:val="bottom"/>
            <w:gridSpan w:val="2"/>
            <w:shd w:val="clear" w:color="auto" w:fill="EEEEEE"/>
          </w:tcPr>
          <w:p>
            <w:pPr>
              <w:jc w:val="right"/>
              <w:ind w:right="60"/>
              <w:spacing w:after="0"/>
              <w:rPr>
                <w:sz w:val="20"/>
                <w:szCs w:val="20"/>
                <w:color w:val="auto"/>
              </w:rPr>
            </w:pPr>
            <w:r>
              <w:rPr>
                <w:rFonts w:ascii="Arial" w:cs="Arial" w:eastAsia="Arial" w:hAnsi="Arial"/>
                <w:sz w:val="18"/>
                <w:szCs w:val="18"/>
                <w:color w:val="auto"/>
              </w:rPr>
              <w:t>$</w:t>
            </w:r>
          </w:p>
        </w:tc>
        <w:tc>
          <w:tcPr>
            <w:tcW w:w="1340" w:type="dxa"/>
            <w:vAlign w:val="bottom"/>
            <w:shd w:val="clear" w:color="auto" w:fill="EEEEEE"/>
          </w:tcPr>
          <w:p>
            <w:pPr>
              <w:jc w:val="right"/>
              <w:spacing w:after="0"/>
              <w:rPr>
                <w:sz w:val="20"/>
                <w:szCs w:val="20"/>
                <w:color w:val="auto"/>
              </w:rPr>
            </w:pPr>
            <w:r>
              <w:rPr>
                <w:rFonts w:ascii="Arial" w:cs="Arial" w:eastAsia="Arial" w:hAnsi="Arial"/>
                <w:sz w:val="18"/>
                <w:szCs w:val="18"/>
                <w:color w:val="auto"/>
              </w:rPr>
              <w:t>43,216</w:t>
            </w:r>
          </w:p>
        </w:tc>
        <w:tc>
          <w:tcPr>
            <w:tcW w:w="100" w:type="dxa"/>
            <w:vAlign w:val="bottom"/>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100" w:type="dxa"/>
            <w:vAlign w:val="bottom"/>
          </w:tcPr>
          <w:p>
            <w:pPr>
              <w:ind w:left="320"/>
              <w:spacing w:after="0"/>
              <w:rPr>
                <w:sz w:val="20"/>
                <w:szCs w:val="20"/>
                <w:color w:val="auto"/>
              </w:rPr>
            </w:pPr>
            <w:r>
              <w:rPr>
                <w:rFonts w:ascii="Arial" w:cs="Arial" w:eastAsia="Arial" w:hAnsi="Arial"/>
                <w:sz w:val="18"/>
                <w:szCs w:val="18"/>
                <w:color w:val="auto"/>
              </w:rPr>
              <w:t>Accrued expenses</w:t>
            </w:r>
          </w:p>
        </w:tc>
        <w:tc>
          <w:tcPr>
            <w:tcW w:w="140" w:type="dxa"/>
            <w:vAlign w:val="bottom"/>
          </w:tcPr>
          <w:p>
            <w:pPr>
              <w:spacing w:after="0"/>
              <w:rPr>
                <w:sz w:val="18"/>
                <w:szCs w:val="18"/>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0</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18,926</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8100" w:type="dxa"/>
            <w:vAlign w:val="bottom"/>
            <w:tcBorders>
              <w:bottom w:val="single" w:sz="8" w:color="EEEEEE"/>
            </w:tcBorders>
            <w:shd w:val="clear" w:color="auto" w:fill="EEEEEE"/>
          </w:tcPr>
          <w:p>
            <w:pPr>
              <w:ind w:left="320"/>
              <w:spacing w:after="0"/>
              <w:rPr>
                <w:sz w:val="20"/>
                <w:szCs w:val="20"/>
                <w:color w:val="auto"/>
              </w:rPr>
            </w:pPr>
            <w:r>
              <w:rPr>
                <w:rFonts w:ascii="Arial" w:cs="Arial" w:eastAsia="Arial" w:hAnsi="Arial"/>
                <w:sz w:val="18"/>
                <w:szCs w:val="18"/>
                <w:color w:val="auto"/>
              </w:rPr>
              <w:t>Notes payable – related parties</w:t>
            </w:r>
          </w:p>
        </w:tc>
        <w:tc>
          <w:tcPr>
            <w:tcW w:w="140" w:type="dxa"/>
            <w:vAlign w:val="bottom"/>
            <w:tcBorders>
              <w:bottom w:val="single" w:sz="8" w:color="auto"/>
            </w:tcBorders>
            <w:shd w:val="clear" w:color="auto" w:fill="EEEEEE"/>
          </w:tcPr>
          <w:p>
            <w:pPr>
              <w:spacing w:after="0"/>
              <w:rPr>
                <w:sz w:val="19"/>
                <w:szCs w:val="19"/>
                <w:color w:val="auto"/>
              </w:rPr>
            </w:pPr>
          </w:p>
        </w:tc>
        <w:tc>
          <w:tcPr>
            <w:tcW w:w="1360" w:type="dxa"/>
            <w:vAlign w:val="bottom"/>
            <w:tcBorders>
              <w:bottom w:val="single" w:sz="8" w:color="auto"/>
            </w:tcBorders>
            <w:shd w:val="clear" w:color="auto" w:fill="EEEEEE"/>
          </w:tcPr>
          <w:p>
            <w:pPr>
              <w:jc w:val="right"/>
              <w:spacing w:after="0"/>
              <w:rPr>
                <w:sz w:val="20"/>
                <w:szCs w:val="20"/>
                <w:color w:val="auto"/>
              </w:rPr>
            </w:pPr>
            <w:r>
              <w:rPr>
                <w:rFonts w:ascii="Arial" w:cs="Arial" w:eastAsia="Arial" w:hAnsi="Arial"/>
                <w:sz w:val="18"/>
                <w:szCs w:val="18"/>
                <w:color w:val="auto"/>
              </w:rPr>
              <w:t>0</w:t>
            </w:r>
          </w:p>
        </w:tc>
        <w:tc>
          <w:tcPr>
            <w:tcW w:w="140" w:type="dxa"/>
            <w:vAlign w:val="bottom"/>
            <w:tcBorders>
              <w:bottom w:val="single" w:sz="8" w:color="EEEEEE"/>
            </w:tcBorders>
            <w:shd w:val="clear" w:color="auto" w:fill="EEEEEE"/>
          </w:tcPr>
          <w:p>
            <w:pPr>
              <w:spacing w:after="0"/>
              <w:rPr>
                <w:sz w:val="19"/>
                <w:szCs w:val="19"/>
                <w:color w:val="auto"/>
              </w:rPr>
            </w:pPr>
          </w:p>
        </w:tc>
        <w:tc>
          <w:tcPr>
            <w:tcW w:w="80" w:type="dxa"/>
            <w:vAlign w:val="bottom"/>
            <w:tcBorders>
              <w:bottom w:val="single" w:sz="8" w:color="EEEEEE"/>
            </w:tcBorders>
            <w:shd w:val="clear" w:color="auto" w:fill="EEEEEE"/>
          </w:tcPr>
          <w:p>
            <w:pPr>
              <w:spacing w:after="0"/>
              <w:rPr>
                <w:sz w:val="19"/>
                <w:szCs w:val="19"/>
                <w:color w:val="auto"/>
              </w:rPr>
            </w:pPr>
          </w:p>
        </w:tc>
        <w:tc>
          <w:tcPr>
            <w:tcW w:w="140" w:type="dxa"/>
            <w:vAlign w:val="bottom"/>
            <w:tcBorders>
              <w:bottom w:val="single" w:sz="8" w:color="auto"/>
            </w:tcBorders>
            <w:shd w:val="clear" w:color="auto" w:fill="EEEEEE"/>
          </w:tcPr>
          <w:p>
            <w:pPr>
              <w:spacing w:after="0"/>
              <w:rPr>
                <w:sz w:val="19"/>
                <w:szCs w:val="19"/>
                <w:color w:val="auto"/>
              </w:rPr>
            </w:pPr>
          </w:p>
        </w:tc>
        <w:tc>
          <w:tcPr>
            <w:tcW w:w="1340" w:type="dxa"/>
            <w:vAlign w:val="bottom"/>
            <w:tcBorders>
              <w:bottom w:val="single" w:sz="8" w:color="auto"/>
            </w:tcBorders>
            <w:shd w:val="clear" w:color="auto" w:fill="EEEEEE"/>
          </w:tcPr>
          <w:p>
            <w:pPr>
              <w:jc w:val="right"/>
              <w:spacing w:after="0"/>
              <w:rPr>
                <w:sz w:val="20"/>
                <w:szCs w:val="20"/>
                <w:color w:val="auto"/>
              </w:rPr>
            </w:pPr>
            <w:r>
              <w:rPr>
                <w:rFonts w:ascii="Arial" w:cs="Arial" w:eastAsia="Arial" w:hAnsi="Arial"/>
                <w:sz w:val="18"/>
                <w:szCs w:val="18"/>
                <w:color w:val="auto"/>
              </w:rPr>
              <w:t>277,750</w:t>
            </w:r>
          </w:p>
        </w:tc>
        <w:tc>
          <w:tcPr>
            <w:tcW w:w="100" w:type="dxa"/>
            <w:vAlign w:val="bottom"/>
            <w:tcBorders>
              <w:bottom w:val="single" w:sz="8" w:color="EEEEEE"/>
            </w:tcBorders>
            <w:shd w:val="clear" w:color="auto" w:fill="EEEEEE"/>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8100" w:type="dxa"/>
            <w:vAlign w:val="bottom"/>
          </w:tcPr>
          <w:p>
            <w:pPr>
              <w:spacing w:after="0"/>
              <w:rPr>
                <w:sz w:val="20"/>
                <w:szCs w:val="20"/>
                <w:color w:val="auto"/>
              </w:rPr>
            </w:pPr>
            <w:r>
              <w:rPr>
                <w:rFonts w:ascii="Arial" w:cs="Arial" w:eastAsia="Arial" w:hAnsi="Arial"/>
                <w:sz w:val="18"/>
                <w:szCs w:val="18"/>
                <w:b w:val="1"/>
                <w:bCs w:val="1"/>
                <w:color w:val="auto"/>
              </w:rPr>
              <w:t>Total Current Liabilities</w:t>
            </w:r>
          </w:p>
        </w:tc>
        <w:tc>
          <w:tcPr>
            <w:tcW w:w="140" w:type="dxa"/>
            <w:vAlign w:val="bottom"/>
            <w:tcBorders>
              <w:bottom w:val="single" w:sz="8" w:color="auto"/>
            </w:tcBorders>
          </w:tcPr>
          <w:p>
            <w:pPr>
              <w:spacing w:after="0"/>
              <w:rPr>
                <w:sz w:val="19"/>
                <w:szCs w:val="19"/>
                <w:color w:val="auto"/>
              </w:rPr>
            </w:pPr>
          </w:p>
        </w:tc>
        <w:tc>
          <w:tcPr>
            <w:tcW w:w="13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11,303</w:t>
            </w: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3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339,892</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8100" w:type="dxa"/>
            <w:vAlign w:val="bottom"/>
            <w:shd w:val="clear" w:color="auto" w:fill="EEEEEE"/>
          </w:tcPr>
          <w:p>
            <w:pPr>
              <w:spacing w:after="0"/>
              <w:rPr>
                <w:sz w:val="18"/>
                <w:szCs w:val="18"/>
                <w:color w:val="auto"/>
              </w:rPr>
            </w:pPr>
          </w:p>
        </w:tc>
        <w:tc>
          <w:tcPr>
            <w:tcW w:w="140" w:type="dxa"/>
            <w:vAlign w:val="bottom"/>
            <w:shd w:val="clear" w:color="auto" w:fill="EEEEEE"/>
          </w:tcPr>
          <w:p>
            <w:pPr>
              <w:spacing w:after="0"/>
              <w:rPr>
                <w:sz w:val="18"/>
                <w:szCs w:val="18"/>
                <w:color w:val="auto"/>
              </w:rPr>
            </w:pPr>
          </w:p>
        </w:tc>
        <w:tc>
          <w:tcPr>
            <w:tcW w:w="1360" w:type="dxa"/>
            <w:vAlign w:val="bottom"/>
            <w:shd w:val="clear" w:color="auto" w:fill="EEEEEE"/>
          </w:tcPr>
          <w:p>
            <w:pPr>
              <w:spacing w:after="0"/>
              <w:rPr>
                <w:sz w:val="18"/>
                <w:szCs w:val="18"/>
                <w:color w:val="auto"/>
              </w:rPr>
            </w:pPr>
          </w:p>
        </w:tc>
        <w:tc>
          <w:tcPr>
            <w:tcW w:w="140" w:type="dxa"/>
            <w:vAlign w:val="bottom"/>
            <w:shd w:val="clear" w:color="auto" w:fill="EEEEEE"/>
          </w:tcPr>
          <w:p>
            <w:pPr>
              <w:spacing w:after="0"/>
              <w:rPr>
                <w:sz w:val="18"/>
                <w:szCs w:val="18"/>
                <w:color w:val="auto"/>
              </w:rPr>
            </w:pPr>
          </w:p>
        </w:tc>
        <w:tc>
          <w:tcPr>
            <w:tcW w:w="80" w:type="dxa"/>
            <w:vAlign w:val="bottom"/>
            <w:shd w:val="clear" w:color="auto" w:fill="EEEEEE"/>
          </w:tcPr>
          <w:p>
            <w:pPr>
              <w:spacing w:after="0"/>
              <w:rPr>
                <w:sz w:val="18"/>
                <w:szCs w:val="18"/>
                <w:color w:val="auto"/>
              </w:rPr>
            </w:pPr>
          </w:p>
        </w:tc>
        <w:tc>
          <w:tcPr>
            <w:tcW w:w="140" w:type="dxa"/>
            <w:vAlign w:val="bottom"/>
            <w:shd w:val="clear" w:color="auto" w:fill="EEEEEE"/>
          </w:tcPr>
          <w:p>
            <w:pPr>
              <w:spacing w:after="0"/>
              <w:rPr>
                <w:sz w:val="18"/>
                <w:szCs w:val="18"/>
                <w:color w:val="auto"/>
              </w:rPr>
            </w:pPr>
          </w:p>
        </w:tc>
        <w:tc>
          <w:tcPr>
            <w:tcW w:w="1340" w:type="dxa"/>
            <w:vAlign w:val="bottom"/>
            <w:shd w:val="clear" w:color="auto" w:fill="EEEEEE"/>
          </w:tcPr>
          <w:p>
            <w:pPr>
              <w:spacing w:after="0"/>
              <w:rPr>
                <w:sz w:val="18"/>
                <w:szCs w:val="18"/>
                <w:color w:val="auto"/>
              </w:rPr>
            </w:pPr>
          </w:p>
        </w:tc>
        <w:tc>
          <w:tcPr>
            <w:tcW w:w="100" w:type="dxa"/>
            <w:vAlign w:val="bottom"/>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8100" w:type="dxa"/>
            <w:vAlign w:val="bottom"/>
          </w:tcPr>
          <w:p>
            <w:pPr>
              <w:spacing w:after="0"/>
              <w:rPr>
                <w:sz w:val="20"/>
                <w:szCs w:val="20"/>
                <w:color w:val="auto"/>
              </w:rPr>
            </w:pPr>
            <w:r>
              <w:rPr>
                <w:rFonts w:ascii="Arial" w:cs="Arial" w:eastAsia="Arial" w:hAnsi="Arial"/>
                <w:sz w:val="18"/>
                <w:szCs w:val="18"/>
                <w:b w:val="1"/>
                <w:bCs w:val="1"/>
                <w:color w:val="auto"/>
              </w:rPr>
              <w:t>Long - term Debt</w:t>
            </w:r>
          </w:p>
        </w:tc>
        <w:tc>
          <w:tcPr>
            <w:tcW w:w="14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8100" w:type="dxa"/>
            <w:vAlign w:val="bottom"/>
            <w:tcBorders>
              <w:bottom w:val="single" w:sz="8" w:color="EEEEEE"/>
            </w:tcBorders>
            <w:shd w:val="clear" w:color="auto" w:fill="EEEEEE"/>
          </w:tcPr>
          <w:p>
            <w:pPr>
              <w:ind w:left="320"/>
              <w:spacing w:after="0"/>
              <w:rPr>
                <w:sz w:val="20"/>
                <w:szCs w:val="20"/>
                <w:color w:val="auto"/>
              </w:rPr>
            </w:pPr>
            <w:r>
              <w:rPr>
                <w:rFonts w:ascii="Arial" w:cs="Arial" w:eastAsia="Arial" w:hAnsi="Arial"/>
                <w:sz w:val="18"/>
                <w:szCs w:val="18"/>
                <w:color w:val="auto"/>
              </w:rPr>
              <w:t>Notes payable – related party</w:t>
            </w:r>
          </w:p>
        </w:tc>
        <w:tc>
          <w:tcPr>
            <w:tcW w:w="140" w:type="dxa"/>
            <w:vAlign w:val="bottom"/>
            <w:tcBorders>
              <w:bottom w:val="single" w:sz="8" w:color="auto"/>
            </w:tcBorders>
            <w:shd w:val="clear" w:color="auto" w:fill="EEEEEE"/>
          </w:tcPr>
          <w:p>
            <w:pPr>
              <w:spacing w:after="0"/>
              <w:rPr>
                <w:sz w:val="19"/>
                <w:szCs w:val="19"/>
                <w:color w:val="auto"/>
              </w:rPr>
            </w:pPr>
          </w:p>
        </w:tc>
        <w:tc>
          <w:tcPr>
            <w:tcW w:w="1360" w:type="dxa"/>
            <w:vAlign w:val="bottom"/>
            <w:tcBorders>
              <w:bottom w:val="single" w:sz="8" w:color="auto"/>
            </w:tcBorders>
            <w:shd w:val="clear" w:color="auto" w:fill="EEEEEE"/>
          </w:tcPr>
          <w:p>
            <w:pPr>
              <w:jc w:val="right"/>
              <w:spacing w:after="0"/>
              <w:rPr>
                <w:sz w:val="20"/>
                <w:szCs w:val="20"/>
                <w:color w:val="auto"/>
              </w:rPr>
            </w:pPr>
            <w:r>
              <w:rPr>
                <w:rFonts w:ascii="Arial" w:cs="Arial" w:eastAsia="Arial" w:hAnsi="Arial"/>
                <w:sz w:val="18"/>
                <w:szCs w:val="18"/>
                <w:color w:val="auto"/>
              </w:rPr>
              <w:t>0</w:t>
            </w:r>
          </w:p>
        </w:tc>
        <w:tc>
          <w:tcPr>
            <w:tcW w:w="140" w:type="dxa"/>
            <w:vAlign w:val="bottom"/>
            <w:tcBorders>
              <w:bottom w:val="single" w:sz="8" w:color="EEEEEE"/>
            </w:tcBorders>
            <w:shd w:val="clear" w:color="auto" w:fill="EEEEEE"/>
          </w:tcPr>
          <w:p>
            <w:pPr>
              <w:spacing w:after="0"/>
              <w:rPr>
                <w:sz w:val="19"/>
                <w:szCs w:val="19"/>
                <w:color w:val="auto"/>
              </w:rPr>
            </w:pPr>
          </w:p>
        </w:tc>
        <w:tc>
          <w:tcPr>
            <w:tcW w:w="80" w:type="dxa"/>
            <w:vAlign w:val="bottom"/>
            <w:tcBorders>
              <w:bottom w:val="single" w:sz="8" w:color="EEEEEE"/>
            </w:tcBorders>
            <w:shd w:val="clear" w:color="auto" w:fill="EEEEEE"/>
          </w:tcPr>
          <w:p>
            <w:pPr>
              <w:spacing w:after="0"/>
              <w:rPr>
                <w:sz w:val="19"/>
                <w:szCs w:val="19"/>
                <w:color w:val="auto"/>
              </w:rPr>
            </w:pPr>
          </w:p>
        </w:tc>
        <w:tc>
          <w:tcPr>
            <w:tcW w:w="140" w:type="dxa"/>
            <w:vAlign w:val="bottom"/>
            <w:tcBorders>
              <w:bottom w:val="single" w:sz="8" w:color="auto"/>
            </w:tcBorders>
            <w:shd w:val="clear" w:color="auto" w:fill="EEEEEE"/>
          </w:tcPr>
          <w:p>
            <w:pPr>
              <w:spacing w:after="0"/>
              <w:rPr>
                <w:sz w:val="19"/>
                <w:szCs w:val="19"/>
                <w:color w:val="auto"/>
              </w:rPr>
            </w:pPr>
          </w:p>
        </w:tc>
        <w:tc>
          <w:tcPr>
            <w:tcW w:w="1340" w:type="dxa"/>
            <w:vAlign w:val="bottom"/>
            <w:tcBorders>
              <w:bottom w:val="single" w:sz="8" w:color="auto"/>
            </w:tcBorders>
            <w:shd w:val="clear" w:color="auto" w:fill="EEEEEE"/>
          </w:tcPr>
          <w:p>
            <w:pPr>
              <w:jc w:val="right"/>
              <w:spacing w:after="0"/>
              <w:rPr>
                <w:sz w:val="20"/>
                <w:szCs w:val="20"/>
                <w:color w:val="auto"/>
              </w:rPr>
            </w:pPr>
            <w:r>
              <w:rPr>
                <w:rFonts w:ascii="Arial" w:cs="Arial" w:eastAsia="Arial" w:hAnsi="Arial"/>
                <w:sz w:val="18"/>
                <w:szCs w:val="18"/>
                <w:color w:val="auto"/>
              </w:rPr>
              <w:t>50,000</w:t>
            </w:r>
          </w:p>
        </w:tc>
        <w:tc>
          <w:tcPr>
            <w:tcW w:w="100" w:type="dxa"/>
            <w:vAlign w:val="bottom"/>
            <w:tcBorders>
              <w:bottom w:val="single" w:sz="8" w:color="EEEEEE"/>
            </w:tcBorders>
            <w:shd w:val="clear" w:color="auto" w:fill="EEEEEE"/>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8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vMerge w:val="continue"/>
          </w:tcPr>
          <w:p>
            <w:pPr>
              <w:spacing w:after="0"/>
              <w:rPr>
                <w:sz w:val="19"/>
                <w:szCs w:val="19"/>
                <w:color w:val="auto"/>
              </w:rPr>
            </w:pPr>
          </w:p>
        </w:tc>
        <w:tc>
          <w:tcPr>
            <w:tcW w:w="8100" w:type="dxa"/>
            <w:vAlign w:val="bottom"/>
            <w:tcBorders>
              <w:bottom w:val="single" w:sz="8" w:color="EEEEEE"/>
            </w:tcBorders>
            <w:shd w:val="clear" w:color="auto" w:fill="EEEEEE"/>
          </w:tcPr>
          <w:p>
            <w:pPr>
              <w:spacing w:after="0"/>
              <w:rPr>
                <w:sz w:val="20"/>
                <w:szCs w:val="20"/>
                <w:color w:val="auto"/>
              </w:rPr>
            </w:pPr>
            <w:r>
              <w:rPr>
                <w:rFonts w:ascii="Arial" w:cs="Arial" w:eastAsia="Arial" w:hAnsi="Arial"/>
                <w:sz w:val="18"/>
                <w:szCs w:val="18"/>
                <w:b w:val="1"/>
                <w:bCs w:val="1"/>
                <w:color w:val="auto"/>
              </w:rPr>
              <w:t>TOTAL LIABILITIES</w:t>
            </w:r>
          </w:p>
        </w:tc>
        <w:tc>
          <w:tcPr>
            <w:tcW w:w="140" w:type="dxa"/>
            <w:vAlign w:val="bottom"/>
            <w:tcBorders>
              <w:bottom w:val="single" w:sz="8" w:color="auto"/>
            </w:tcBorders>
            <w:shd w:val="clear" w:color="auto" w:fill="EEEEEE"/>
          </w:tcPr>
          <w:p>
            <w:pPr>
              <w:spacing w:after="0"/>
              <w:rPr>
                <w:sz w:val="19"/>
                <w:szCs w:val="19"/>
                <w:color w:val="auto"/>
              </w:rPr>
            </w:pPr>
          </w:p>
        </w:tc>
        <w:tc>
          <w:tcPr>
            <w:tcW w:w="1360" w:type="dxa"/>
            <w:vAlign w:val="bottom"/>
            <w:tcBorders>
              <w:bottom w:val="single" w:sz="8" w:color="auto"/>
            </w:tcBorders>
            <w:shd w:val="clear" w:color="auto" w:fill="EEEEEE"/>
          </w:tcPr>
          <w:p>
            <w:pPr>
              <w:jc w:val="right"/>
              <w:spacing w:after="0"/>
              <w:rPr>
                <w:sz w:val="20"/>
                <w:szCs w:val="20"/>
                <w:color w:val="auto"/>
              </w:rPr>
            </w:pPr>
            <w:r>
              <w:rPr>
                <w:rFonts w:ascii="Arial" w:cs="Arial" w:eastAsia="Arial" w:hAnsi="Arial"/>
                <w:sz w:val="18"/>
                <w:szCs w:val="18"/>
                <w:color w:val="auto"/>
              </w:rPr>
              <w:t>11,303</w:t>
            </w:r>
          </w:p>
        </w:tc>
        <w:tc>
          <w:tcPr>
            <w:tcW w:w="140" w:type="dxa"/>
            <w:vAlign w:val="bottom"/>
            <w:tcBorders>
              <w:bottom w:val="single" w:sz="8" w:color="EEEEEE"/>
            </w:tcBorders>
            <w:shd w:val="clear" w:color="auto" w:fill="EEEEEE"/>
          </w:tcPr>
          <w:p>
            <w:pPr>
              <w:spacing w:after="0"/>
              <w:rPr>
                <w:sz w:val="19"/>
                <w:szCs w:val="19"/>
                <w:color w:val="auto"/>
              </w:rPr>
            </w:pPr>
          </w:p>
        </w:tc>
        <w:tc>
          <w:tcPr>
            <w:tcW w:w="80" w:type="dxa"/>
            <w:vAlign w:val="bottom"/>
            <w:tcBorders>
              <w:bottom w:val="single" w:sz="8" w:color="EEEEEE"/>
            </w:tcBorders>
            <w:shd w:val="clear" w:color="auto" w:fill="EEEEEE"/>
          </w:tcPr>
          <w:p>
            <w:pPr>
              <w:spacing w:after="0"/>
              <w:rPr>
                <w:sz w:val="19"/>
                <w:szCs w:val="19"/>
                <w:color w:val="auto"/>
              </w:rPr>
            </w:pPr>
          </w:p>
        </w:tc>
        <w:tc>
          <w:tcPr>
            <w:tcW w:w="140" w:type="dxa"/>
            <w:vAlign w:val="bottom"/>
            <w:tcBorders>
              <w:bottom w:val="single" w:sz="8" w:color="auto"/>
            </w:tcBorders>
            <w:shd w:val="clear" w:color="auto" w:fill="EEEEEE"/>
          </w:tcPr>
          <w:p>
            <w:pPr>
              <w:spacing w:after="0"/>
              <w:rPr>
                <w:sz w:val="19"/>
                <w:szCs w:val="19"/>
                <w:color w:val="auto"/>
              </w:rPr>
            </w:pPr>
          </w:p>
        </w:tc>
        <w:tc>
          <w:tcPr>
            <w:tcW w:w="1340" w:type="dxa"/>
            <w:vAlign w:val="bottom"/>
            <w:tcBorders>
              <w:bottom w:val="single" w:sz="8" w:color="auto"/>
            </w:tcBorders>
            <w:shd w:val="clear" w:color="auto" w:fill="EEEEEE"/>
          </w:tcPr>
          <w:p>
            <w:pPr>
              <w:jc w:val="right"/>
              <w:spacing w:after="0"/>
              <w:rPr>
                <w:sz w:val="20"/>
                <w:szCs w:val="20"/>
                <w:color w:val="auto"/>
              </w:rPr>
            </w:pPr>
            <w:r>
              <w:rPr>
                <w:rFonts w:ascii="Arial" w:cs="Arial" w:eastAsia="Arial" w:hAnsi="Arial"/>
                <w:sz w:val="18"/>
                <w:szCs w:val="18"/>
                <w:color w:val="auto"/>
              </w:rPr>
              <w:t>389,892</w:t>
            </w:r>
          </w:p>
        </w:tc>
        <w:tc>
          <w:tcPr>
            <w:tcW w:w="100" w:type="dxa"/>
            <w:vAlign w:val="bottom"/>
            <w:tcBorders>
              <w:bottom w:val="single" w:sz="8" w:color="EEEEEE"/>
            </w:tcBorders>
            <w:shd w:val="clear" w:color="auto" w:fill="EEEEEE"/>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8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8100" w:type="dxa"/>
            <w:vAlign w:val="bottom"/>
            <w:shd w:val="clear" w:color="auto" w:fill="EEEEEE"/>
          </w:tcPr>
          <w:p>
            <w:pPr>
              <w:spacing w:after="0"/>
              <w:rPr>
                <w:sz w:val="20"/>
                <w:szCs w:val="20"/>
                <w:color w:val="auto"/>
              </w:rPr>
            </w:pPr>
            <w:r>
              <w:rPr>
                <w:rFonts w:ascii="Arial" w:cs="Arial" w:eastAsia="Arial" w:hAnsi="Arial"/>
                <w:sz w:val="18"/>
                <w:szCs w:val="18"/>
                <w:b w:val="1"/>
                <w:bCs w:val="1"/>
                <w:color w:val="auto"/>
              </w:rPr>
              <w:t>STOCKHOLDERS’ EQUITY</w:t>
            </w:r>
          </w:p>
        </w:tc>
        <w:tc>
          <w:tcPr>
            <w:tcW w:w="140" w:type="dxa"/>
            <w:vAlign w:val="bottom"/>
            <w:shd w:val="clear" w:color="auto" w:fill="EEEEEE"/>
          </w:tcPr>
          <w:p>
            <w:pPr>
              <w:spacing w:after="0"/>
              <w:rPr>
                <w:sz w:val="18"/>
                <w:szCs w:val="18"/>
                <w:color w:val="auto"/>
              </w:rPr>
            </w:pPr>
          </w:p>
        </w:tc>
        <w:tc>
          <w:tcPr>
            <w:tcW w:w="1360" w:type="dxa"/>
            <w:vAlign w:val="bottom"/>
            <w:shd w:val="clear" w:color="auto" w:fill="EEEEEE"/>
          </w:tcPr>
          <w:p>
            <w:pPr>
              <w:spacing w:after="0"/>
              <w:rPr>
                <w:sz w:val="18"/>
                <w:szCs w:val="18"/>
                <w:color w:val="auto"/>
              </w:rPr>
            </w:pPr>
          </w:p>
        </w:tc>
        <w:tc>
          <w:tcPr>
            <w:tcW w:w="140" w:type="dxa"/>
            <w:vAlign w:val="bottom"/>
            <w:shd w:val="clear" w:color="auto" w:fill="EEEEEE"/>
          </w:tcPr>
          <w:p>
            <w:pPr>
              <w:spacing w:after="0"/>
              <w:rPr>
                <w:sz w:val="18"/>
                <w:szCs w:val="18"/>
                <w:color w:val="auto"/>
              </w:rPr>
            </w:pPr>
          </w:p>
        </w:tc>
        <w:tc>
          <w:tcPr>
            <w:tcW w:w="80" w:type="dxa"/>
            <w:vAlign w:val="bottom"/>
            <w:shd w:val="clear" w:color="auto" w:fill="EEEEEE"/>
          </w:tcPr>
          <w:p>
            <w:pPr>
              <w:spacing w:after="0"/>
              <w:rPr>
                <w:sz w:val="18"/>
                <w:szCs w:val="18"/>
                <w:color w:val="auto"/>
              </w:rPr>
            </w:pPr>
          </w:p>
        </w:tc>
        <w:tc>
          <w:tcPr>
            <w:tcW w:w="140" w:type="dxa"/>
            <w:vAlign w:val="bottom"/>
            <w:shd w:val="clear" w:color="auto" w:fill="EEEEEE"/>
          </w:tcPr>
          <w:p>
            <w:pPr>
              <w:spacing w:after="0"/>
              <w:rPr>
                <w:sz w:val="18"/>
                <w:szCs w:val="18"/>
                <w:color w:val="auto"/>
              </w:rPr>
            </w:pPr>
          </w:p>
        </w:tc>
        <w:tc>
          <w:tcPr>
            <w:tcW w:w="1340" w:type="dxa"/>
            <w:vAlign w:val="bottom"/>
            <w:shd w:val="clear" w:color="auto" w:fill="EEEEEE"/>
          </w:tcPr>
          <w:p>
            <w:pPr>
              <w:spacing w:after="0"/>
              <w:rPr>
                <w:sz w:val="18"/>
                <w:szCs w:val="18"/>
                <w:color w:val="auto"/>
              </w:rPr>
            </w:pPr>
          </w:p>
        </w:tc>
        <w:tc>
          <w:tcPr>
            <w:tcW w:w="100" w:type="dxa"/>
            <w:vAlign w:val="bottom"/>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100" w:type="dxa"/>
            <w:vAlign w:val="bottom"/>
          </w:tcPr>
          <w:p>
            <w:pPr>
              <w:ind w:left="320"/>
              <w:spacing w:after="0"/>
              <w:rPr>
                <w:sz w:val="20"/>
                <w:szCs w:val="20"/>
                <w:color w:val="auto"/>
              </w:rPr>
            </w:pPr>
            <w:r>
              <w:rPr>
                <w:rFonts w:ascii="Arial" w:cs="Arial" w:eastAsia="Arial" w:hAnsi="Arial"/>
                <w:sz w:val="18"/>
                <w:szCs w:val="18"/>
                <w:color w:val="auto"/>
                <w:w w:val="96"/>
              </w:rPr>
              <w:t>Common stock, par $.001, 40,000,000 shares authorized, 16,650,000 shares issued and outstanding</w:t>
            </w:r>
          </w:p>
        </w:tc>
        <w:tc>
          <w:tcPr>
            <w:tcW w:w="140" w:type="dxa"/>
            <w:vAlign w:val="bottom"/>
          </w:tcPr>
          <w:p>
            <w:pPr>
              <w:spacing w:after="0"/>
              <w:rPr>
                <w:sz w:val="18"/>
                <w:szCs w:val="18"/>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16,650</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10,300</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100" w:type="dxa"/>
            <w:vAlign w:val="bottom"/>
            <w:shd w:val="clear" w:color="auto" w:fill="EEEEEE"/>
          </w:tcPr>
          <w:p>
            <w:pPr>
              <w:ind w:left="320"/>
              <w:spacing w:after="0"/>
              <w:rPr>
                <w:sz w:val="20"/>
                <w:szCs w:val="20"/>
                <w:color w:val="auto"/>
              </w:rPr>
            </w:pPr>
            <w:r>
              <w:rPr>
                <w:rFonts w:ascii="Arial" w:cs="Arial" w:eastAsia="Arial" w:hAnsi="Arial"/>
                <w:sz w:val="18"/>
                <w:szCs w:val="18"/>
                <w:color w:val="auto"/>
                <w:w w:val="90"/>
              </w:rPr>
              <w:t>Series A Convertible Preferred Stock, Par $.001, 1000 Shares authorized 35 shares issued and outstanding</w:t>
            </w:r>
          </w:p>
        </w:tc>
        <w:tc>
          <w:tcPr>
            <w:tcW w:w="140" w:type="dxa"/>
            <w:vAlign w:val="bottom"/>
            <w:shd w:val="clear" w:color="auto" w:fill="EEEEEE"/>
          </w:tcPr>
          <w:p>
            <w:pPr>
              <w:spacing w:after="0"/>
              <w:rPr>
                <w:sz w:val="18"/>
                <w:szCs w:val="18"/>
                <w:color w:val="auto"/>
              </w:rPr>
            </w:pPr>
          </w:p>
        </w:tc>
        <w:tc>
          <w:tcPr>
            <w:tcW w:w="1360" w:type="dxa"/>
            <w:vAlign w:val="bottom"/>
            <w:shd w:val="clear" w:color="auto" w:fill="EEEEEE"/>
          </w:tcPr>
          <w:p>
            <w:pPr>
              <w:jc w:val="right"/>
              <w:spacing w:after="0"/>
              <w:rPr>
                <w:sz w:val="20"/>
                <w:szCs w:val="20"/>
                <w:color w:val="auto"/>
              </w:rPr>
            </w:pPr>
            <w:r>
              <w:rPr>
                <w:rFonts w:ascii="Arial" w:cs="Arial" w:eastAsia="Arial" w:hAnsi="Arial"/>
                <w:sz w:val="18"/>
                <w:szCs w:val="18"/>
                <w:color w:val="auto"/>
              </w:rPr>
              <w:t>0</w:t>
            </w:r>
          </w:p>
        </w:tc>
        <w:tc>
          <w:tcPr>
            <w:tcW w:w="140" w:type="dxa"/>
            <w:vAlign w:val="bottom"/>
            <w:shd w:val="clear" w:color="auto" w:fill="EEEEEE"/>
          </w:tcPr>
          <w:p>
            <w:pPr>
              <w:spacing w:after="0"/>
              <w:rPr>
                <w:sz w:val="18"/>
                <w:szCs w:val="18"/>
                <w:color w:val="auto"/>
              </w:rPr>
            </w:pPr>
          </w:p>
        </w:tc>
        <w:tc>
          <w:tcPr>
            <w:tcW w:w="80" w:type="dxa"/>
            <w:vAlign w:val="bottom"/>
            <w:shd w:val="clear" w:color="auto" w:fill="EEEEEE"/>
          </w:tcPr>
          <w:p>
            <w:pPr>
              <w:spacing w:after="0"/>
              <w:rPr>
                <w:sz w:val="18"/>
                <w:szCs w:val="18"/>
                <w:color w:val="auto"/>
              </w:rPr>
            </w:pPr>
          </w:p>
        </w:tc>
        <w:tc>
          <w:tcPr>
            <w:tcW w:w="140" w:type="dxa"/>
            <w:vAlign w:val="bottom"/>
            <w:shd w:val="clear" w:color="auto" w:fill="EEEEEE"/>
          </w:tcPr>
          <w:p>
            <w:pPr>
              <w:spacing w:after="0"/>
              <w:rPr>
                <w:sz w:val="18"/>
                <w:szCs w:val="18"/>
                <w:color w:val="auto"/>
              </w:rPr>
            </w:pPr>
          </w:p>
        </w:tc>
        <w:tc>
          <w:tcPr>
            <w:tcW w:w="1340" w:type="dxa"/>
            <w:vAlign w:val="bottom"/>
            <w:shd w:val="clear" w:color="auto" w:fill="EEEEEE"/>
          </w:tcPr>
          <w:p>
            <w:pPr>
              <w:spacing w:after="0"/>
              <w:rPr>
                <w:sz w:val="18"/>
                <w:szCs w:val="18"/>
                <w:color w:val="auto"/>
              </w:rPr>
            </w:pPr>
          </w:p>
        </w:tc>
        <w:tc>
          <w:tcPr>
            <w:tcW w:w="100" w:type="dxa"/>
            <w:vAlign w:val="bottom"/>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100" w:type="dxa"/>
            <w:vAlign w:val="bottom"/>
          </w:tcPr>
          <w:p>
            <w:pPr>
              <w:ind w:left="320"/>
              <w:spacing w:after="0"/>
              <w:rPr>
                <w:sz w:val="20"/>
                <w:szCs w:val="20"/>
                <w:color w:val="auto"/>
              </w:rPr>
            </w:pPr>
            <w:r>
              <w:rPr>
                <w:rFonts w:ascii="Arial" w:cs="Arial" w:eastAsia="Arial" w:hAnsi="Arial"/>
                <w:sz w:val="18"/>
                <w:szCs w:val="18"/>
                <w:color w:val="auto"/>
              </w:rPr>
              <w:t>Paid in capital</w:t>
            </w:r>
          </w:p>
        </w:tc>
        <w:tc>
          <w:tcPr>
            <w:tcW w:w="140" w:type="dxa"/>
            <w:vAlign w:val="bottom"/>
          </w:tcPr>
          <w:p>
            <w:pPr>
              <w:spacing w:after="0"/>
              <w:rPr>
                <w:sz w:val="18"/>
                <w:szCs w:val="18"/>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4,236,354</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289,770</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100" w:type="dxa"/>
            <w:vAlign w:val="bottom"/>
            <w:shd w:val="clear" w:color="auto" w:fill="EEEEEE"/>
          </w:tcPr>
          <w:p>
            <w:pPr>
              <w:ind w:left="320"/>
              <w:spacing w:after="0"/>
              <w:rPr>
                <w:sz w:val="20"/>
                <w:szCs w:val="20"/>
                <w:color w:val="auto"/>
              </w:rPr>
            </w:pPr>
            <w:r>
              <w:rPr>
                <w:rFonts w:ascii="Arial" w:cs="Arial" w:eastAsia="Arial" w:hAnsi="Arial"/>
                <w:sz w:val="18"/>
                <w:szCs w:val="18"/>
                <w:color w:val="auto"/>
              </w:rPr>
              <w:t>Equity (deficit) accumulated during the development stage</w:t>
            </w:r>
          </w:p>
        </w:tc>
        <w:tc>
          <w:tcPr>
            <w:tcW w:w="140" w:type="dxa"/>
            <w:vAlign w:val="bottom"/>
            <w:shd w:val="clear" w:color="auto" w:fill="EEEEEE"/>
          </w:tcPr>
          <w:p>
            <w:pPr>
              <w:spacing w:after="0"/>
              <w:rPr>
                <w:sz w:val="18"/>
                <w:szCs w:val="18"/>
                <w:color w:val="auto"/>
              </w:rPr>
            </w:pPr>
          </w:p>
        </w:tc>
        <w:tc>
          <w:tcPr>
            <w:tcW w:w="1500" w:type="dxa"/>
            <w:vAlign w:val="bottom"/>
            <w:gridSpan w:val="2"/>
            <w:shd w:val="clear" w:color="auto" w:fill="EEEEEE"/>
          </w:tcPr>
          <w:p>
            <w:pPr>
              <w:jc w:val="right"/>
              <w:ind w:right="80"/>
              <w:spacing w:after="0"/>
              <w:rPr>
                <w:sz w:val="20"/>
                <w:szCs w:val="20"/>
                <w:color w:val="auto"/>
              </w:rPr>
            </w:pPr>
            <w:r>
              <w:rPr>
                <w:rFonts w:ascii="Arial" w:cs="Arial" w:eastAsia="Arial" w:hAnsi="Arial"/>
                <w:sz w:val="18"/>
                <w:szCs w:val="18"/>
                <w:color w:val="auto"/>
              </w:rPr>
              <w:t>(1,297,885)</w:t>
            </w:r>
          </w:p>
        </w:tc>
        <w:tc>
          <w:tcPr>
            <w:tcW w:w="80" w:type="dxa"/>
            <w:vAlign w:val="bottom"/>
            <w:shd w:val="clear" w:color="auto" w:fill="EEEEEE"/>
          </w:tcPr>
          <w:p>
            <w:pPr>
              <w:spacing w:after="0"/>
              <w:rPr>
                <w:sz w:val="18"/>
                <w:szCs w:val="18"/>
                <w:color w:val="auto"/>
              </w:rPr>
            </w:pPr>
          </w:p>
        </w:tc>
        <w:tc>
          <w:tcPr>
            <w:tcW w:w="140" w:type="dxa"/>
            <w:vAlign w:val="bottom"/>
            <w:shd w:val="clear" w:color="auto" w:fill="EEEEEE"/>
          </w:tcPr>
          <w:p>
            <w:pPr>
              <w:spacing w:after="0"/>
              <w:rPr>
                <w:sz w:val="18"/>
                <w:szCs w:val="18"/>
                <w:color w:val="auto"/>
              </w:rPr>
            </w:pPr>
          </w:p>
        </w:tc>
        <w:tc>
          <w:tcPr>
            <w:tcW w:w="1440" w:type="dxa"/>
            <w:vAlign w:val="bottom"/>
            <w:gridSpan w:val="2"/>
            <w:shd w:val="clear" w:color="auto" w:fill="EEEEEE"/>
          </w:tcPr>
          <w:p>
            <w:pPr>
              <w:jc w:val="right"/>
              <w:ind w:right="40"/>
              <w:spacing w:after="0"/>
              <w:rPr>
                <w:sz w:val="20"/>
                <w:szCs w:val="20"/>
                <w:color w:val="auto"/>
              </w:rPr>
            </w:pPr>
            <w:r>
              <w:rPr>
                <w:rFonts w:ascii="Arial" w:cs="Arial" w:eastAsia="Arial" w:hAnsi="Arial"/>
                <w:sz w:val="18"/>
                <w:szCs w:val="18"/>
                <w:color w:val="auto"/>
              </w:rPr>
              <w:t>(394,927)</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8100" w:type="dxa"/>
            <w:vAlign w:val="bottom"/>
            <w:shd w:val="clear" w:color="auto" w:fill="EEEEEE"/>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1360" w:type="dxa"/>
            <w:vAlign w:val="bottom"/>
            <w:shd w:val="clear" w:color="auto" w:fill="000000"/>
          </w:tcPr>
          <w:p>
            <w:pPr>
              <w:spacing w:after="0"/>
              <w:rPr>
                <w:sz w:val="2"/>
                <w:szCs w:val="2"/>
                <w:color w:val="auto"/>
              </w:rPr>
            </w:pPr>
          </w:p>
        </w:tc>
        <w:tc>
          <w:tcPr>
            <w:tcW w:w="140" w:type="dxa"/>
            <w:vAlign w:val="bottom"/>
            <w:shd w:val="clear" w:color="auto" w:fill="EEEEEE"/>
          </w:tcPr>
          <w:p>
            <w:pPr>
              <w:spacing w:after="0"/>
              <w:rPr>
                <w:sz w:val="2"/>
                <w:szCs w:val="2"/>
                <w:color w:val="auto"/>
              </w:rPr>
            </w:pPr>
          </w:p>
        </w:tc>
        <w:tc>
          <w:tcPr>
            <w:tcW w:w="80" w:type="dxa"/>
            <w:vAlign w:val="bottom"/>
            <w:shd w:val="clear" w:color="auto" w:fill="EEEEEE"/>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1340" w:type="dxa"/>
            <w:vAlign w:val="bottom"/>
            <w:shd w:val="clear" w:color="auto" w:fill="000000"/>
          </w:tcPr>
          <w:p>
            <w:pPr>
              <w:spacing w:after="0"/>
              <w:rPr>
                <w:sz w:val="2"/>
                <w:szCs w:val="2"/>
                <w:color w:val="auto"/>
              </w:rPr>
            </w:pPr>
          </w:p>
        </w:tc>
        <w:tc>
          <w:tcPr>
            <w:tcW w:w="100" w:type="dxa"/>
            <w:vAlign w:val="bottom"/>
            <w:shd w:val="clear" w:color="auto" w:fill="EEEEEE"/>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3"/>
        </w:trPr>
        <w:tc>
          <w:tcPr>
            <w:tcW w:w="20" w:type="dxa"/>
            <w:vAlign w:val="bottom"/>
            <w:vMerge w:val="continue"/>
          </w:tcPr>
          <w:p>
            <w:pPr>
              <w:spacing w:after="0"/>
              <w:rPr>
                <w:sz w:val="19"/>
                <w:szCs w:val="19"/>
                <w:color w:val="auto"/>
              </w:rPr>
            </w:pPr>
          </w:p>
        </w:tc>
        <w:tc>
          <w:tcPr>
            <w:tcW w:w="8100" w:type="dxa"/>
            <w:vAlign w:val="bottom"/>
          </w:tcPr>
          <w:p>
            <w:pPr>
              <w:spacing w:after="0"/>
              <w:rPr>
                <w:sz w:val="20"/>
                <w:szCs w:val="20"/>
                <w:color w:val="auto"/>
              </w:rPr>
            </w:pPr>
            <w:r>
              <w:rPr>
                <w:rFonts w:ascii="Arial" w:cs="Arial" w:eastAsia="Arial" w:hAnsi="Arial"/>
                <w:sz w:val="18"/>
                <w:szCs w:val="18"/>
                <w:b w:val="1"/>
                <w:bCs w:val="1"/>
                <w:color w:val="auto"/>
              </w:rPr>
              <w:t>Total Stockholders’ Equity</w:t>
            </w:r>
          </w:p>
        </w:tc>
        <w:tc>
          <w:tcPr>
            <w:tcW w:w="14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2,955,119</w:t>
            </w: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440" w:type="dxa"/>
            <w:vAlign w:val="bottom"/>
            <w:gridSpan w:val="2"/>
          </w:tcPr>
          <w:p>
            <w:pPr>
              <w:jc w:val="right"/>
              <w:ind w:right="40"/>
              <w:spacing w:after="0"/>
              <w:rPr>
                <w:sz w:val="20"/>
                <w:szCs w:val="20"/>
                <w:color w:val="auto"/>
              </w:rPr>
            </w:pPr>
            <w:r>
              <w:rPr>
                <w:rFonts w:ascii="Arial" w:cs="Arial" w:eastAsia="Arial" w:hAnsi="Arial"/>
                <w:sz w:val="18"/>
                <w:szCs w:val="18"/>
                <w:color w:val="auto"/>
              </w:rPr>
              <w:t>(94,927)</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8100" w:type="dxa"/>
            <w:vAlign w:val="bottom"/>
            <w:shd w:val="clear" w:color="auto" w:fill="EEEEEE"/>
          </w:tcPr>
          <w:p>
            <w:pPr>
              <w:spacing w:after="0"/>
              <w:rPr>
                <w:sz w:val="18"/>
                <w:szCs w:val="18"/>
                <w:color w:val="auto"/>
              </w:rPr>
            </w:pPr>
          </w:p>
        </w:tc>
        <w:tc>
          <w:tcPr>
            <w:tcW w:w="140" w:type="dxa"/>
            <w:vAlign w:val="bottom"/>
            <w:tcBorders>
              <w:top w:val="single" w:sz="8" w:color="auto"/>
            </w:tcBorders>
            <w:shd w:val="clear" w:color="auto" w:fill="EEEEEE"/>
          </w:tcPr>
          <w:p>
            <w:pPr>
              <w:spacing w:after="0"/>
              <w:rPr>
                <w:sz w:val="18"/>
                <w:szCs w:val="18"/>
                <w:color w:val="auto"/>
              </w:rPr>
            </w:pPr>
          </w:p>
        </w:tc>
        <w:tc>
          <w:tcPr>
            <w:tcW w:w="1360" w:type="dxa"/>
            <w:vAlign w:val="bottom"/>
            <w:tcBorders>
              <w:top w:val="single" w:sz="8" w:color="auto"/>
            </w:tcBorders>
            <w:shd w:val="clear" w:color="auto" w:fill="EEEEEE"/>
          </w:tcPr>
          <w:p>
            <w:pPr>
              <w:spacing w:after="0"/>
              <w:rPr>
                <w:sz w:val="18"/>
                <w:szCs w:val="18"/>
                <w:color w:val="auto"/>
              </w:rPr>
            </w:pPr>
          </w:p>
        </w:tc>
        <w:tc>
          <w:tcPr>
            <w:tcW w:w="140" w:type="dxa"/>
            <w:vAlign w:val="bottom"/>
            <w:shd w:val="clear" w:color="auto" w:fill="EEEEEE"/>
          </w:tcPr>
          <w:p>
            <w:pPr>
              <w:spacing w:after="0"/>
              <w:rPr>
                <w:sz w:val="18"/>
                <w:szCs w:val="18"/>
                <w:color w:val="auto"/>
              </w:rPr>
            </w:pPr>
          </w:p>
        </w:tc>
        <w:tc>
          <w:tcPr>
            <w:tcW w:w="80" w:type="dxa"/>
            <w:vAlign w:val="bottom"/>
            <w:shd w:val="clear" w:color="auto" w:fill="EEEEEE"/>
          </w:tcPr>
          <w:p>
            <w:pPr>
              <w:spacing w:after="0"/>
              <w:rPr>
                <w:sz w:val="18"/>
                <w:szCs w:val="18"/>
                <w:color w:val="auto"/>
              </w:rPr>
            </w:pPr>
          </w:p>
        </w:tc>
        <w:tc>
          <w:tcPr>
            <w:tcW w:w="140" w:type="dxa"/>
            <w:vAlign w:val="bottom"/>
            <w:tcBorders>
              <w:top w:val="single" w:sz="8" w:color="auto"/>
            </w:tcBorders>
            <w:shd w:val="clear" w:color="auto" w:fill="EEEEEE"/>
          </w:tcPr>
          <w:p>
            <w:pPr>
              <w:spacing w:after="0"/>
              <w:rPr>
                <w:sz w:val="18"/>
                <w:szCs w:val="18"/>
                <w:color w:val="auto"/>
              </w:rPr>
            </w:pPr>
          </w:p>
        </w:tc>
        <w:tc>
          <w:tcPr>
            <w:tcW w:w="1340" w:type="dxa"/>
            <w:vAlign w:val="bottom"/>
            <w:tcBorders>
              <w:top w:val="single" w:sz="8" w:color="auto"/>
            </w:tcBorders>
            <w:shd w:val="clear" w:color="auto" w:fill="EEEEEE"/>
          </w:tcPr>
          <w:p>
            <w:pPr>
              <w:spacing w:after="0"/>
              <w:rPr>
                <w:sz w:val="18"/>
                <w:szCs w:val="18"/>
                <w:color w:val="auto"/>
              </w:rPr>
            </w:pPr>
          </w:p>
        </w:tc>
        <w:tc>
          <w:tcPr>
            <w:tcW w:w="100" w:type="dxa"/>
            <w:vAlign w:val="bottom"/>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8100" w:type="dxa"/>
            <w:vAlign w:val="bottom"/>
          </w:tcPr>
          <w:p>
            <w:pPr>
              <w:spacing w:after="0"/>
              <w:rPr>
                <w:sz w:val="20"/>
                <w:szCs w:val="20"/>
                <w:color w:val="auto"/>
              </w:rPr>
            </w:pPr>
            <w:r>
              <w:rPr>
                <w:rFonts w:ascii="Arial" w:cs="Arial" w:eastAsia="Arial" w:hAnsi="Arial"/>
                <w:sz w:val="18"/>
                <w:szCs w:val="18"/>
                <w:b w:val="1"/>
                <w:bCs w:val="1"/>
                <w:color w:val="auto"/>
              </w:rPr>
              <w:t>TOTAL LIABILITIES AND STOCKHOLDERS’ EQUITY</w:t>
            </w:r>
          </w:p>
        </w:tc>
        <w:tc>
          <w:tcPr>
            <w:tcW w:w="14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360" w:type="dxa"/>
            <w:vAlign w:val="bottom"/>
          </w:tcPr>
          <w:p>
            <w:pPr>
              <w:jc w:val="right"/>
              <w:spacing w:after="0"/>
              <w:rPr>
                <w:sz w:val="20"/>
                <w:szCs w:val="20"/>
                <w:color w:val="auto"/>
              </w:rPr>
            </w:pPr>
            <w:r>
              <w:rPr>
                <w:rFonts w:ascii="Arial" w:cs="Arial" w:eastAsia="Arial" w:hAnsi="Arial"/>
                <w:sz w:val="18"/>
                <w:szCs w:val="18"/>
                <w:color w:val="auto"/>
              </w:rPr>
              <w:t>2,966,422</w:t>
            </w:r>
          </w:p>
        </w:tc>
        <w:tc>
          <w:tcPr>
            <w:tcW w:w="140" w:type="dxa"/>
            <w:vAlign w:val="bottom"/>
          </w:tcPr>
          <w:p>
            <w:pPr>
              <w:spacing w:after="0"/>
              <w:rPr>
                <w:sz w:val="18"/>
                <w:szCs w:val="18"/>
                <w:color w:val="auto"/>
              </w:rPr>
            </w:pPr>
          </w:p>
        </w:tc>
        <w:tc>
          <w:tcPr>
            <w:tcW w:w="22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1340" w:type="dxa"/>
            <w:vAlign w:val="bottom"/>
          </w:tcPr>
          <w:p>
            <w:pPr>
              <w:jc w:val="right"/>
              <w:spacing w:after="0"/>
              <w:rPr>
                <w:sz w:val="20"/>
                <w:szCs w:val="20"/>
                <w:color w:val="auto"/>
              </w:rPr>
            </w:pPr>
            <w:r>
              <w:rPr>
                <w:rFonts w:ascii="Arial" w:cs="Arial" w:eastAsia="Arial" w:hAnsi="Arial"/>
                <w:sz w:val="18"/>
                <w:szCs w:val="18"/>
                <w:color w:val="auto"/>
              </w:rPr>
              <w:t>294,965</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810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36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3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5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accompanying notes are an integral part of the financial statements.</w:t>
      </w:r>
    </w:p>
    <w:p>
      <w:pPr>
        <w:spacing w:after="0" w:line="200" w:lineRule="exact"/>
        <w:rPr>
          <w:sz w:val="20"/>
          <w:szCs w:val="20"/>
          <w:color w:val="auto"/>
        </w:rPr>
      </w:pPr>
    </w:p>
    <w:p>
      <w:pPr>
        <w:spacing w:after="0" w:line="32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246620" cy="8890"/>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634" w:right="239" w:bottom="1440" w:gutter="0" w:footer="0" w:header="0"/>
        </w:sectPr>
      </w:pPr>
    </w:p>
    <w:bookmarkStart w:id="56" w:name="page57"/>
    <w:bookmarkEnd w:id="56"/>
    <w:p>
      <w:pPr>
        <w:jc w:val="center"/>
        <w:spacing w:after="0"/>
        <w:rPr>
          <w:sz w:val="20"/>
          <w:szCs w:val="20"/>
          <w:color w:val="auto"/>
        </w:rPr>
      </w:pPr>
      <w:r>
        <w:rPr>
          <w:rFonts w:ascii="Arial" w:cs="Arial" w:eastAsia="Arial" w:hAnsi="Arial"/>
          <w:sz w:val="18"/>
          <w:szCs w:val="18"/>
          <w:b w:val="1"/>
          <w:bCs w:val="1"/>
          <w:color w:val="auto"/>
        </w:rPr>
        <w:t>OPTIMIZERx CORPORATION</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OPTIMIZER SYSTEMS, LLC</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 DEVELOPMENT STAGE COMPANY)</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STATEMENTS OF OPERATIONS (UNAUDITED)</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FOR THE NINE MONTHS ENDED SEPTEMBER 30, 2008 and 2007</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FOR THE PERIOD FROM JANUARY 31, 2006 (INCEPTION) TO SEPTEMBER 30, 2008</w:t>
      </w:r>
    </w:p>
    <w:p>
      <w:pPr>
        <w:spacing w:after="0" w:line="200" w:lineRule="exact"/>
        <w:rPr>
          <w:sz w:val="20"/>
          <w:szCs w:val="20"/>
          <w:color w:val="auto"/>
        </w:rPr>
      </w:pPr>
    </w:p>
    <w:p>
      <w:pPr>
        <w:spacing w:after="0" w:line="331"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20" w:type="dxa"/>
            <w:vAlign w:val="bottom"/>
          </w:tcPr>
          <w:p>
            <w:pPr>
              <w:spacing w:after="0"/>
              <w:rPr>
                <w:sz w:val="18"/>
                <w:szCs w:val="18"/>
                <w:color w:val="auto"/>
              </w:rPr>
            </w:pPr>
          </w:p>
        </w:tc>
        <w:tc>
          <w:tcPr>
            <w:tcW w:w="63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500" w:type="dxa"/>
            <w:vAlign w:val="bottom"/>
            <w:gridSpan w:val="2"/>
          </w:tcPr>
          <w:p>
            <w:pPr>
              <w:jc w:val="center"/>
              <w:ind w:right="280"/>
              <w:spacing w:after="0"/>
              <w:rPr>
                <w:sz w:val="20"/>
                <w:szCs w:val="20"/>
                <w:color w:val="auto"/>
              </w:rPr>
            </w:pPr>
            <w:r>
              <w:rPr>
                <w:rFonts w:ascii="Arial" w:cs="Arial" w:eastAsia="Arial" w:hAnsi="Arial"/>
                <w:sz w:val="18"/>
                <w:szCs w:val="18"/>
                <w:b w:val="1"/>
                <w:bCs w:val="1"/>
                <w:color w:val="auto"/>
                <w:w w:val="92"/>
              </w:rPr>
              <w:t>Period From</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3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40" w:type="dxa"/>
            <w:vAlign w:val="bottom"/>
            <w:gridSpan w:val="3"/>
          </w:tcPr>
          <w:p>
            <w:pPr>
              <w:jc w:val="center"/>
              <w:ind w:right="160"/>
              <w:spacing w:after="0"/>
              <w:rPr>
                <w:sz w:val="20"/>
                <w:szCs w:val="20"/>
                <w:color w:val="auto"/>
              </w:rPr>
            </w:pPr>
            <w:r>
              <w:rPr>
                <w:rFonts w:ascii="Arial" w:cs="Arial" w:eastAsia="Arial" w:hAnsi="Arial"/>
                <w:sz w:val="18"/>
                <w:szCs w:val="18"/>
                <w:b w:val="1"/>
                <w:bCs w:val="1"/>
                <w:color w:val="auto"/>
                <w:w w:val="94"/>
              </w:rPr>
              <w:t>January 31, 2006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3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500" w:type="dxa"/>
            <w:vAlign w:val="bottom"/>
            <w:gridSpan w:val="2"/>
          </w:tcPr>
          <w:p>
            <w:pPr>
              <w:jc w:val="center"/>
              <w:ind w:right="300"/>
              <w:spacing w:after="0"/>
              <w:rPr>
                <w:sz w:val="20"/>
                <w:szCs w:val="20"/>
                <w:color w:val="auto"/>
              </w:rPr>
            </w:pPr>
            <w:r>
              <w:rPr>
                <w:rFonts w:ascii="Arial" w:cs="Arial" w:eastAsia="Arial" w:hAnsi="Arial"/>
                <w:sz w:val="18"/>
                <w:szCs w:val="18"/>
                <w:b w:val="1"/>
                <w:bCs w:val="1"/>
                <w:color w:val="auto"/>
                <w:w w:val="92"/>
              </w:rPr>
              <w:t>Nine Months</w:t>
            </w: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500" w:type="dxa"/>
            <w:vAlign w:val="bottom"/>
            <w:gridSpan w:val="2"/>
          </w:tcPr>
          <w:p>
            <w:pPr>
              <w:jc w:val="center"/>
              <w:ind w:right="300"/>
              <w:spacing w:after="0"/>
              <w:rPr>
                <w:sz w:val="20"/>
                <w:szCs w:val="20"/>
                <w:color w:val="auto"/>
              </w:rPr>
            </w:pPr>
            <w:r>
              <w:rPr>
                <w:rFonts w:ascii="Arial" w:cs="Arial" w:eastAsia="Arial" w:hAnsi="Arial"/>
                <w:sz w:val="18"/>
                <w:szCs w:val="18"/>
                <w:b w:val="1"/>
                <w:bCs w:val="1"/>
                <w:color w:val="auto"/>
                <w:w w:val="92"/>
              </w:rPr>
              <w:t>Nine Months</w:t>
            </w: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500" w:type="dxa"/>
            <w:vAlign w:val="bottom"/>
            <w:gridSpan w:val="2"/>
          </w:tcPr>
          <w:p>
            <w:pPr>
              <w:jc w:val="center"/>
              <w:ind w:right="280"/>
              <w:spacing w:after="0"/>
              <w:rPr>
                <w:sz w:val="20"/>
                <w:szCs w:val="20"/>
                <w:color w:val="auto"/>
              </w:rPr>
            </w:pPr>
            <w:r>
              <w:rPr>
                <w:rFonts w:ascii="Arial" w:cs="Arial" w:eastAsia="Arial" w:hAnsi="Arial"/>
                <w:sz w:val="18"/>
                <w:szCs w:val="18"/>
                <w:b w:val="1"/>
                <w:bCs w:val="1"/>
                <w:color w:val="auto"/>
                <w:w w:val="89"/>
              </w:rPr>
              <w:t>(inception)</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3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500" w:type="dxa"/>
            <w:vAlign w:val="bottom"/>
            <w:gridSpan w:val="2"/>
          </w:tcPr>
          <w:p>
            <w:pPr>
              <w:jc w:val="center"/>
              <w:ind w:right="320"/>
              <w:spacing w:after="0"/>
              <w:rPr>
                <w:sz w:val="20"/>
                <w:szCs w:val="20"/>
                <w:color w:val="auto"/>
              </w:rPr>
            </w:pPr>
            <w:r>
              <w:rPr>
                <w:rFonts w:ascii="Arial" w:cs="Arial" w:eastAsia="Arial" w:hAnsi="Arial"/>
                <w:sz w:val="18"/>
                <w:szCs w:val="18"/>
                <w:b w:val="1"/>
                <w:bCs w:val="1"/>
                <w:color w:val="auto"/>
                <w:w w:val="90"/>
              </w:rPr>
              <w:t>Ended</w:t>
            </w: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500" w:type="dxa"/>
            <w:vAlign w:val="bottom"/>
            <w:gridSpan w:val="2"/>
          </w:tcPr>
          <w:p>
            <w:pPr>
              <w:jc w:val="center"/>
              <w:ind w:right="280"/>
              <w:spacing w:after="0"/>
              <w:rPr>
                <w:sz w:val="20"/>
                <w:szCs w:val="20"/>
                <w:color w:val="auto"/>
              </w:rPr>
            </w:pPr>
            <w:r>
              <w:rPr>
                <w:rFonts w:ascii="Arial" w:cs="Arial" w:eastAsia="Arial" w:hAnsi="Arial"/>
                <w:sz w:val="18"/>
                <w:szCs w:val="18"/>
                <w:b w:val="1"/>
                <w:bCs w:val="1"/>
                <w:color w:val="auto"/>
                <w:w w:val="90"/>
              </w:rPr>
              <w:t>Ended</w:t>
            </w: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500" w:type="dxa"/>
            <w:vAlign w:val="bottom"/>
            <w:gridSpan w:val="2"/>
          </w:tcPr>
          <w:p>
            <w:pPr>
              <w:jc w:val="center"/>
              <w:ind w:right="300"/>
              <w:spacing w:after="0"/>
              <w:rPr>
                <w:sz w:val="20"/>
                <w:szCs w:val="20"/>
                <w:color w:val="auto"/>
              </w:rPr>
            </w:pPr>
            <w:r>
              <w:rPr>
                <w:rFonts w:ascii="Arial" w:cs="Arial" w:eastAsia="Arial" w:hAnsi="Arial"/>
                <w:sz w:val="18"/>
                <w:szCs w:val="18"/>
                <w:b w:val="1"/>
                <w:bCs w:val="1"/>
                <w:color w:val="auto"/>
                <w:w w:val="90"/>
              </w:rPr>
              <w:t>To</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3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500" w:type="dxa"/>
            <w:vAlign w:val="bottom"/>
            <w:gridSpan w:val="2"/>
          </w:tcPr>
          <w:p>
            <w:pPr>
              <w:jc w:val="center"/>
              <w:ind w:right="320"/>
              <w:spacing w:after="0"/>
              <w:rPr>
                <w:sz w:val="20"/>
                <w:szCs w:val="20"/>
                <w:color w:val="auto"/>
              </w:rPr>
            </w:pPr>
            <w:r>
              <w:rPr>
                <w:rFonts w:ascii="Arial" w:cs="Arial" w:eastAsia="Arial" w:hAnsi="Arial"/>
                <w:sz w:val="18"/>
                <w:szCs w:val="18"/>
                <w:b w:val="1"/>
                <w:bCs w:val="1"/>
                <w:color w:val="auto"/>
                <w:w w:val="89"/>
              </w:rPr>
              <w:t>September 30,</w:t>
            </w: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500" w:type="dxa"/>
            <w:vAlign w:val="bottom"/>
            <w:gridSpan w:val="2"/>
          </w:tcPr>
          <w:p>
            <w:pPr>
              <w:jc w:val="center"/>
              <w:ind w:right="280"/>
              <w:spacing w:after="0"/>
              <w:rPr>
                <w:sz w:val="20"/>
                <w:szCs w:val="20"/>
                <w:color w:val="auto"/>
              </w:rPr>
            </w:pPr>
            <w:r>
              <w:rPr>
                <w:rFonts w:ascii="Arial" w:cs="Arial" w:eastAsia="Arial" w:hAnsi="Arial"/>
                <w:sz w:val="18"/>
                <w:szCs w:val="18"/>
                <w:b w:val="1"/>
                <w:bCs w:val="1"/>
                <w:color w:val="auto"/>
                <w:w w:val="89"/>
              </w:rPr>
              <w:t>September 30,</w:t>
            </w: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500" w:type="dxa"/>
            <w:vAlign w:val="bottom"/>
            <w:gridSpan w:val="2"/>
          </w:tcPr>
          <w:p>
            <w:pPr>
              <w:jc w:val="center"/>
              <w:ind w:right="280"/>
              <w:spacing w:after="0"/>
              <w:rPr>
                <w:sz w:val="20"/>
                <w:szCs w:val="20"/>
                <w:color w:val="auto"/>
              </w:rPr>
            </w:pPr>
            <w:r>
              <w:rPr>
                <w:rFonts w:ascii="Arial" w:cs="Arial" w:eastAsia="Arial" w:hAnsi="Arial"/>
                <w:sz w:val="18"/>
                <w:szCs w:val="18"/>
                <w:b w:val="1"/>
                <w:bCs w:val="1"/>
                <w:color w:val="auto"/>
                <w:w w:val="88"/>
              </w:rPr>
              <w:t>September 30 ,</w:t>
            </w:r>
          </w:p>
        </w:tc>
        <w:tc>
          <w:tcPr>
            <w:tcW w:w="0" w:type="dxa"/>
            <w:vAlign w:val="bottom"/>
          </w:tcPr>
          <w:p>
            <w:pPr>
              <w:spacing w:after="0"/>
              <w:rPr>
                <w:sz w:val="1"/>
                <w:szCs w:val="1"/>
                <w:color w:val="auto"/>
              </w:rPr>
            </w:pPr>
          </w:p>
        </w:tc>
      </w:tr>
      <w:tr>
        <w:trPr>
          <w:trHeight w:val="241"/>
        </w:trPr>
        <w:tc>
          <w:tcPr>
            <w:tcW w:w="20" w:type="dxa"/>
            <w:vAlign w:val="bottom"/>
          </w:tcPr>
          <w:p>
            <w:pPr>
              <w:spacing w:after="0"/>
              <w:rPr>
                <w:sz w:val="20"/>
                <w:szCs w:val="20"/>
                <w:color w:val="auto"/>
              </w:rPr>
            </w:pPr>
          </w:p>
        </w:tc>
        <w:tc>
          <w:tcPr>
            <w:tcW w:w="6340" w:type="dxa"/>
            <w:vAlign w:val="bottom"/>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1360" w:type="dxa"/>
            <w:vAlign w:val="bottom"/>
            <w:tcBorders>
              <w:bottom w:val="single" w:sz="8" w:color="auto"/>
            </w:tcBorders>
          </w:tcPr>
          <w:p>
            <w:pPr>
              <w:jc w:val="center"/>
              <w:ind w:right="70"/>
              <w:spacing w:after="0"/>
              <w:rPr>
                <w:sz w:val="20"/>
                <w:szCs w:val="20"/>
                <w:color w:val="auto"/>
              </w:rPr>
            </w:pPr>
            <w:r>
              <w:rPr>
                <w:rFonts w:ascii="Arial" w:cs="Arial" w:eastAsia="Arial" w:hAnsi="Arial"/>
                <w:sz w:val="18"/>
                <w:szCs w:val="18"/>
                <w:b w:val="1"/>
                <w:bCs w:val="1"/>
                <w:color w:val="auto"/>
                <w:w w:val="89"/>
              </w:rPr>
              <w:t>2008</w:t>
            </w:r>
          </w:p>
        </w:tc>
        <w:tc>
          <w:tcPr>
            <w:tcW w:w="1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360" w:type="dxa"/>
            <w:vAlign w:val="bottom"/>
            <w:tcBorders>
              <w:bottom w:val="single" w:sz="8" w:color="auto"/>
            </w:tcBorders>
          </w:tcPr>
          <w:p>
            <w:pPr>
              <w:jc w:val="center"/>
              <w:ind w:right="70"/>
              <w:spacing w:after="0"/>
              <w:rPr>
                <w:sz w:val="20"/>
                <w:szCs w:val="20"/>
                <w:color w:val="auto"/>
              </w:rPr>
            </w:pPr>
            <w:r>
              <w:rPr>
                <w:rFonts w:ascii="Arial" w:cs="Arial" w:eastAsia="Arial" w:hAnsi="Arial"/>
                <w:sz w:val="18"/>
                <w:szCs w:val="18"/>
                <w:b w:val="1"/>
                <w:bCs w:val="1"/>
                <w:color w:val="auto"/>
                <w:w w:val="89"/>
              </w:rPr>
              <w:t>2007</w:t>
            </w:r>
          </w:p>
        </w:tc>
        <w:tc>
          <w:tcPr>
            <w:tcW w:w="1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1380" w:type="dxa"/>
            <w:vAlign w:val="bottom"/>
            <w:tcBorders>
              <w:bottom w:val="single" w:sz="8" w:color="auto"/>
            </w:tcBorders>
          </w:tcPr>
          <w:p>
            <w:pPr>
              <w:jc w:val="center"/>
              <w:ind w:right="90"/>
              <w:spacing w:after="0"/>
              <w:rPr>
                <w:sz w:val="20"/>
                <w:szCs w:val="20"/>
                <w:color w:val="auto"/>
              </w:rPr>
            </w:pPr>
            <w:r>
              <w:rPr>
                <w:rFonts w:ascii="Arial" w:cs="Arial" w:eastAsia="Arial" w:hAnsi="Arial"/>
                <w:sz w:val="18"/>
                <w:szCs w:val="18"/>
                <w:b w:val="1"/>
                <w:bCs w:val="1"/>
                <w:color w:val="auto"/>
                <w:w w:val="89"/>
              </w:rPr>
              <w:t>2008</w:t>
            </w:r>
          </w:p>
        </w:tc>
        <w:tc>
          <w:tcPr>
            <w:tcW w:w="1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340" w:type="dxa"/>
            <w:vAlign w:val="bottom"/>
            <w:shd w:val="clear" w:color="auto" w:fill="EEEEEE"/>
          </w:tcPr>
          <w:p>
            <w:pPr>
              <w:spacing w:after="0"/>
              <w:rPr>
                <w:sz w:val="20"/>
                <w:szCs w:val="20"/>
                <w:color w:val="auto"/>
              </w:rPr>
            </w:pPr>
            <w:r>
              <w:rPr>
                <w:rFonts w:ascii="Arial" w:cs="Arial" w:eastAsia="Arial" w:hAnsi="Arial"/>
                <w:sz w:val="18"/>
                <w:szCs w:val="18"/>
                <w:b w:val="1"/>
                <w:bCs w:val="1"/>
                <w:color w:val="auto"/>
              </w:rPr>
              <w:t>Gross Revenues</w:t>
            </w:r>
          </w:p>
        </w:tc>
        <w:tc>
          <w:tcPr>
            <w:tcW w:w="140" w:type="dxa"/>
            <w:vAlign w:val="bottom"/>
            <w:shd w:val="clear" w:color="auto" w:fill="EEEEEE"/>
          </w:tcPr>
          <w:p>
            <w:pPr>
              <w:jc w:val="right"/>
              <w:spacing w:after="0"/>
              <w:rPr>
                <w:sz w:val="20"/>
                <w:szCs w:val="20"/>
                <w:color w:val="auto"/>
              </w:rPr>
            </w:pPr>
            <w:r>
              <w:rPr>
                <w:rFonts w:ascii="Arial" w:cs="Arial" w:eastAsia="Arial" w:hAnsi="Arial"/>
                <w:sz w:val="18"/>
                <w:szCs w:val="18"/>
                <w:color w:val="auto"/>
                <w:w w:val="79"/>
              </w:rPr>
              <w:t>$</w:t>
            </w:r>
          </w:p>
        </w:tc>
        <w:tc>
          <w:tcPr>
            <w:tcW w:w="1360" w:type="dxa"/>
            <w:vAlign w:val="bottom"/>
            <w:shd w:val="clear" w:color="auto" w:fill="EEEEEE"/>
          </w:tcPr>
          <w:p>
            <w:pPr>
              <w:jc w:val="right"/>
              <w:spacing w:after="0"/>
              <w:rPr>
                <w:sz w:val="20"/>
                <w:szCs w:val="20"/>
                <w:color w:val="auto"/>
              </w:rPr>
            </w:pPr>
            <w:r>
              <w:rPr>
                <w:rFonts w:ascii="Arial" w:cs="Arial" w:eastAsia="Arial" w:hAnsi="Arial"/>
                <w:sz w:val="18"/>
                <w:szCs w:val="18"/>
                <w:color w:val="auto"/>
              </w:rPr>
              <w:t>68,331</w:t>
            </w:r>
          </w:p>
        </w:tc>
        <w:tc>
          <w:tcPr>
            <w:tcW w:w="140" w:type="dxa"/>
            <w:vAlign w:val="bottom"/>
            <w:shd w:val="clear" w:color="auto" w:fill="EEEEEE"/>
          </w:tcPr>
          <w:p>
            <w:pPr>
              <w:spacing w:after="0"/>
              <w:rPr>
                <w:sz w:val="18"/>
                <w:szCs w:val="18"/>
                <w:color w:val="auto"/>
              </w:rPr>
            </w:pPr>
          </w:p>
        </w:tc>
        <w:tc>
          <w:tcPr>
            <w:tcW w:w="200" w:type="dxa"/>
            <w:vAlign w:val="bottom"/>
            <w:gridSpan w:val="2"/>
            <w:shd w:val="clear" w:color="auto" w:fill="EEEEEE"/>
          </w:tcPr>
          <w:p>
            <w:pPr>
              <w:jc w:val="right"/>
              <w:ind w:right="40"/>
              <w:spacing w:after="0"/>
              <w:rPr>
                <w:sz w:val="20"/>
                <w:szCs w:val="20"/>
                <w:color w:val="auto"/>
              </w:rPr>
            </w:pPr>
            <w:r>
              <w:rPr>
                <w:rFonts w:ascii="Arial" w:cs="Arial" w:eastAsia="Arial" w:hAnsi="Arial"/>
                <w:sz w:val="18"/>
                <w:szCs w:val="18"/>
                <w:color w:val="auto"/>
              </w:rPr>
              <w:t>$</w:t>
            </w:r>
          </w:p>
        </w:tc>
        <w:tc>
          <w:tcPr>
            <w:tcW w:w="1360" w:type="dxa"/>
            <w:vAlign w:val="bottom"/>
            <w:shd w:val="clear" w:color="auto" w:fill="EEEEEE"/>
          </w:tcPr>
          <w:p>
            <w:pPr>
              <w:jc w:val="right"/>
              <w:spacing w:after="0"/>
              <w:rPr>
                <w:sz w:val="20"/>
                <w:szCs w:val="20"/>
                <w:color w:val="auto"/>
              </w:rPr>
            </w:pPr>
            <w:r>
              <w:rPr>
                <w:rFonts w:ascii="Arial" w:cs="Arial" w:eastAsia="Arial" w:hAnsi="Arial"/>
                <w:sz w:val="18"/>
                <w:szCs w:val="18"/>
                <w:color w:val="auto"/>
              </w:rPr>
              <w:t>7,475</w:t>
            </w:r>
          </w:p>
        </w:tc>
        <w:tc>
          <w:tcPr>
            <w:tcW w:w="140" w:type="dxa"/>
            <w:vAlign w:val="bottom"/>
            <w:shd w:val="clear" w:color="auto" w:fill="EEEEEE"/>
          </w:tcPr>
          <w:p>
            <w:pPr>
              <w:spacing w:after="0"/>
              <w:rPr>
                <w:sz w:val="18"/>
                <w:szCs w:val="18"/>
                <w:color w:val="auto"/>
              </w:rPr>
            </w:pPr>
          </w:p>
        </w:tc>
        <w:tc>
          <w:tcPr>
            <w:tcW w:w="220" w:type="dxa"/>
            <w:vAlign w:val="bottom"/>
            <w:gridSpan w:val="2"/>
            <w:shd w:val="clear" w:color="auto" w:fill="EEEEEE"/>
          </w:tcPr>
          <w:p>
            <w:pPr>
              <w:jc w:val="right"/>
              <w:spacing w:after="0"/>
              <w:rPr>
                <w:sz w:val="20"/>
                <w:szCs w:val="20"/>
                <w:color w:val="auto"/>
              </w:rPr>
            </w:pPr>
            <w:r>
              <w:rPr>
                <w:rFonts w:ascii="Arial" w:cs="Arial" w:eastAsia="Arial" w:hAnsi="Arial"/>
                <w:sz w:val="18"/>
                <w:szCs w:val="18"/>
                <w:color w:val="auto"/>
              </w:rPr>
              <w:t>$</w:t>
            </w:r>
          </w:p>
        </w:tc>
        <w:tc>
          <w:tcPr>
            <w:tcW w:w="1380" w:type="dxa"/>
            <w:vAlign w:val="bottom"/>
            <w:shd w:val="clear" w:color="auto" w:fill="EEEEEE"/>
          </w:tcPr>
          <w:p>
            <w:pPr>
              <w:jc w:val="right"/>
              <w:spacing w:after="0"/>
              <w:rPr>
                <w:sz w:val="20"/>
                <w:szCs w:val="20"/>
                <w:color w:val="auto"/>
              </w:rPr>
            </w:pPr>
            <w:r>
              <w:rPr>
                <w:rFonts w:ascii="Arial" w:cs="Arial" w:eastAsia="Arial" w:hAnsi="Arial"/>
                <w:sz w:val="18"/>
                <w:szCs w:val="18"/>
                <w:color w:val="auto"/>
              </w:rPr>
              <w:t>168,649</w:t>
            </w:r>
          </w:p>
        </w:tc>
        <w:tc>
          <w:tcPr>
            <w:tcW w:w="120" w:type="dxa"/>
            <w:vAlign w:val="bottom"/>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63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3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vMerge w:val="continue"/>
          </w:tcPr>
          <w:p>
            <w:pPr>
              <w:spacing w:after="0"/>
              <w:rPr>
                <w:sz w:val="19"/>
                <w:szCs w:val="19"/>
                <w:color w:val="auto"/>
              </w:rPr>
            </w:pPr>
          </w:p>
        </w:tc>
        <w:tc>
          <w:tcPr>
            <w:tcW w:w="6340" w:type="dxa"/>
            <w:vAlign w:val="bottom"/>
            <w:tcBorders>
              <w:bottom w:val="single" w:sz="8" w:color="EEEEEE"/>
            </w:tcBorders>
            <w:shd w:val="clear" w:color="auto" w:fill="EEEEEE"/>
          </w:tcPr>
          <w:p>
            <w:pPr>
              <w:spacing w:after="0"/>
              <w:rPr>
                <w:sz w:val="20"/>
                <w:szCs w:val="20"/>
                <w:color w:val="auto"/>
              </w:rPr>
            </w:pPr>
            <w:r>
              <w:rPr>
                <w:rFonts w:ascii="Arial" w:cs="Arial" w:eastAsia="Arial" w:hAnsi="Arial"/>
                <w:sz w:val="18"/>
                <w:szCs w:val="18"/>
                <w:b w:val="1"/>
                <w:bCs w:val="1"/>
                <w:color w:val="auto"/>
              </w:rPr>
              <w:t>Operating Expenses</w:t>
            </w:r>
          </w:p>
        </w:tc>
        <w:tc>
          <w:tcPr>
            <w:tcW w:w="140" w:type="dxa"/>
            <w:vAlign w:val="bottom"/>
            <w:tcBorders>
              <w:bottom w:val="single" w:sz="8" w:color="auto"/>
            </w:tcBorders>
            <w:shd w:val="clear" w:color="auto" w:fill="EEEEEE"/>
          </w:tcPr>
          <w:p>
            <w:pPr>
              <w:spacing w:after="0"/>
              <w:rPr>
                <w:sz w:val="19"/>
                <w:szCs w:val="19"/>
                <w:color w:val="auto"/>
              </w:rPr>
            </w:pPr>
          </w:p>
        </w:tc>
        <w:tc>
          <w:tcPr>
            <w:tcW w:w="1360" w:type="dxa"/>
            <w:vAlign w:val="bottom"/>
            <w:tcBorders>
              <w:bottom w:val="single" w:sz="8" w:color="auto"/>
            </w:tcBorders>
            <w:shd w:val="clear" w:color="auto" w:fill="EEEEEE"/>
          </w:tcPr>
          <w:p>
            <w:pPr>
              <w:jc w:val="right"/>
              <w:spacing w:after="0"/>
              <w:rPr>
                <w:sz w:val="20"/>
                <w:szCs w:val="20"/>
                <w:color w:val="auto"/>
              </w:rPr>
            </w:pPr>
            <w:r>
              <w:rPr>
                <w:rFonts w:ascii="Arial" w:cs="Arial" w:eastAsia="Arial" w:hAnsi="Arial"/>
                <w:sz w:val="18"/>
                <w:szCs w:val="18"/>
                <w:color w:val="auto"/>
              </w:rPr>
              <w:t>971,289</w:t>
            </w:r>
          </w:p>
        </w:tc>
        <w:tc>
          <w:tcPr>
            <w:tcW w:w="140" w:type="dxa"/>
            <w:vAlign w:val="bottom"/>
            <w:tcBorders>
              <w:bottom w:val="single" w:sz="8" w:color="EEEEEE"/>
            </w:tcBorders>
            <w:shd w:val="clear" w:color="auto" w:fill="EEEEEE"/>
          </w:tcPr>
          <w:p>
            <w:pPr>
              <w:spacing w:after="0"/>
              <w:rPr>
                <w:sz w:val="19"/>
                <w:szCs w:val="19"/>
                <w:color w:val="auto"/>
              </w:rPr>
            </w:pPr>
          </w:p>
        </w:tc>
        <w:tc>
          <w:tcPr>
            <w:tcW w:w="80" w:type="dxa"/>
            <w:vAlign w:val="bottom"/>
            <w:tcBorders>
              <w:bottom w:val="single" w:sz="8" w:color="EEEEEE"/>
            </w:tcBorders>
            <w:shd w:val="clear" w:color="auto" w:fill="EEEEEE"/>
          </w:tcPr>
          <w:p>
            <w:pPr>
              <w:spacing w:after="0"/>
              <w:rPr>
                <w:sz w:val="19"/>
                <w:szCs w:val="19"/>
                <w:color w:val="auto"/>
              </w:rPr>
            </w:pPr>
          </w:p>
        </w:tc>
        <w:tc>
          <w:tcPr>
            <w:tcW w:w="120" w:type="dxa"/>
            <w:vAlign w:val="bottom"/>
            <w:tcBorders>
              <w:bottom w:val="single" w:sz="8" w:color="auto"/>
            </w:tcBorders>
            <w:shd w:val="clear" w:color="auto" w:fill="EEEEEE"/>
          </w:tcPr>
          <w:p>
            <w:pPr>
              <w:spacing w:after="0"/>
              <w:rPr>
                <w:sz w:val="19"/>
                <w:szCs w:val="19"/>
                <w:color w:val="auto"/>
              </w:rPr>
            </w:pPr>
          </w:p>
        </w:tc>
        <w:tc>
          <w:tcPr>
            <w:tcW w:w="1360" w:type="dxa"/>
            <w:vAlign w:val="bottom"/>
            <w:tcBorders>
              <w:bottom w:val="single" w:sz="8" w:color="auto"/>
            </w:tcBorders>
            <w:shd w:val="clear" w:color="auto" w:fill="EEEEEE"/>
          </w:tcPr>
          <w:p>
            <w:pPr>
              <w:jc w:val="right"/>
              <w:spacing w:after="0"/>
              <w:rPr>
                <w:sz w:val="20"/>
                <w:szCs w:val="20"/>
                <w:color w:val="auto"/>
              </w:rPr>
            </w:pPr>
            <w:r>
              <w:rPr>
                <w:rFonts w:ascii="Arial" w:cs="Arial" w:eastAsia="Arial" w:hAnsi="Arial"/>
                <w:sz w:val="18"/>
                <w:szCs w:val="18"/>
                <w:color w:val="auto"/>
              </w:rPr>
              <w:t>184,406</w:t>
            </w:r>
          </w:p>
        </w:tc>
        <w:tc>
          <w:tcPr>
            <w:tcW w:w="140" w:type="dxa"/>
            <w:vAlign w:val="bottom"/>
            <w:tcBorders>
              <w:bottom w:val="single" w:sz="8" w:color="EEEEEE"/>
            </w:tcBorders>
            <w:shd w:val="clear" w:color="auto" w:fill="EEEEEE"/>
          </w:tcPr>
          <w:p>
            <w:pPr>
              <w:spacing w:after="0"/>
              <w:rPr>
                <w:sz w:val="19"/>
                <w:szCs w:val="19"/>
                <w:color w:val="auto"/>
              </w:rPr>
            </w:pPr>
          </w:p>
        </w:tc>
        <w:tc>
          <w:tcPr>
            <w:tcW w:w="80" w:type="dxa"/>
            <w:vAlign w:val="bottom"/>
            <w:tcBorders>
              <w:bottom w:val="single" w:sz="8" w:color="EEEEEE"/>
            </w:tcBorders>
            <w:shd w:val="clear" w:color="auto" w:fill="EEEEEE"/>
          </w:tcPr>
          <w:p>
            <w:pPr>
              <w:spacing w:after="0"/>
              <w:rPr>
                <w:sz w:val="19"/>
                <w:szCs w:val="19"/>
                <w:color w:val="auto"/>
              </w:rPr>
            </w:pPr>
          </w:p>
        </w:tc>
        <w:tc>
          <w:tcPr>
            <w:tcW w:w="140" w:type="dxa"/>
            <w:vAlign w:val="bottom"/>
            <w:tcBorders>
              <w:bottom w:val="single" w:sz="8" w:color="auto"/>
            </w:tcBorders>
            <w:shd w:val="clear" w:color="auto" w:fill="EEEEEE"/>
          </w:tcPr>
          <w:p>
            <w:pPr>
              <w:spacing w:after="0"/>
              <w:rPr>
                <w:sz w:val="19"/>
                <w:szCs w:val="19"/>
                <w:color w:val="auto"/>
              </w:rPr>
            </w:pPr>
          </w:p>
        </w:tc>
        <w:tc>
          <w:tcPr>
            <w:tcW w:w="1380" w:type="dxa"/>
            <w:vAlign w:val="bottom"/>
            <w:tcBorders>
              <w:bottom w:val="single" w:sz="8" w:color="auto"/>
            </w:tcBorders>
            <w:shd w:val="clear" w:color="auto" w:fill="EEEEEE"/>
          </w:tcPr>
          <w:p>
            <w:pPr>
              <w:jc w:val="right"/>
              <w:spacing w:after="0"/>
              <w:rPr>
                <w:sz w:val="20"/>
                <w:szCs w:val="20"/>
                <w:color w:val="auto"/>
              </w:rPr>
            </w:pPr>
            <w:r>
              <w:rPr>
                <w:rFonts w:ascii="Arial" w:cs="Arial" w:eastAsia="Arial" w:hAnsi="Arial"/>
                <w:sz w:val="18"/>
                <w:szCs w:val="18"/>
                <w:color w:val="auto"/>
              </w:rPr>
              <w:t>1,461,009</w:t>
            </w:r>
          </w:p>
        </w:tc>
        <w:tc>
          <w:tcPr>
            <w:tcW w:w="120" w:type="dxa"/>
            <w:vAlign w:val="bottom"/>
            <w:tcBorders>
              <w:bottom w:val="single" w:sz="8" w:color="EEEEEE"/>
            </w:tcBorders>
            <w:shd w:val="clear" w:color="auto" w:fill="EEEEEE"/>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63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3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340" w:type="dxa"/>
            <w:vAlign w:val="bottom"/>
            <w:shd w:val="clear" w:color="auto" w:fill="EEEEEE"/>
          </w:tcPr>
          <w:p>
            <w:pPr>
              <w:spacing w:after="0"/>
              <w:rPr>
                <w:sz w:val="20"/>
                <w:szCs w:val="20"/>
                <w:color w:val="auto"/>
              </w:rPr>
            </w:pPr>
            <w:r>
              <w:rPr>
                <w:rFonts w:ascii="Arial" w:cs="Arial" w:eastAsia="Arial" w:hAnsi="Arial"/>
                <w:sz w:val="18"/>
                <w:szCs w:val="18"/>
                <w:b w:val="1"/>
                <w:bCs w:val="1"/>
                <w:color w:val="auto"/>
              </w:rPr>
              <w:t>Net Operating Loss</w:t>
            </w:r>
          </w:p>
        </w:tc>
        <w:tc>
          <w:tcPr>
            <w:tcW w:w="140" w:type="dxa"/>
            <w:vAlign w:val="bottom"/>
            <w:shd w:val="clear" w:color="auto" w:fill="EEEEEE"/>
          </w:tcPr>
          <w:p>
            <w:pPr>
              <w:spacing w:after="0"/>
              <w:rPr>
                <w:sz w:val="18"/>
                <w:szCs w:val="18"/>
                <w:color w:val="auto"/>
              </w:rPr>
            </w:pPr>
          </w:p>
        </w:tc>
        <w:tc>
          <w:tcPr>
            <w:tcW w:w="1500" w:type="dxa"/>
            <w:vAlign w:val="bottom"/>
            <w:gridSpan w:val="2"/>
            <w:shd w:val="clear" w:color="auto" w:fill="EEEEEE"/>
          </w:tcPr>
          <w:p>
            <w:pPr>
              <w:jc w:val="right"/>
              <w:ind w:right="80"/>
              <w:spacing w:after="0"/>
              <w:rPr>
                <w:sz w:val="20"/>
                <w:szCs w:val="20"/>
                <w:color w:val="auto"/>
              </w:rPr>
            </w:pPr>
            <w:r>
              <w:rPr>
                <w:rFonts w:ascii="Arial" w:cs="Arial" w:eastAsia="Arial" w:hAnsi="Arial"/>
                <w:sz w:val="18"/>
                <w:szCs w:val="18"/>
                <w:color w:val="auto"/>
              </w:rPr>
              <w:t>(902,958)</w:t>
            </w:r>
          </w:p>
        </w:tc>
        <w:tc>
          <w:tcPr>
            <w:tcW w:w="80" w:type="dxa"/>
            <w:vAlign w:val="bottom"/>
            <w:shd w:val="clear" w:color="auto" w:fill="EEEEEE"/>
          </w:tcPr>
          <w:p>
            <w:pPr>
              <w:spacing w:after="0"/>
              <w:rPr>
                <w:sz w:val="18"/>
                <w:szCs w:val="18"/>
                <w:color w:val="auto"/>
              </w:rPr>
            </w:pPr>
          </w:p>
        </w:tc>
        <w:tc>
          <w:tcPr>
            <w:tcW w:w="120" w:type="dxa"/>
            <w:vAlign w:val="bottom"/>
            <w:shd w:val="clear" w:color="auto" w:fill="EEEEEE"/>
          </w:tcPr>
          <w:p>
            <w:pPr>
              <w:spacing w:after="0"/>
              <w:rPr>
                <w:sz w:val="18"/>
                <w:szCs w:val="18"/>
                <w:color w:val="auto"/>
              </w:rPr>
            </w:pPr>
          </w:p>
        </w:tc>
        <w:tc>
          <w:tcPr>
            <w:tcW w:w="1500" w:type="dxa"/>
            <w:vAlign w:val="bottom"/>
            <w:gridSpan w:val="2"/>
            <w:shd w:val="clear" w:color="auto" w:fill="EEEEEE"/>
          </w:tcPr>
          <w:p>
            <w:pPr>
              <w:jc w:val="right"/>
              <w:ind w:right="80"/>
              <w:spacing w:after="0"/>
              <w:rPr>
                <w:sz w:val="20"/>
                <w:szCs w:val="20"/>
                <w:color w:val="auto"/>
              </w:rPr>
            </w:pPr>
            <w:r>
              <w:rPr>
                <w:rFonts w:ascii="Arial" w:cs="Arial" w:eastAsia="Arial" w:hAnsi="Arial"/>
                <w:sz w:val="18"/>
                <w:szCs w:val="18"/>
                <w:color w:val="auto"/>
              </w:rPr>
              <w:t>(176,931)</w:t>
            </w:r>
          </w:p>
        </w:tc>
        <w:tc>
          <w:tcPr>
            <w:tcW w:w="80" w:type="dxa"/>
            <w:vAlign w:val="bottom"/>
            <w:shd w:val="clear" w:color="auto" w:fill="EEEEEE"/>
          </w:tcPr>
          <w:p>
            <w:pPr>
              <w:spacing w:after="0"/>
              <w:rPr>
                <w:sz w:val="18"/>
                <w:szCs w:val="18"/>
                <w:color w:val="auto"/>
              </w:rPr>
            </w:pPr>
          </w:p>
        </w:tc>
        <w:tc>
          <w:tcPr>
            <w:tcW w:w="140" w:type="dxa"/>
            <w:vAlign w:val="bottom"/>
            <w:shd w:val="clear" w:color="auto" w:fill="EEEEEE"/>
          </w:tcPr>
          <w:p>
            <w:pPr>
              <w:spacing w:after="0"/>
              <w:rPr>
                <w:sz w:val="18"/>
                <w:szCs w:val="18"/>
                <w:color w:val="auto"/>
              </w:rPr>
            </w:pPr>
          </w:p>
        </w:tc>
        <w:tc>
          <w:tcPr>
            <w:tcW w:w="1500" w:type="dxa"/>
            <w:vAlign w:val="bottom"/>
            <w:gridSpan w:val="2"/>
            <w:shd w:val="clear" w:color="auto" w:fill="EEEEEE"/>
          </w:tcPr>
          <w:p>
            <w:pPr>
              <w:jc w:val="right"/>
              <w:ind w:right="60"/>
              <w:spacing w:after="0"/>
              <w:rPr>
                <w:sz w:val="20"/>
                <w:szCs w:val="20"/>
                <w:color w:val="auto"/>
              </w:rPr>
            </w:pPr>
            <w:r>
              <w:rPr>
                <w:rFonts w:ascii="Arial" w:cs="Arial" w:eastAsia="Arial" w:hAnsi="Arial"/>
                <w:sz w:val="18"/>
                <w:szCs w:val="18"/>
                <w:color w:val="auto"/>
              </w:rPr>
              <w:t>(1,292,360)</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63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3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vMerge w:val="continue"/>
          </w:tcPr>
          <w:p>
            <w:pPr>
              <w:spacing w:after="0"/>
              <w:rPr>
                <w:sz w:val="19"/>
                <w:szCs w:val="19"/>
                <w:color w:val="auto"/>
              </w:rPr>
            </w:pPr>
          </w:p>
        </w:tc>
        <w:tc>
          <w:tcPr>
            <w:tcW w:w="6340" w:type="dxa"/>
            <w:vAlign w:val="bottom"/>
            <w:shd w:val="clear" w:color="auto" w:fill="EEEEEE"/>
          </w:tcPr>
          <w:p>
            <w:pPr>
              <w:spacing w:after="0"/>
              <w:rPr>
                <w:sz w:val="20"/>
                <w:szCs w:val="20"/>
                <w:color w:val="auto"/>
              </w:rPr>
            </w:pPr>
            <w:r>
              <w:rPr>
                <w:rFonts w:ascii="Arial" w:cs="Arial" w:eastAsia="Arial" w:hAnsi="Arial"/>
                <w:sz w:val="18"/>
                <w:szCs w:val="18"/>
                <w:b w:val="1"/>
                <w:bCs w:val="1"/>
                <w:color w:val="auto"/>
              </w:rPr>
              <w:t>Other Expenses</w:t>
            </w:r>
          </w:p>
        </w:tc>
        <w:tc>
          <w:tcPr>
            <w:tcW w:w="140" w:type="dxa"/>
            <w:vAlign w:val="bottom"/>
            <w:shd w:val="clear" w:color="auto" w:fill="EEEEEE"/>
          </w:tcPr>
          <w:p>
            <w:pPr>
              <w:spacing w:after="0"/>
              <w:rPr>
                <w:sz w:val="19"/>
                <w:szCs w:val="19"/>
                <w:color w:val="auto"/>
              </w:rPr>
            </w:pPr>
          </w:p>
        </w:tc>
        <w:tc>
          <w:tcPr>
            <w:tcW w:w="1360" w:type="dxa"/>
            <w:vAlign w:val="bottom"/>
            <w:shd w:val="clear" w:color="auto" w:fill="EEEEEE"/>
          </w:tcPr>
          <w:p>
            <w:pPr>
              <w:jc w:val="right"/>
              <w:spacing w:after="0"/>
              <w:rPr>
                <w:sz w:val="20"/>
                <w:szCs w:val="20"/>
                <w:color w:val="auto"/>
              </w:rPr>
            </w:pPr>
            <w:r>
              <w:rPr>
                <w:rFonts w:ascii="Arial" w:cs="Arial" w:eastAsia="Arial" w:hAnsi="Arial"/>
                <w:sz w:val="18"/>
                <w:szCs w:val="18"/>
                <w:color w:val="auto"/>
              </w:rPr>
              <w:t>0</w:t>
            </w:r>
          </w:p>
        </w:tc>
        <w:tc>
          <w:tcPr>
            <w:tcW w:w="140" w:type="dxa"/>
            <w:vAlign w:val="bottom"/>
            <w:shd w:val="clear" w:color="auto" w:fill="EEEEEE"/>
          </w:tcPr>
          <w:p>
            <w:pPr>
              <w:spacing w:after="0"/>
              <w:rPr>
                <w:sz w:val="19"/>
                <w:szCs w:val="19"/>
                <w:color w:val="auto"/>
              </w:rPr>
            </w:pPr>
          </w:p>
        </w:tc>
        <w:tc>
          <w:tcPr>
            <w:tcW w:w="80" w:type="dxa"/>
            <w:vAlign w:val="bottom"/>
            <w:shd w:val="clear" w:color="auto" w:fill="EEEEEE"/>
          </w:tcPr>
          <w:p>
            <w:pPr>
              <w:spacing w:after="0"/>
              <w:rPr>
                <w:sz w:val="19"/>
                <w:szCs w:val="19"/>
                <w:color w:val="auto"/>
              </w:rPr>
            </w:pPr>
          </w:p>
        </w:tc>
        <w:tc>
          <w:tcPr>
            <w:tcW w:w="120" w:type="dxa"/>
            <w:vAlign w:val="bottom"/>
            <w:shd w:val="clear" w:color="auto" w:fill="EEEEEE"/>
          </w:tcPr>
          <w:p>
            <w:pPr>
              <w:spacing w:after="0"/>
              <w:rPr>
                <w:sz w:val="19"/>
                <w:szCs w:val="19"/>
                <w:color w:val="auto"/>
              </w:rPr>
            </w:pPr>
          </w:p>
        </w:tc>
        <w:tc>
          <w:tcPr>
            <w:tcW w:w="1360" w:type="dxa"/>
            <w:vAlign w:val="bottom"/>
            <w:shd w:val="clear" w:color="auto" w:fill="EEEEEE"/>
          </w:tcPr>
          <w:p>
            <w:pPr>
              <w:jc w:val="right"/>
              <w:spacing w:after="0"/>
              <w:rPr>
                <w:sz w:val="20"/>
                <w:szCs w:val="20"/>
                <w:color w:val="auto"/>
              </w:rPr>
            </w:pPr>
            <w:r>
              <w:rPr>
                <w:rFonts w:ascii="Arial" w:cs="Arial" w:eastAsia="Arial" w:hAnsi="Arial"/>
                <w:sz w:val="18"/>
                <w:szCs w:val="18"/>
                <w:color w:val="auto"/>
              </w:rPr>
              <w:t>0</w:t>
            </w:r>
          </w:p>
        </w:tc>
        <w:tc>
          <w:tcPr>
            <w:tcW w:w="140" w:type="dxa"/>
            <w:vAlign w:val="bottom"/>
            <w:shd w:val="clear" w:color="auto" w:fill="EEEEEE"/>
          </w:tcPr>
          <w:p>
            <w:pPr>
              <w:spacing w:after="0"/>
              <w:rPr>
                <w:sz w:val="19"/>
                <w:szCs w:val="19"/>
                <w:color w:val="auto"/>
              </w:rPr>
            </w:pPr>
          </w:p>
        </w:tc>
        <w:tc>
          <w:tcPr>
            <w:tcW w:w="80" w:type="dxa"/>
            <w:vAlign w:val="bottom"/>
            <w:shd w:val="clear" w:color="auto" w:fill="EEEEEE"/>
          </w:tcPr>
          <w:p>
            <w:pPr>
              <w:spacing w:after="0"/>
              <w:rPr>
                <w:sz w:val="19"/>
                <w:szCs w:val="19"/>
                <w:color w:val="auto"/>
              </w:rPr>
            </w:pPr>
          </w:p>
        </w:tc>
        <w:tc>
          <w:tcPr>
            <w:tcW w:w="140" w:type="dxa"/>
            <w:vAlign w:val="bottom"/>
            <w:shd w:val="clear" w:color="auto" w:fill="EEEEEE"/>
          </w:tcPr>
          <w:p>
            <w:pPr>
              <w:spacing w:after="0"/>
              <w:rPr>
                <w:sz w:val="19"/>
                <w:szCs w:val="19"/>
                <w:color w:val="auto"/>
              </w:rPr>
            </w:pPr>
          </w:p>
        </w:tc>
        <w:tc>
          <w:tcPr>
            <w:tcW w:w="1500" w:type="dxa"/>
            <w:vAlign w:val="bottom"/>
            <w:gridSpan w:val="2"/>
            <w:shd w:val="clear" w:color="auto" w:fill="EEEEEE"/>
          </w:tcPr>
          <w:p>
            <w:pPr>
              <w:jc w:val="right"/>
              <w:ind w:right="60"/>
              <w:spacing w:after="0"/>
              <w:rPr>
                <w:sz w:val="20"/>
                <w:szCs w:val="20"/>
                <w:color w:val="auto"/>
              </w:rPr>
            </w:pPr>
            <w:r>
              <w:rPr>
                <w:rFonts w:ascii="Arial" w:cs="Arial" w:eastAsia="Arial" w:hAnsi="Arial"/>
                <w:sz w:val="18"/>
                <w:szCs w:val="18"/>
                <w:color w:val="auto"/>
              </w:rPr>
              <w:t>(5,525)</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6340" w:type="dxa"/>
            <w:vAlign w:val="bottom"/>
            <w:tcBorders>
              <w:top w:val="single" w:sz="8" w:color="EEEEEE"/>
            </w:tcBorders>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1360" w:type="dxa"/>
            <w:vAlign w:val="bottom"/>
            <w:tcBorders>
              <w:top w:val="single" w:sz="8" w:color="auto"/>
            </w:tcBorders>
          </w:tcPr>
          <w:p>
            <w:pPr>
              <w:spacing w:after="0"/>
              <w:rPr>
                <w:sz w:val="18"/>
                <w:szCs w:val="18"/>
                <w:color w:val="auto"/>
              </w:rPr>
            </w:pPr>
          </w:p>
        </w:tc>
        <w:tc>
          <w:tcPr>
            <w:tcW w:w="140" w:type="dxa"/>
            <w:vAlign w:val="bottom"/>
            <w:tcBorders>
              <w:top w:val="single" w:sz="8" w:color="EEEEEE"/>
            </w:tcBorders>
          </w:tcPr>
          <w:p>
            <w:pPr>
              <w:spacing w:after="0"/>
              <w:rPr>
                <w:sz w:val="18"/>
                <w:szCs w:val="18"/>
                <w:color w:val="auto"/>
              </w:rPr>
            </w:pPr>
          </w:p>
        </w:tc>
        <w:tc>
          <w:tcPr>
            <w:tcW w:w="80" w:type="dxa"/>
            <w:vAlign w:val="bottom"/>
            <w:tcBorders>
              <w:top w:val="single" w:sz="8" w:color="EEEEEE"/>
            </w:tcBorders>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1360" w:type="dxa"/>
            <w:vAlign w:val="bottom"/>
            <w:tcBorders>
              <w:top w:val="single" w:sz="8" w:color="auto"/>
            </w:tcBorders>
          </w:tcPr>
          <w:p>
            <w:pPr>
              <w:spacing w:after="0"/>
              <w:rPr>
                <w:sz w:val="18"/>
                <w:szCs w:val="18"/>
                <w:color w:val="auto"/>
              </w:rPr>
            </w:pPr>
          </w:p>
        </w:tc>
        <w:tc>
          <w:tcPr>
            <w:tcW w:w="140" w:type="dxa"/>
            <w:vAlign w:val="bottom"/>
            <w:tcBorders>
              <w:top w:val="single" w:sz="8" w:color="EEEEEE"/>
            </w:tcBorders>
          </w:tcPr>
          <w:p>
            <w:pPr>
              <w:spacing w:after="0"/>
              <w:rPr>
                <w:sz w:val="18"/>
                <w:szCs w:val="18"/>
                <w:color w:val="auto"/>
              </w:rPr>
            </w:pPr>
          </w:p>
        </w:tc>
        <w:tc>
          <w:tcPr>
            <w:tcW w:w="80" w:type="dxa"/>
            <w:vAlign w:val="bottom"/>
            <w:tcBorders>
              <w:top w:val="single" w:sz="8" w:color="EEEEEE"/>
            </w:tcBorders>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1380" w:type="dxa"/>
            <w:vAlign w:val="bottom"/>
            <w:tcBorders>
              <w:top w:val="single" w:sz="8" w:color="auto"/>
            </w:tcBorders>
          </w:tcPr>
          <w:p>
            <w:pPr>
              <w:spacing w:after="0"/>
              <w:rPr>
                <w:sz w:val="18"/>
                <w:szCs w:val="18"/>
                <w:color w:val="auto"/>
              </w:rPr>
            </w:pPr>
          </w:p>
        </w:tc>
        <w:tc>
          <w:tcPr>
            <w:tcW w:w="120" w:type="dxa"/>
            <w:vAlign w:val="bottom"/>
            <w:tcBorders>
              <w:top w:val="single" w:sz="8" w:color="EEEEEE"/>
            </w:tcBorders>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340" w:type="dxa"/>
            <w:vAlign w:val="bottom"/>
            <w:shd w:val="clear" w:color="auto" w:fill="EEEEEE"/>
          </w:tcPr>
          <w:p>
            <w:pPr>
              <w:spacing w:after="0"/>
              <w:rPr>
                <w:sz w:val="20"/>
                <w:szCs w:val="20"/>
                <w:color w:val="auto"/>
              </w:rPr>
            </w:pPr>
            <w:r>
              <w:rPr>
                <w:rFonts w:ascii="Arial" w:cs="Arial" w:eastAsia="Arial" w:hAnsi="Arial"/>
                <w:sz w:val="18"/>
                <w:szCs w:val="18"/>
                <w:b w:val="1"/>
                <w:bCs w:val="1"/>
                <w:color w:val="auto"/>
              </w:rPr>
              <w:t>Net Loss Before Income Taxes</w:t>
            </w:r>
          </w:p>
        </w:tc>
        <w:tc>
          <w:tcPr>
            <w:tcW w:w="140" w:type="dxa"/>
            <w:vAlign w:val="bottom"/>
            <w:shd w:val="clear" w:color="auto" w:fill="EEEEEE"/>
          </w:tcPr>
          <w:p>
            <w:pPr>
              <w:spacing w:after="0"/>
              <w:rPr>
                <w:sz w:val="18"/>
                <w:szCs w:val="18"/>
                <w:color w:val="auto"/>
              </w:rPr>
            </w:pPr>
          </w:p>
        </w:tc>
        <w:tc>
          <w:tcPr>
            <w:tcW w:w="1500" w:type="dxa"/>
            <w:vAlign w:val="bottom"/>
            <w:gridSpan w:val="2"/>
            <w:shd w:val="clear" w:color="auto" w:fill="EEEEEE"/>
          </w:tcPr>
          <w:p>
            <w:pPr>
              <w:jc w:val="right"/>
              <w:ind w:right="80"/>
              <w:spacing w:after="0"/>
              <w:rPr>
                <w:sz w:val="20"/>
                <w:szCs w:val="20"/>
                <w:color w:val="auto"/>
              </w:rPr>
            </w:pPr>
            <w:r>
              <w:rPr>
                <w:rFonts w:ascii="Arial" w:cs="Arial" w:eastAsia="Arial" w:hAnsi="Arial"/>
                <w:sz w:val="18"/>
                <w:szCs w:val="18"/>
                <w:color w:val="auto"/>
              </w:rPr>
              <w:t>(902,958)</w:t>
            </w:r>
          </w:p>
        </w:tc>
        <w:tc>
          <w:tcPr>
            <w:tcW w:w="80" w:type="dxa"/>
            <w:vAlign w:val="bottom"/>
            <w:shd w:val="clear" w:color="auto" w:fill="EEEEEE"/>
          </w:tcPr>
          <w:p>
            <w:pPr>
              <w:spacing w:after="0"/>
              <w:rPr>
                <w:sz w:val="18"/>
                <w:szCs w:val="18"/>
                <w:color w:val="auto"/>
              </w:rPr>
            </w:pPr>
          </w:p>
        </w:tc>
        <w:tc>
          <w:tcPr>
            <w:tcW w:w="120" w:type="dxa"/>
            <w:vAlign w:val="bottom"/>
            <w:shd w:val="clear" w:color="auto" w:fill="EEEEEE"/>
          </w:tcPr>
          <w:p>
            <w:pPr>
              <w:spacing w:after="0"/>
              <w:rPr>
                <w:sz w:val="18"/>
                <w:szCs w:val="18"/>
                <w:color w:val="auto"/>
              </w:rPr>
            </w:pPr>
          </w:p>
        </w:tc>
        <w:tc>
          <w:tcPr>
            <w:tcW w:w="1500" w:type="dxa"/>
            <w:vAlign w:val="bottom"/>
            <w:gridSpan w:val="2"/>
            <w:shd w:val="clear" w:color="auto" w:fill="EEEEEE"/>
          </w:tcPr>
          <w:p>
            <w:pPr>
              <w:jc w:val="right"/>
              <w:ind w:right="80"/>
              <w:spacing w:after="0"/>
              <w:rPr>
                <w:sz w:val="20"/>
                <w:szCs w:val="20"/>
                <w:color w:val="auto"/>
              </w:rPr>
            </w:pPr>
            <w:r>
              <w:rPr>
                <w:rFonts w:ascii="Arial" w:cs="Arial" w:eastAsia="Arial" w:hAnsi="Arial"/>
                <w:sz w:val="18"/>
                <w:szCs w:val="18"/>
                <w:color w:val="auto"/>
              </w:rPr>
              <w:t>(176,931)</w:t>
            </w:r>
          </w:p>
        </w:tc>
        <w:tc>
          <w:tcPr>
            <w:tcW w:w="80" w:type="dxa"/>
            <w:vAlign w:val="bottom"/>
            <w:shd w:val="clear" w:color="auto" w:fill="EEEEEE"/>
          </w:tcPr>
          <w:p>
            <w:pPr>
              <w:spacing w:after="0"/>
              <w:rPr>
                <w:sz w:val="18"/>
                <w:szCs w:val="18"/>
                <w:color w:val="auto"/>
              </w:rPr>
            </w:pPr>
          </w:p>
        </w:tc>
        <w:tc>
          <w:tcPr>
            <w:tcW w:w="140" w:type="dxa"/>
            <w:vAlign w:val="bottom"/>
            <w:shd w:val="clear" w:color="auto" w:fill="EEEEEE"/>
          </w:tcPr>
          <w:p>
            <w:pPr>
              <w:spacing w:after="0"/>
              <w:rPr>
                <w:sz w:val="18"/>
                <w:szCs w:val="18"/>
                <w:color w:val="auto"/>
              </w:rPr>
            </w:pPr>
          </w:p>
        </w:tc>
        <w:tc>
          <w:tcPr>
            <w:tcW w:w="1500" w:type="dxa"/>
            <w:vAlign w:val="bottom"/>
            <w:gridSpan w:val="2"/>
            <w:shd w:val="clear" w:color="auto" w:fill="EEEEEE"/>
          </w:tcPr>
          <w:p>
            <w:pPr>
              <w:jc w:val="right"/>
              <w:ind w:right="60"/>
              <w:spacing w:after="0"/>
              <w:rPr>
                <w:sz w:val="20"/>
                <w:szCs w:val="20"/>
                <w:color w:val="auto"/>
              </w:rPr>
            </w:pPr>
            <w:r>
              <w:rPr>
                <w:rFonts w:ascii="Arial" w:cs="Arial" w:eastAsia="Arial" w:hAnsi="Arial"/>
                <w:sz w:val="18"/>
                <w:szCs w:val="18"/>
                <w:color w:val="auto"/>
              </w:rPr>
              <w:t>(1,297,885)</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63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3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vMerge w:val="continue"/>
          </w:tcPr>
          <w:p>
            <w:pPr>
              <w:spacing w:after="0"/>
              <w:rPr>
                <w:sz w:val="19"/>
                <w:szCs w:val="19"/>
                <w:color w:val="auto"/>
              </w:rPr>
            </w:pPr>
          </w:p>
        </w:tc>
        <w:tc>
          <w:tcPr>
            <w:tcW w:w="6340" w:type="dxa"/>
            <w:vAlign w:val="bottom"/>
            <w:tcBorders>
              <w:bottom w:val="single" w:sz="8" w:color="EEEEEE"/>
            </w:tcBorders>
            <w:shd w:val="clear" w:color="auto" w:fill="EEEEEE"/>
          </w:tcPr>
          <w:p>
            <w:pPr>
              <w:spacing w:after="0"/>
              <w:rPr>
                <w:sz w:val="20"/>
                <w:szCs w:val="20"/>
                <w:color w:val="auto"/>
              </w:rPr>
            </w:pPr>
            <w:r>
              <w:rPr>
                <w:rFonts w:ascii="Arial" w:cs="Arial" w:eastAsia="Arial" w:hAnsi="Arial"/>
                <w:sz w:val="18"/>
                <w:szCs w:val="18"/>
                <w:b w:val="1"/>
                <w:bCs w:val="1"/>
                <w:color w:val="auto"/>
              </w:rPr>
              <w:t>Provision for Income Taxes</w:t>
            </w:r>
          </w:p>
        </w:tc>
        <w:tc>
          <w:tcPr>
            <w:tcW w:w="140" w:type="dxa"/>
            <w:vAlign w:val="bottom"/>
            <w:tcBorders>
              <w:bottom w:val="single" w:sz="8" w:color="auto"/>
            </w:tcBorders>
            <w:shd w:val="clear" w:color="auto" w:fill="EEEEEE"/>
          </w:tcPr>
          <w:p>
            <w:pPr>
              <w:spacing w:after="0"/>
              <w:rPr>
                <w:sz w:val="19"/>
                <w:szCs w:val="19"/>
                <w:color w:val="auto"/>
              </w:rPr>
            </w:pPr>
          </w:p>
        </w:tc>
        <w:tc>
          <w:tcPr>
            <w:tcW w:w="1360" w:type="dxa"/>
            <w:vAlign w:val="bottom"/>
            <w:tcBorders>
              <w:bottom w:val="single" w:sz="8" w:color="auto"/>
            </w:tcBorders>
            <w:shd w:val="clear" w:color="auto" w:fill="EEEEEE"/>
          </w:tcPr>
          <w:p>
            <w:pPr>
              <w:jc w:val="right"/>
              <w:spacing w:after="0"/>
              <w:rPr>
                <w:sz w:val="20"/>
                <w:szCs w:val="20"/>
                <w:color w:val="auto"/>
              </w:rPr>
            </w:pPr>
            <w:r>
              <w:rPr>
                <w:rFonts w:ascii="Arial" w:cs="Arial" w:eastAsia="Arial" w:hAnsi="Arial"/>
                <w:sz w:val="18"/>
                <w:szCs w:val="18"/>
                <w:color w:val="auto"/>
              </w:rPr>
              <w:t>0</w:t>
            </w:r>
          </w:p>
        </w:tc>
        <w:tc>
          <w:tcPr>
            <w:tcW w:w="140" w:type="dxa"/>
            <w:vAlign w:val="bottom"/>
            <w:tcBorders>
              <w:bottom w:val="single" w:sz="8" w:color="EEEEEE"/>
            </w:tcBorders>
            <w:shd w:val="clear" w:color="auto" w:fill="EEEEEE"/>
          </w:tcPr>
          <w:p>
            <w:pPr>
              <w:spacing w:after="0"/>
              <w:rPr>
                <w:sz w:val="19"/>
                <w:szCs w:val="19"/>
                <w:color w:val="auto"/>
              </w:rPr>
            </w:pPr>
          </w:p>
        </w:tc>
        <w:tc>
          <w:tcPr>
            <w:tcW w:w="80" w:type="dxa"/>
            <w:vAlign w:val="bottom"/>
            <w:tcBorders>
              <w:bottom w:val="single" w:sz="8" w:color="EEEEEE"/>
            </w:tcBorders>
            <w:shd w:val="clear" w:color="auto" w:fill="EEEEEE"/>
          </w:tcPr>
          <w:p>
            <w:pPr>
              <w:spacing w:after="0"/>
              <w:rPr>
                <w:sz w:val="19"/>
                <w:szCs w:val="19"/>
                <w:color w:val="auto"/>
              </w:rPr>
            </w:pPr>
          </w:p>
        </w:tc>
        <w:tc>
          <w:tcPr>
            <w:tcW w:w="120" w:type="dxa"/>
            <w:vAlign w:val="bottom"/>
            <w:tcBorders>
              <w:bottom w:val="single" w:sz="8" w:color="auto"/>
            </w:tcBorders>
            <w:shd w:val="clear" w:color="auto" w:fill="EEEEEE"/>
          </w:tcPr>
          <w:p>
            <w:pPr>
              <w:spacing w:after="0"/>
              <w:rPr>
                <w:sz w:val="19"/>
                <w:szCs w:val="19"/>
                <w:color w:val="auto"/>
              </w:rPr>
            </w:pPr>
          </w:p>
        </w:tc>
        <w:tc>
          <w:tcPr>
            <w:tcW w:w="1360" w:type="dxa"/>
            <w:vAlign w:val="bottom"/>
            <w:tcBorders>
              <w:bottom w:val="single" w:sz="8" w:color="auto"/>
            </w:tcBorders>
            <w:shd w:val="clear" w:color="auto" w:fill="EEEEEE"/>
          </w:tcPr>
          <w:p>
            <w:pPr>
              <w:jc w:val="right"/>
              <w:spacing w:after="0"/>
              <w:rPr>
                <w:sz w:val="20"/>
                <w:szCs w:val="20"/>
                <w:color w:val="auto"/>
              </w:rPr>
            </w:pPr>
            <w:r>
              <w:rPr>
                <w:rFonts w:ascii="Arial" w:cs="Arial" w:eastAsia="Arial" w:hAnsi="Arial"/>
                <w:sz w:val="18"/>
                <w:szCs w:val="18"/>
                <w:color w:val="auto"/>
              </w:rPr>
              <w:t>0</w:t>
            </w:r>
          </w:p>
        </w:tc>
        <w:tc>
          <w:tcPr>
            <w:tcW w:w="140" w:type="dxa"/>
            <w:vAlign w:val="bottom"/>
            <w:tcBorders>
              <w:bottom w:val="single" w:sz="8" w:color="EEEEEE"/>
            </w:tcBorders>
            <w:shd w:val="clear" w:color="auto" w:fill="EEEEEE"/>
          </w:tcPr>
          <w:p>
            <w:pPr>
              <w:spacing w:after="0"/>
              <w:rPr>
                <w:sz w:val="19"/>
                <w:szCs w:val="19"/>
                <w:color w:val="auto"/>
              </w:rPr>
            </w:pPr>
          </w:p>
        </w:tc>
        <w:tc>
          <w:tcPr>
            <w:tcW w:w="80" w:type="dxa"/>
            <w:vAlign w:val="bottom"/>
            <w:tcBorders>
              <w:bottom w:val="single" w:sz="8" w:color="EEEEEE"/>
            </w:tcBorders>
            <w:shd w:val="clear" w:color="auto" w:fill="EEEEEE"/>
          </w:tcPr>
          <w:p>
            <w:pPr>
              <w:spacing w:after="0"/>
              <w:rPr>
                <w:sz w:val="19"/>
                <w:szCs w:val="19"/>
                <w:color w:val="auto"/>
              </w:rPr>
            </w:pPr>
          </w:p>
        </w:tc>
        <w:tc>
          <w:tcPr>
            <w:tcW w:w="140" w:type="dxa"/>
            <w:vAlign w:val="bottom"/>
            <w:tcBorders>
              <w:bottom w:val="single" w:sz="8" w:color="auto"/>
            </w:tcBorders>
            <w:shd w:val="clear" w:color="auto" w:fill="EEEEEE"/>
          </w:tcPr>
          <w:p>
            <w:pPr>
              <w:spacing w:after="0"/>
              <w:rPr>
                <w:sz w:val="19"/>
                <w:szCs w:val="19"/>
                <w:color w:val="auto"/>
              </w:rPr>
            </w:pPr>
          </w:p>
        </w:tc>
        <w:tc>
          <w:tcPr>
            <w:tcW w:w="1380" w:type="dxa"/>
            <w:vAlign w:val="bottom"/>
            <w:tcBorders>
              <w:bottom w:val="single" w:sz="8" w:color="auto"/>
            </w:tcBorders>
            <w:shd w:val="clear" w:color="auto" w:fill="EEEEEE"/>
          </w:tcPr>
          <w:p>
            <w:pPr>
              <w:jc w:val="right"/>
              <w:spacing w:after="0"/>
              <w:rPr>
                <w:sz w:val="20"/>
                <w:szCs w:val="20"/>
                <w:color w:val="auto"/>
              </w:rPr>
            </w:pPr>
            <w:r>
              <w:rPr>
                <w:rFonts w:ascii="Arial" w:cs="Arial" w:eastAsia="Arial" w:hAnsi="Arial"/>
                <w:sz w:val="18"/>
                <w:szCs w:val="18"/>
                <w:color w:val="auto"/>
              </w:rPr>
              <w:t>0</w:t>
            </w:r>
          </w:p>
        </w:tc>
        <w:tc>
          <w:tcPr>
            <w:tcW w:w="120" w:type="dxa"/>
            <w:vAlign w:val="bottom"/>
            <w:tcBorders>
              <w:bottom w:val="single" w:sz="8" w:color="EEEEEE"/>
            </w:tcBorders>
            <w:shd w:val="clear" w:color="auto" w:fill="EEEEEE"/>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63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3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57"/>
        </w:trPr>
        <w:tc>
          <w:tcPr>
            <w:tcW w:w="20" w:type="dxa"/>
            <w:vAlign w:val="bottom"/>
            <w:vMerge w:val="continue"/>
          </w:tcPr>
          <w:p>
            <w:pPr>
              <w:spacing w:after="0"/>
              <w:rPr>
                <w:sz w:val="22"/>
                <w:szCs w:val="22"/>
                <w:color w:val="auto"/>
              </w:rPr>
            </w:pPr>
          </w:p>
        </w:tc>
        <w:tc>
          <w:tcPr>
            <w:tcW w:w="6340" w:type="dxa"/>
            <w:vAlign w:val="bottom"/>
            <w:shd w:val="clear" w:color="auto" w:fill="EEEEEE"/>
          </w:tcPr>
          <w:p>
            <w:pPr>
              <w:spacing w:after="0"/>
              <w:rPr>
                <w:sz w:val="20"/>
                <w:szCs w:val="20"/>
                <w:color w:val="auto"/>
              </w:rPr>
            </w:pPr>
            <w:r>
              <w:rPr>
                <w:rFonts w:ascii="Arial" w:cs="Arial" w:eastAsia="Arial" w:hAnsi="Arial"/>
                <w:sz w:val="18"/>
                <w:szCs w:val="18"/>
                <w:b w:val="1"/>
                <w:bCs w:val="1"/>
                <w:color w:val="auto"/>
              </w:rPr>
              <w:t>Net Loss</w:t>
            </w:r>
          </w:p>
        </w:tc>
        <w:tc>
          <w:tcPr>
            <w:tcW w:w="140" w:type="dxa"/>
            <w:vAlign w:val="bottom"/>
            <w:shd w:val="clear" w:color="auto" w:fill="EEEEEE"/>
          </w:tcPr>
          <w:p>
            <w:pPr>
              <w:jc w:val="right"/>
              <w:spacing w:after="0"/>
              <w:rPr>
                <w:sz w:val="20"/>
                <w:szCs w:val="20"/>
                <w:color w:val="auto"/>
              </w:rPr>
            </w:pPr>
            <w:r>
              <w:rPr>
                <w:rFonts w:ascii="Arial" w:cs="Arial" w:eastAsia="Arial" w:hAnsi="Arial"/>
                <w:sz w:val="18"/>
                <w:szCs w:val="18"/>
                <w:color w:val="auto"/>
                <w:w w:val="79"/>
              </w:rPr>
              <w:t>$</w:t>
            </w:r>
          </w:p>
        </w:tc>
        <w:tc>
          <w:tcPr>
            <w:tcW w:w="1500" w:type="dxa"/>
            <w:vAlign w:val="bottom"/>
            <w:gridSpan w:val="2"/>
            <w:shd w:val="clear" w:color="auto" w:fill="EEEEEE"/>
          </w:tcPr>
          <w:p>
            <w:pPr>
              <w:jc w:val="right"/>
              <w:ind w:right="80"/>
              <w:spacing w:after="0"/>
              <w:rPr>
                <w:sz w:val="20"/>
                <w:szCs w:val="20"/>
                <w:color w:val="auto"/>
              </w:rPr>
            </w:pPr>
            <w:r>
              <w:rPr>
                <w:rFonts w:ascii="Arial" w:cs="Arial" w:eastAsia="Arial" w:hAnsi="Arial"/>
                <w:sz w:val="18"/>
                <w:szCs w:val="18"/>
                <w:color w:val="auto"/>
              </w:rPr>
              <w:t>(902,958)</w:t>
            </w:r>
          </w:p>
        </w:tc>
        <w:tc>
          <w:tcPr>
            <w:tcW w:w="200" w:type="dxa"/>
            <w:vAlign w:val="bottom"/>
            <w:gridSpan w:val="2"/>
            <w:shd w:val="clear" w:color="auto" w:fill="EEEEEE"/>
          </w:tcPr>
          <w:p>
            <w:pPr>
              <w:jc w:val="right"/>
              <w:ind w:right="40"/>
              <w:spacing w:after="0"/>
              <w:rPr>
                <w:sz w:val="20"/>
                <w:szCs w:val="20"/>
                <w:color w:val="auto"/>
              </w:rPr>
            </w:pPr>
            <w:r>
              <w:rPr>
                <w:rFonts w:ascii="Arial" w:cs="Arial" w:eastAsia="Arial" w:hAnsi="Arial"/>
                <w:sz w:val="18"/>
                <w:szCs w:val="18"/>
                <w:color w:val="auto"/>
              </w:rPr>
              <w:t>$</w:t>
            </w:r>
          </w:p>
        </w:tc>
        <w:tc>
          <w:tcPr>
            <w:tcW w:w="1500" w:type="dxa"/>
            <w:vAlign w:val="bottom"/>
            <w:gridSpan w:val="2"/>
            <w:shd w:val="clear" w:color="auto" w:fill="EEEEEE"/>
          </w:tcPr>
          <w:p>
            <w:pPr>
              <w:jc w:val="right"/>
              <w:ind w:right="80"/>
              <w:spacing w:after="0"/>
              <w:rPr>
                <w:sz w:val="20"/>
                <w:szCs w:val="20"/>
                <w:color w:val="auto"/>
              </w:rPr>
            </w:pPr>
            <w:r>
              <w:rPr>
                <w:rFonts w:ascii="Arial" w:cs="Arial" w:eastAsia="Arial" w:hAnsi="Arial"/>
                <w:sz w:val="18"/>
                <w:szCs w:val="18"/>
                <w:color w:val="auto"/>
              </w:rPr>
              <w:t>(176,931)</w:t>
            </w:r>
          </w:p>
        </w:tc>
        <w:tc>
          <w:tcPr>
            <w:tcW w:w="220" w:type="dxa"/>
            <w:vAlign w:val="bottom"/>
            <w:gridSpan w:val="2"/>
            <w:shd w:val="clear" w:color="auto" w:fill="EEEEEE"/>
          </w:tcPr>
          <w:p>
            <w:pPr>
              <w:jc w:val="right"/>
              <w:spacing w:after="0"/>
              <w:rPr>
                <w:sz w:val="20"/>
                <w:szCs w:val="20"/>
                <w:color w:val="auto"/>
              </w:rPr>
            </w:pPr>
            <w:r>
              <w:rPr>
                <w:rFonts w:ascii="Arial" w:cs="Arial" w:eastAsia="Arial" w:hAnsi="Arial"/>
                <w:sz w:val="18"/>
                <w:szCs w:val="18"/>
                <w:color w:val="auto"/>
              </w:rPr>
              <w:t>$</w:t>
            </w:r>
          </w:p>
        </w:tc>
        <w:tc>
          <w:tcPr>
            <w:tcW w:w="1500" w:type="dxa"/>
            <w:vAlign w:val="bottom"/>
            <w:gridSpan w:val="2"/>
            <w:shd w:val="clear" w:color="auto" w:fill="EEEEEE"/>
          </w:tcPr>
          <w:p>
            <w:pPr>
              <w:jc w:val="right"/>
              <w:ind w:right="60"/>
              <w:spacing w:after="0"/>
              <w:rPr>
                <w:sz w:val="20"/>
                <w:szCs w:val="20"/>
                <w:color w:val="auto"/>
              </w:rPr>
            </w:pPr>
            <w:r>
              <w:rPr>
                <w:rFonts w:ascii="Arial" w:cs="Arial" w:eastAsia="Arial" w:hAnsi="Arial"/>
                <w:sz w:val="18"/>
                <w:szCs w:val="18"/>
                <w:color w:val="auto"/>
              </w:rPr>
              <w:t>(1,297,885)</w:t>
            </w: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6340" w:type="dxa"/>
            <w:vAlign w:val="bottom"/>
            <w:tcBorders>
              <w:top w:val="single" w:sz="8" w:color="EEEEEE"/>
            </w:tcBorders>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1360" w:type="dxa"/>
            <w:vAlign w:val="bottom"/>
            <w:tcBorders>
              <w:top w:val="single" w:sz="8" w:color="auto"/>
            </w:tcBorders>
          </w:tcPr>
          <w:p>
            <w:pPr>
              <w:spacing w:after="0"/>
              <w:rPr>
                <w:sz w:val="18"/>
                <w:szCs w:val="18"/>
                <w:color w:val="auto"/>
              </w:rPr>
            </w:pPr>
          </w:p>
        </w:tc>
        <w:tc>
          <w:tcPr>
            <w:tcW w:w="140" w:type="dxa"/>
            <w:vAlign w:val="bottom"/>
            <w:tcBorders>
              <w:top w:val="single" w:sz="8" w:color="EEEEEE"/>
            </w:tcBorders>
          </w:tcPr>
          <w:p>
            <w:pPr>
              <w:spacing w:after="0"/>
              <w:rPr>
                <w:sz w:val="18"/>
                <w:szCs w:val="18"/>
                <w:color w:val="auto"/>
              </w:rPr>
            </w:pPr>
          </w:p>
        </w:tc>
        <w:tc>
          <w:tcPr>
            <w:tcW w:w="80" w:type="dxa"/>
            <w:vAlign w:val="bottom"/>
            <w:tcBorders>
              <w:top w:val="single" w:sz="8" w:color="EEEEEE"/>
            </w:tcBorders>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1360" w:type="dxa"/>
            <w:vAlign w:val="bottom"/>
            <w:tcBorders>
              <w:top w:val="single" w:sz="8" w:color="auto"/>
            </w:tcBorders>
          </w:tcPr>
          <w:p>
            <w:pPr>
              <w:spacing w:after="0"/>
              <w:rPr>
                <w:sz w:val="18"/>
                <w:szCs w:val="18"/>
                <w:color w:val="auto"/>
              </w:rPr>
            </w:pPr>
          </w:p>
        </w:tc>
        <w:tc>
          <w:tcPr>
            <w:tcW w:w="140" w:type="dxa"/>
            <w:vAlign w:val="bottom"/>
            <w:tcBorders>
              <w:top w:val="single" w:sz="8" w:color="EEEEEE"/>
            </w:tcBorders>
          </w:tcPr>
          <w:p>
            <w:pPr>
              <w:spacing w:after="0"/>
              <w:rPr>
                <w:sz w:val="18"/>
                <w:szCs w:val="18"/>
                <w:color w:val="auto"/>
              </w:rPr>
            </w:pPr>
          </w:p>
        </w:tc>
        <w:tc>
          <w:tcPr>
            <w:tcW w:w="80" w:type="dxa"/>
            <w:vAlign w:val="bottom"/>
            <w:tcBorders>
              <w:top w:val="single" w:sz="8" w:color="EEEEEE"/>
            </w:tcBorders>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1380" w:type="dxa"/>
            <w:vAlign w:val="bottom"/>
            <w:tcBorders>
              <w:top w:val="single" w:sz="8" w:color="auto"/>
            </w:tcBorders>
          </w:tcPr>
          <w:p>
            <w:pPr>
              <w:spacing w:after="0"/>
              <w:rPr>
                <w:sz w:val="18"/>
                <w:szCs w:val="18"/>
                <w:color w:val="auto"/>
              </w:rPr>
            </w:pPr>
          </w:p>
        </w:tc>
        <w:tc>
          <w:tcPr>
            <w:tcW w:w="120" w:type="dxa"/>
            <w:vAlign w:val="bottom"/>
            <w:tcBorders>
              <w:top w:val="single" w:sz="8" w:color="EEEEEE"/>
            </w:tcBorders>
          </w:tcPr>
          <w:p>
            <w:pPr>
              <w:spacing w:after="0"/>
              <w:rPr>
                <w:sz w:val="18"/>
                <w:szCs w:val="18"/>
                <w:color w:val="auto"/>
              </w:rPr>
            </w:pPr>
          </w:p>
        </w:tc>
        <w:tc>
          <w:tcPr>
            <w:tcW w:w="0" w:type="dxa"/>
            <w:vAlign w:val="bottom"/>
          </w:tcPr>
          <w:p>
            <w:pPr>
              <w:spacing w:after="0"/>
              <w:rPr>
                <w:sz w:val="1"/>
                <w:szCs w:val="1"/>
                <w:color w:val="auto"/>
              </w:rPr>
            </w:pPr>
          </w:p>
        </w:tc>
      </w:tr>
      <w:tr>
        <w:trPr>
          <w:trHeight w:val="257"/>
        </w:trPr>
        <w:tc>
          <w:tcPr>
            <w:tcW w:w="20" w:type="dxa"/>
            <w:vAlign w:val="bottom"/>
            <w:vMerge w:val="continue"/>
          </w:tcPr>
          <w:p>
            <w:pPr>
              <w:spacing w:after="0"/>
              <w:rPr>
                <w:sz w:val="22"/>
                <w:szCs w:val="22"/>
                <w:color w:val="auto"/>
              </w:rPr>
            </w:pPr>
          </w:p>
        </w:tc>
        <w:tc>
          <w:tcPr>
            <w:tcW w:w="6340" w:type="dxa"/>
            <w:vAlign w:val="bottom"/>
            <w:tcBorders>
              <w:bottom w:val="single" w:sz="8" w:color="EEEEEE"/>
            </w:tcBorders>
            <w:shd w:val="clear" w:color="auto" w:fill="EEEEEE"/>
          </w:tcPr>
          <w:p>
            <w:pPr>
              <w:spacing w:after="0"/>
              <w:rPr>
                <w:sz w:val="20"/>
                <w:szCs w:val="20"/>
                <w:color w:val="auto"/>
              </w:rPr>
            </w:pPr>
            <w:r>
              <w:rPr>
                <w:rFonts w:ascii="Arial" w:cs="Arial" w:eastAsia="Arial" w:hAnsi="Arial"/>
                <w:sz w:val="18"/>
                <w:szCs w:val="18"/>
                <w:b w:val="1"/>
                <w:bCs w:val="1"/>
                <w:color w:val="auto"/>
              </w:rPr>
              <w:t>Weighted Average Number Of Common Shares Outstanding</w:t>
            </w:r>
          </w:p>
        </w:tc>
        <w:tc>
          <w:tcPr>
            <w:tcW w:w="140" w:type="dxa"/>
            <w:vAlign w:val="bottom"/>
            <w:tcBorders>
              <w:bottom w:val="single" w:sz="8" w:color="auto"/>
            </w:tcBorders>
            <w:shd w:val="clear" w:color="auto" w:fill="EEEEEE"/>
          </w:tcPr>
          <w:p>
            <w:pPr>
              <w:spacing w:after="0"/>
              <w:rPr>
                <w:sz w:val="22"/>
                <w:szCs w:val="22"/>
                <w:color w:val="auto"/>
              </w:rPr>
            </w:pPr>
          </w:p>
        </w:tc>
        <w:tc>
          <w:tcPr>
            <w:tcW w:w="1360" w:type="dxa"/>
            <w:vAlign w:val="bottom"/>
            <w:tcBorders>
              <w:bottom w:val="single" w:sz="8" w:color="auto"/>
            </w:tcBorders>
            <w:shd w:val="clear" w:color="auto" w:fill="EEEEEE"/>
          </w:tcPr>
          <w:p>
            <w:pPr>
              <w:jc w:val="right"/>
              <w:spacing w:after="0"/>
              <w:rPr>
                <w:sz w:val="20"/>
                <w:szCs w:val="20"/>
                <w:color w:val="auto"/>
              </w:rPr>
            </w:pPr>
            <w:r>
              <w:rPr>
                <w:rFonts w:ascii="Arial" w:cs="Arial" w:eastAsia="Arial" w:hAnsi="Arial"/>
                <w:sz w:val="18"/>
                <w:szCs w:val="18"/>
                <w:color w:val="auto"/>
              </w:rPr>
              <w:t>13,475,000</w:t>
            </w:r>
          </w:p>
        </w:tc>
        <w:tc>
          <w:tcPr>
            <w:tcW w:w="140" w:type="dxa"/>
            <w:vAlign w:val="bottom"/>
            <w:tcBorders>
              <w:bottom w:val="single" w:sz="8" w:color="EEEEEE"/>
            </w:tcBorders>
            <w:shd w:val="clear" w:color="auto" w:fill="EEEEEE"/>
          </w:tcPr>
          <w:p>
            <w:pPr>
              <w:spacing w:after="0"/>
              <w:rPr>
                <w:sz w:val="22"/>
                <w:szCs w:val="22"/>
                <w:color w:val="auto"/>
              </w:rPr>
            </w:pPr>
          </w:p>
        </w:tc>
        <w:tc>
          <w:tcPr>
            <w:tcW w:w="80" w:type="dxa"/>
            <w:vAlign w:val="bottom"/>
            <w:tcBorders>
              <w:bottom w:val="single" w:sz="8" w:color="EEEEEE"/>
            </w:tcBorders>
            <w:shd w:val="clear" w:color="auto" w:fill="EEEEEE"/>
          </w:tcPr>
          <w:p>
            <w:pPr>
              <w:spacing w:after="0"/>
              <w:rPr>
                <w:sz w:val="22"/>
                <w:szCs w:val="22"/>
                <w:color w:val="auto"/>
              </w:rPr>
            </w:pPr>
          </w:p>
        </w:tc>
        <w:tc>
          <w:tcPr>
            <w:tcW w:w="120" w:type="dxa"/>
            <w:vAlign w:val="bottom"/>
            <w:tcBorders>
              <w:bottom w:val="single" w:sz="8" w:color="EEEEEE"/>
            </w:tcBorders>
            <w:shd w:val="clear" w:color="auto" w:fill="EEEEEE"/>
          </w:tcPr>
          <w:p>
            <w:pPr>
              <w:spacing w:after="0"/>
              <w:rPr>
                <w:sz w:val="22"/>
                <w:szCs w:val="22"/>
                <w:color w:val="auto"/>
              </w:rPr>
            </w:pPr>
          </w:p>
        </w:tc>
        <w:tc>
          <w:tcPr>
            <w:tcW w:w="1360" w:type="dxa"/>
            <w:vAlign w:val="bottom"/>
            <w:tcBorders>
              <w:bottom w:val="single" w:sz="8" w:color="EEEEEE"/>
            </w:tcBorders>
            <w:shd w:val="clear" w:color="auto" w:fill="EEEEEE"/>
          </w:tcPr>
          <w:p>
            <w:pPr>
              <w:spacing w:after="0"/>
              <w:rPr>
                <w:sz w:val="22"/>
                <w:szCs w:val="22"/>
                <w:color w:val="auto"/>
              </w:rPr>
            </w:pPr>
          </w:p>
        </w:tc>
        <w:tc>
          <w:tcPr>
            <w:tcW w:w="140" w:type="dxa"/>
            <w:vAlign w:val="bottom"/>
            <w:tcBorders>
              <w:bottom w:val="single" w:sz="8" w:color="EEEEEE"/>
            </w:tcBorders>
            <w:shd w:val="clear" w:color="auto" w:fill="EEEEEE"/>
          </w:tcPr>
          <w:p>
            <w:pPr>
              <w:spacing w:after="0"/>
              <w:rPr>
                <w:sz w:val="22"/>
                <w:szCs w:val="22"/>
                <w:color w:val="auto"/>
              </w:rPr>
            </w:pPr>
          </w:p>
        </w:tc>
        <w:tc>
          <w:tcPr>
            <w:tcW w:w="80" w:type="dxa"/>
            <w:vAlign w:val="bottom"/>
            <w:tcBorders>
              <w:bottom w:val="single" w:sz="8" w:color="EEEEEE"/>
            </w:tcBorders>
            <w:shd w:val="clear" w:color="auto" w:fill="EEEEEE"/>
          </w:tcPr>
          <w:p>
            <w:pPr>
              <w:spacing w:after="0"/>
              <w:rPr>
                <w:sz w:val="22"/>
                <w:szCs w:val="22"/>
                <w:color w:val="auto"/>
              </w:rPr>
            </w:pPr>
          </w:p>
        </w:tc>
        <w:tc>
          <w:tcPr>
            <w:tcW w:w="140" w:type="dxa"/>
            <w:vAlign w:val="bottom"/>
            <w:tcBorders>
              <w:bottom w:val="single" w:sz="8" w:color="EEEEEE"/>
            </w:tcBorders>
            <w:shd w:val="clear" w:color="auto" w:fill="EEEEEE"/>
          </w:tcPr>
          <w:p>
            <w:pPr>
              <w:spacing w:after="0"/>
              <w:rPr>
                <w:sz w:val="22"/>
                <w:szCs w:val="22"/>
                <w:color w:val="auto"/>
              </w:rPr>
            </w:pPr>
          </w:p>
        </w:tc>
        <w:tc>
          <w:tcPr>
            <w:tcW w:w="1380" w:type="dxa"/>
            <w:vAlign w:val="bottom"/>
            <w:tcBorders>
              <w:bottom w:val="single" w:sz="8" w:color="EEEEEE"/>
            </w:tcBorders>
            <w:shd w:val="clear" w:color="auto" w:fill="EEEEEE"/>
          </w:tcPr>
          <w:p>
            <w:pPr>
              <w:spacing w:after="0"/>
              <w:rPr>
                <w:sz w:val="22"/>
                <w:szCs w:val="22"/>
                <w:color w:val="auto"/>
              </w:rPr>
            </w:pPr>
          </w:p>
        </w:tc>
        <w:tc>
          <w:tcPr>
            <w:tcW w:w="120" w:type="dxa"/>
            <w:vAlign w:val="bottom"/>
            <w:tcBorders>
              <w:bottom w:val="single" w:sz="8" w:color="EEEEEE"/>
            </w:tcBorders>
            <w:shd w:val="clear" w:color="auto" w:fill="EEEEEE"/>
          </w:tcPr>
          <w:p>
            <w:pPr>
              <w:spacing w:after="0"/>
              <w:rPr>
                <w:sz w:val="22"/>
                <w:szCs w:val="22"/>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6340" w:type="dxa"/>
            <w:vAlign w:val="bottom"/>
          </w:tcPr>
          <w:p>
            <w:pPr>
              <w:spacing w:after="0"/>
              <w:rPr>
                <w:sz w:val="20"/>
                <w:szCs w:val="20"/>
                <w:color w:val="auto"/>
              </w:rPr>
            </w:pPr>
            <w:r>
              <w:rPr>
                <w:rFonts w:ascii="Arial" w:cs="Arial" w:eastAsia="Arial" w:hAnsi="Arial"/>
                <w:sz w:val="18"/>
                <w:szCs w:val="18"/>
                <w:b w:val="1"/>
                <w:bCs w:val="1"/>
                <w:color w:val="auto"/>
              </w:rPr>
              <w:t>Net (Loss) Per Share</w:t>
            </w:r>
          </w:p>
        </w:tc>
        <w:tc>
          <w:tcPr>
            <w:tcW w:w="14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500" w:type="dxa"/>
            <w:vAlign w:val="bottom"/>
            <w:gridSpan w:val="2"/>
          </w:tcPr>
          <w:p>
            <w:pPr>
              <w:jc w:val="right"/>
              <w:ind w:right="80"/>
              <w:spacing w:after="0"/>
              <w:rPr>
                <w:sz w:val="20"/>
                <w:szCs w:val="20"/>
                <w:color w:val="auto"/>
              </w:rPr>
            </w:pPr>
            <w:r>
              <w:rPr>
                <w:rFonts w:ascii="Arial" w:cs="Arial" w:eastAsia="Arial" w:hAnsi="Arial"/>
                <w:sz w:val="18"/>
                <w:szCs w:val="18"/>
                <w:color w:val="auto"/>
              </w:rPr>
              <w:t>(0.07)</w:t>
            </w: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3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634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36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3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5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accompanying notes are an integral part of the financial statements.</w:t>
      </w:r>
    </w:p>
    <w:p>
      <w:pPr>
        <w:spacing w:after="0" w:line="200" w:lineRule="exact"/>
        <w:rPr>
          <w:sz w:val="20"/>
          <w:szCs w:val="20"/>
          <w:color w:val="auto"/>
        </w:rPr>
      </w:pPr>
    </w:p>
    <w:p>
      <w:pPr>
        <w:spacing w:after="0" w:line="32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246620" cy="8890"/>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634" w:right="239" w:bottom="1440" w:gutter="0" w:footer="0" w:header="0"/>
        </w:sectPr>
      </w:pPr>
    </w:p>
    <w:bookmarkStart w:id="57" w:name="page58"/>
    <w:bookmarkEnd w:id="57"/>
    <w:p>
      <w:pPr>
        <w:jc w:val="center"/>
        <w:spacing w:after="0"/>
        <w:rPr>
          <w:sz w:val="20"/>
          <w:szCs w:val="20"/>
          <w:color w:val="auto"/>
        </w:rPr>
      </w:pPr>
      <w:r>
        <w:rPr>
          <w:rFonts w:ascii="Arial" w:cs="Arial" w:eastAsia="Arial" w:hAnsi="Arial"/>
          <w:sz w:val="18"/>
          <w:szCs w:val="18"/>
          <w:b w:val="1"/>
          <w:bCs w:val="1"/>
          <w:color w:val="auto"/>
        </w:rPr>
        <w:t>OPTIMIZERx CORPORATION</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OPTIMIZER SYSTEMS, LLC</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 DEVELOPMENT STAGE COMPANY)</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STATEMENT OF STOCKHOLDERS’ EQUITY (UNAUDITED)</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AS OF SEPTEMBER 30, 2008</w:t>
      </w:r>
    </w:p>
    <w:p>
      <w:pPr>
        <w:spacing w:after="0" w:line="200" w:lineRule="exact"/>
        <w:rPr>
          <w:sz w:val="20"/>
          <w:szCs w:val="20"/>
          <w:color w:val="auto"/>
        </w:rPr>
      </w:pPr>
    </w:p>
    <w:p>
      <w:pPr>
        <w:spacing w:after="0" w:line="331"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20" w:type="dxa"/>
            <w:vAlign w:val="bottom"/>
          </w:tcPr>
          <w:p>
            <w:pPr>
              <w:spacing w:after="0"/>
              <w:rPr>
                <w:sz w:val="18"/>
                <w:szCs w:val="18"/>
                <w:color w:val="auto"/>
              </w:rPr>
            </w:pPr>
          </w:p>
        </w:tc>
        <w:tc>
          <w:tcPr>
            <w:tcW w:w="194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80" w:type="dxa"/>
            <w:vAlign w:val="bottom"/>
            <w:gridSpan w:val="2"/>
          </w:tcPr>
          <w:p>
            <w:pPr>
              <w:jc w:val="center"/>
              <w:ind w:right="320"/>
              <w:spacing w:after="0"/>
              <w:rPr>
                <w:sz w:val="20"/>
                <w:szCs w:val="20"/>
                <w:color w:val="auto"/>
              </w:rPr>
            </w:pPr>
            <w:r>
              <w:rPr>
                <w:rFonts w:ascii="Arial" w:cs="Arial" w:eastAsia="Arial" w:hAnsi="Arial"/>
                <w:sz w:val="18"/>
                <w:szCs w:val="18"/>
                <w:b w:val="1"/>
                <w:bCs w:val="1"/>
                <w:color w:val="auto"/>
                <w:w w:val="92"/>
              </w:rPr>
              <w:t>(Deficit)</w:t>
            </w: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94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300" w:type="dxa"/>
            <w:vAlign w:val="bottom"/>
            <w:gridSpan w:val="3"/>
          </w:tcPr>
          <w:p>
            <w:pPr>
              <w:jc w:val="center"/>
              <w:ind w:right="200"/>
              <w:spacing w:after="0"/>
              <w:rPr>
                <w:sz w:val="20"/>
                <w:szCs w:val="20"/>
                <w:color w:val="auto"/>
              </w:rPr>
            </w:pPr>
            <w:r>
              <w:rPr>
                <w:rFonts w:ascii="Arial" w:cs="Arial" w:eastAsia="Arial" w:hAnsi="Arial"/>
                <w:sz w:val="18"/>
                <w:szCs w:val="18"/>
                <w:b w:val="1"/>
                <w:bCs w:val="1"/>
                <w:color w:val="auto"/>
                <w:w w:val="89"/>
              </w:rPr>
              <w:t>accumulated</w:t>
            </w: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94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60" w:type="dxa"/>
            <w:vAlign w:val="bottom"/>
            <w:gridSpan w:val="2"/>
          </w:tcPr>
          <w:p>
            <w:pPr>
              <w:jc w:val="center"/>
              <w:ind w:right="300"/>
              <w:spacing w:after="0"/>
              <w:rPr>
                <w:sz w:val="20"/>
                <w:szCs w:val="20"/>
                <w:color w:val="auto"/>
              </w:rPr>
            </w:pPr>
            <w:r>
              <w:rPr>
                <w:rFonts w:ascii="Arial" w:cs="Arial" w:eastAsia="Arial" w:hAnsi="Arial"/>
                <w:sz w:val="18"/>
                <w:szCs w:val="18"/>
                <w:b w:val="1"/>
                <w:bCs w:val="1"/>
                <w:color w:val="auto"/>
                <w:w w:val="93"/>
              </w:rPr>
              <w:t>Additional</w:t>
            </w: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80" w:type="dxa"/>
            <w:vAlign w:val="bottom"/>
            <w:gridSpan w:val="2"/>
          </w:tcPr>
          <w:p>
            <w:pPr>
              <w:jc w:val="center"/>
              <w:ind w:right="320"/>
              <w:spacing w:after="0"/>
              <w:rPr>
                <w:sz w:val="20"/>
                <w:szCs w:val="20"/>
                <w:color w:val="auto"/>
              </w:rPr>
            </w:pPr>
            <w:r>
              <w:rPr>
                <w:rFonts w:ascii="Arial" w:cs="Arial" w:eastAsia="Arial" w:hAnsi="Arial"/>
                <w:sz w:val="18"/>
                <w:szCs w:val="18"/>
                <w:b w:val="1"/>
                <w:bCs w:val="1"/>
                <w:color w:val="auto"/>
                <w:w w:val="93"/>
              </w:rPr>
              <w:t>during the</w:t>
            </w: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41"/>
        </w:trPr>
        <w:tc>
          <w:tcPr>
            <w:tcW w:w="20" w:type="dxa"/>
            <w:vAlign w:val="bottom"/>
          </w:tcPr>
          <w:p>
            <w:pPr>
              <w:spacing w:after="0"/>
              <w:rPr>
                <w:sz w:val="20"/>
                <w:szCs w:val="20"/>
                <w:color w:val="auto"/>
              </w:rPr>
            </w:pPr>
          </w:p>
        </w:tc>
        <w:tc>
          <w:tcPr>
            <w:tcW w:w="1940" w:type="dxa"/>
            <w:vAlign w:val="bottom"/>
          </w:tcPr>
          <w:p>
            <w:pPr>
              <w:spacing w:after="0"/>
              <w:rPr>
                <w:sz w:val="20"/>
                <w:szCs w:val="20"/>
                <w:color w:val="auto"/>
              </w:rPr>
            </w:pPr>
          </w:p>
        </w:tc>
        <w:tc>
          <w:tcPr>
            <w:tcW w:w="2520" w:type="dxa"/>
            <w:vAlign w:val="bottom"/>
            <w:tcBorders>
              <w:bottom w:val="single" w:sz="8" w:color="auto"/>
            </w:tcBorders>
            <w:gridSpan w:val="4"/>
          </w:tcPr>
          <w:p>
            <w:pPr>
              <w:jc w:val="right"/>
              <w:ind w:right="630"/>
              <w:spacing w:after="0"/>
              <w:rPr>
                <w:sz w:val="20"/>
                <w:szCs w:val="20"/>
                <w:color w:val="auto"/>
              </w:rPr>
            </w:pPr>
            <w:r>
              <w:rPr>
                <w:rFonts w:ascii="Arial" w:cs="Arial" w:eastAsia="Arial" w:hAnsi="Arial"/>
                <w:sz w:val="18"/>
                <w:szCs w:val="18"/>
                <w:b w:val="1"/>
                <w:bCs w:val="1"/>
                <w:color w:val="auto"/>
              </w:rPr>
              <w:t>Common Stock</w:t>
            </w:r>
          </w:p>
        </w:tc>
        <w:tc>
          <w:tcPr>
            <w:tcW w:w="220" w:type="dxa"/>
            <w:vAlign w:val="bottom"/>
          </w:tcPr>
          <w:p>
            <w:pPr>
              <w:spacing w:after="0"/>
              <w:rPr>
                <w:sz w:val="20"/>
                <w:szCs w:val="20"/>
                <w:color w:val="auto"/>
              </w:rPr>
            </w:pPr>
          </w:p>
        </w:tc>
        <w:tc>
          <w:tcPr>
            <w:tcW w:w="2300" w:type="dxa"/>
            <w:vAlign w:val="bottom"/>
            <w:tcBorders>
              <w:bottom w:val="single" w:sz="8" w:color="auto"/>
            </w:tcBorders>
            <w:gridSpan w:val="3"/>
          </w:tcPr>
          <w:p>
            <w:pPr>
              <w:jc w:val="right"/>
              <w:ind w:right="410"/>
              <w:spacing w:after="0"/>
              <w:rPr>
                <w:sz w:val="20"/>
                <w:szCs w:val="20"/>
                <w:color w:val="auto"/>
              </w:rPr>
            </w:pPr>
            <w:r>
              <w:rPr>
                <w:rFonts w:ascii="Arial" w:cs="Arial" w:eastAsia="Arial" w:hAnsi="Arial"/>
                <w:sz w:val="18"/>
                <w:szCs w:val="18"/>
                <w:b w:val="1"/>
                <w:bCs w:val="1"/>
                <w:color w:val="auto"/>
              </w:rPr>
              <w:t>Preferred Stock</w:t>
            </w:r>
          </w:p>
        </w:tc>
        <w:tc>
          <w:tcPr>
            <w:tcW w:w="180" w:type="dxa"/>
            <w:vAlign w:val="bottom"/>
            <w:tcBorders>
              <w:bottom w:val="single" w:sz="8" w:color="auto"/>
            </w:tcBorders>
          </w:tcPr>
          <w:p>
            <w:pPr>
              <w:spacing w:after="0"/>
              <w:rPr>
                <w:sz w:val="20"/>
                <w:szCs w:val="20"/>
                <w:color w:val="auto"/>
              </w:rPr>
            </w:pPr>
          </w:p>
        </w:tc>
        <w:tc>
          <w:tcPr>
            <w:tcW w:w="2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160" w:type="dxa"/>
            <w:vAlign w:val="bottom"/>
            <w:gridSpan w:val="2"/>
          </w:tcPr>
          <w:p>
            <w:pPr>
              <w:jc w:val="center"/>
              <w:ind w:right="300"/>
              <w:spacing w:after="0"/>
              <w:rPr>
                <w:sz w:val="20"/>
                <w:szCs w:val="20"/>
                <w:color w:val="auto"/>
              </w:rPr>
            </w:pPr>
            <w:r>
              <w:rPr>
                <w:rFonts w:ascii="Arial" w:cs="Arial" w:eastAsia="Arial" w:hAnsi="Arial"/>
                <w:sz w:val="18"/>
                <w:szCs w:val="18"/>
                <w:b w:val="1"/>
                <w:bCs w:val="1"/>
                <w:color w:val="auto"/>
                <w:w w:val="89"/>
              </w:rPr>
              <w:t>Paid</w:t>
            </w:r>
          </w:p>
        </w:tc>
        <w:tc>
          <w:tcPr>
            <w:tcW w:w="80" w:type="dxa"/>
            <w:vAlign w:val="bottom"/>
          </w:tcPr>
          <w:p>
            <w:pPr>
              <w:spacing w:after="0"/>
              <w:rPr>
                <w:sz w:val="20"/>
                <w:szCs w:val="20"/>
                <w:color w:val="auto"/>
              </w:rPr>
            </w:pPr>
          </w:p>
        </w:tc>
        <w:tc>
          <w:tcPr>
            <w:tcW w:w="1300" w:type="dxa"/>
            <w:vAlign w:val="bottom"/>
            <w:gridSpan w:val="3"/>
          </w:tcPr>
          <w:p>
            <w:pPr>
              <w:jc w:val="center"/>
              <w:ind w:right="200"/>
              <w:spacing w:after="0"/>
              <w:rPr>
                <w:sz w:val="20"/>
                <w:szCs w:val="20"/>
                <w:color w:val="auto"/>
              </w:rPr>
            </w:pPr>
            <w:r>
              <w:rPr>
                <w:rFonts w:ascii="Arial" w:cs="Arial" w:eastAsia="Arial" w:hAnsi="Arial"/>
                <w:sz w:val="18"/>
                <w:szCs w:val="18"/>
                <w:b w:val="1"/>
                <w:bCs w:val="1"/>
                <w:color w:val="auto"/>
                <w:w w:val="88"/>
              </w:rPr>
              <w:t>development</w:t>
            </w:r>
          </w:p>
        </w:tc>
        <w:tc>
          <w:tcPr>
            <w:tcW w:w="1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1940" w:type="dxa"/>
            <w:vAlign w:val="bottom"/>
          </w:tcPr>
          <w:p>
            <w:pPr>
              <w:spacing w:after="0"/>
              <w:rPr>
                <w:sz w:val="19"/>
                <w:szCs w:val="19"/>
                <w:color w:val="auto"/>
              </w:rPr>
            </w:pPr>
          </w:p>
        </w:tc>
        <w:tc>
          <w:tcPr>
            <w:tcW w:w="1160" w:type="dxa"/>
            <w:vAlign w:val="bottom"/>
            <w:tcBorders>
              <w:bottom w:val="single" w:sz="8" w:color="auto"/>
            </w:tcBorders>
          </w:tcPr>
          <w:p>
            <w:pPr>
              <w:jc w:val="right"/>
              <w:ind w:right="250"/>
              <w:spacing w:after="0"/>
              <w:rPr>
                <w:sz w:val="20"/>
                <w:szCs w:val="20"/>
                <w:color w:val="auto"/>
              </w:rPr>
            </w:pPr>
            <w:r>
              <w:rPr>
                <w:rFonts w:ascii="Arial" w:cs="Arial" w:eastAsia="Arial" w:hAnsi="Arial"/>
                <w:sz w:val="18"/>
                <w:szCs w:val="18"/>
                <w:b w:val="1"/>
                <w:bCs w:val="1"/>
                <w:color w:val="auto"/>
              </w:rPr>
              <w:t>Shares</w:t>
            </w:r>
          </w:p>
        </w:tc>
        <w:tc>
          <w:tcPr>
            <w:tcW w:w="220" w:type="dxa"/>
            <w:vAlign w:val="bottom"/>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ind w:right="170"/>
              <w:spacing w:after="0"/>
              <w:rPr>
                <w:sz w:val="20"/>
                <w:szCs w:val="20"/>
                <w:color w:val="auto"/>
              </w:rPr>
            </w:pPr>
            <w:r>
              <w:rPr>
                <w:rFonts w:ascii="Arial" w:cs="Arial" w:eastAsia="Arial" w:hAnsi="Arial"/>
                <w:sz w:val="18"/>
                <w:szCs w:val="18"/>
                <w:b w:val="1"/>
                <w:bCs w:val="1"/>
                <w:color w:val="auto"/>
              </w:rPr>
              <w:t>Amount</w:t>
            </w:r>
          </w:p>
        </w:tc>
        <w:tc>
          <w:tcPr>
            <w:tcW w:w="220" w:type="dxa"/>
            <w:vAlign w:val="bottom"/>
          </w:tcPr>
          <w:p>
            <w:pPr>
              <w:spacing w:after="0"/>
              <w:rPr>
                <w:sz w:val="19"/>
                <w:szCs w:val="19"/>
                <w:color w:val="auto"/>
              </w:rPr>
            </w:pPr>
          </w:p>
        </w:tc>
        <w:tc>
          <w:tcPr>
            <w:tcW w:w="1120" w:type="dxa"/>
            <w:vAlign w:val="bottom"/>
            <w:tcBorders>
              <w:bottom w:val="single" w:sz="8" w:color="auto"/>
            </w:tcBorders>
          </w:tcPr>
          <w:p>
            <w:pPr>
              <w:jc w:val="right"/>
              <w:ind w:right="230"/>
              <w:spacing w:after="0"/>
              <w:rPr>
                <w:sz w:val="20"/>
                <w:szCs w:val="20"/>
                <w:color w:val="auto"/>
              </w:rPr>
            </w:pPr>
            <w:r>
              <w:rPr>
                <w:rFonts w:ascii="Arial" w:cs="Arial" w:eastAsia="Arial" w:hAnsi="Arial"/>
                <w:sz w:val="18"/>
                <w:szCs w:val="18"/>
                <w:b w:val="1"/>
                <w:bCs w:val="1"/>
                <w:color w:val="auto"/>
              </w:rPr>
              <w:t>Shares</w:t>
            </w:r>
          </w:p>
        </w:tc>
        <w:tc>
          <w:tcPr>
            <w:tcW w:w="220" w:type="dxa"/>
            <w:vAlign w:val="bottom"/>
          </w:tcPr>
          <w:p>
            <w:pPr>
              <w:spacing w:after="0"/>
              <w:rPr>
                <w:sz w:val="19"/>
                <w:szCs w:val="19"/>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Amount</w:t>
            </w:r>
          </w:p>
        </w:tc>
        <w:tc>
          <w:tcPr>
            <w:tcW w:w="180" w:type="dxa"/>
            <w:vAlign w:val="bottom"/>
            <w:tcBorders>
              <w:bottom w:val="single" w:sz="8" w:color="auto"/>
            </w:tcBorders>
          </w:tcPr>
          <w:p>
            <w:pPr>
              <w:spacing w:after="0"/>
              <w:rPr>
                <w:sz w:val="19"/>
                <w:szCs w:val="19"/>
                <w:color w:val="auto"/>
              </w:rPr>
            </w:pPr>
          </w:p>
        </w:tc>
        <w:tc>
          <w:tcPr>
            <w:tcW w:w="220" w:type="dxa"/>
            <w:vAlign w:val="bottom"/>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center"/>
              <w:ind w:right="70"/>
              <w:spacing w:after="0"/>
              <w:rPr>
                <w:sz w:val="20"/>
                <w:szCs w:val="20"/>
                <w:color w:val="auto"/>
              </w:rPr>
            </w:pPr>
            <w:r>
              <w:rPr>
                <w:rFonts w:ascii="Arial" w:cs="Arial" w:eastAsia="Arial" w:hAnsi="Arial"/>
                <w:sz w:val="18"/>
                <w:szCs w:val="18"/>
                <w:b w:val="1"/>
                <w:bCs w:val="1"/>
                <w:color w:val="auto"/>
                <w:w w:val="93"/>
              </w:rPr>
              <w:t>in Capital</w:t>
            </w:r>
          </w:p>
        </w:tc>
        <w:tc>
          <w:tcPr>
            <w:tcW w:w="1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center"/>
              <w:ind w:right="70"/>
              <w:spacing w:after="0"/>
              <w:rPr>
                <w:sz w:val="20"/>
                <w:szCs w:val="20"/>
                <w:color w:val="auto"/>
              </w:rPr>
            </w:pPr>
            <w:r>
              <w:rPr>
                <w:rFonts w:ascii="Arial" w:cs="Arial" w:eastAsia="Arial" w:hAnsi="Arial"/>
                <w:sz w:val="18"/>
                <w:szCs w:val="18"/>
                <w:b w:val="1"/>
                <w:bCs w:val="1"/>
                <w:color w:val="auto"/>
                <w:w w:val="80"/>
              </w:rPr>
              <w:t>stage</w:t>
            </w:r>
          </w:p>
        </w:tc>
        <w:tc>
          <w:tcPr>
            <w:tcW w:w="1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ind w:right="310"/>
              <w:spacing w:after="0"/>
              <w:rPr>
                <w:sz w:val="20"/>
                <w:szCs w:val="20"/>
                <w:color w:val="auto"/>
              </w:rPr>
            </w:pPr>
            <w:r>
              <w:rPr>
                <w:rFonts w:ascii="Arial" w:cs="Arial" w:eastAsia="Arial" w:hAnsi="Arial"/>
                <w:sz w:val="18"/>
                <w:szCs w:val="18"/>
                <w:b w:val="1"/>
                <w:bCs w:val="1"/>
                <w:color w:val="auto"/>
              </w:rPr>
              <w:t>Total</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940" w:type="dxa"/>
            <w:vAlign w:val="bottom"/>
            <w:shd w:val="clear" w:color="auto" w:fill="EEEEEE"/>
          </w:tcPr>
          <w:p>
            <w:pPr>
              <w:spacing w:after="0"/>
              <w:rPr>
                <w:sz w:val="20"/>
                <w:szCs w:val="20"/>
                <w:color w:val="auto"/>
              </w:rPr>
            </w:pPr>
            <w:r>
              <w:rPr>
                <w:rFonts w:ascii="Arial" w:cs="Arial" w:eastAsia="Arial" w:hAnsi="Arial"/>
                <w:sz w:val="18"/>
                <w:szCs w:val="18"/>
                <w:color w:val="auto"/>
                <w:w w:val="94"/>
              </w:rPr>
              <w:t>Balance, January 1, 2007</w:t>
            </w:r>
          </w:p>
        </w:tc>
        <w:tc>
          <w:tcPr>
            <w:tcW w:w="1160" w:type="dxa"/>
            <w:vAlign w:val="bottom"/>
            <w:shd w:val="clear" w:color="auto" w:fill="EEEEEE"/>
          </w:tcPr>
          <w:p>
            <w:pPr>
              <w:jc w:val="right"/>
              <w:spacing w:after="0"/>
              <w:rPr>
                <w:sz w:val="20"/>
                <w:szCs w:val="20"/>
                <w:color w:val="auto"/>
              </w:rPr>
            </w:pPr>
            <w:r>
              <w:rPr>
                <w:rFonts w:ascii="Arial" w:cs="Arial" w:eastAsia="Arial" w:hAnsi="Arial"/>
                <w:sz w:val="18"/>
                <w:szCs w:val="18"/>
                <w:color w:val="auto"/>
              </w:rPr>
              <w:t>0</w:t>
            </w:r>
          </w:p>
        </w:tc>
        <w:tc>
          <w:tcPr>
            <w:tcW w:w="220" w:type="dxa"/>
            <w:vAlign w:val="bottom"/>
            <w:shd w:val="clear" w:color="auto" w:fill="EEEEEE"/>
          </w:tcPr>
          <w:p>
            <w:pPr>
              <w:spacing w:after="0"/>
              <w:rPr>
                <w:sz w:val="18"/>
                <w:szCs w:val="18"/>
                <w:color w:val="auto"/>
              </w:rPr>
            </w:pPr>
          </w:p>
        </w:tc>
        <w:tc>
          <w:tcPr>
            <w:tcW w:w="160" w:type="dxa"/>
            <w:vAlign w:val="bottom"/>
            <w:shd w:val="clear" w:color="auto" w:fill="EEEEEE"/>
          </w:tcPr>
          <w:p>
            <w:pPr>
              <w:spacing w:after="0"/>
              <w:rPr>
                <w:sz w:val="18"/>
                <w:szCs w:val="18"/>
                <w:color w:val="auto"/>
              </w:rPr>
            </w:pPr>
          </w:p>
        </w:tc>
        <w:tc>
          <w:tcPr>
            <w:tcW w:w="980" w:type="dxa"/>
            <w:vAlign w:val="bottom"/>
            <w:shd w:val="clear" w:color="auto" w:fill="EEEEEE"/>
          </w:tcPr>
          <w:p>
            <w:pPr>
              <w:jc w:val="right"/>
              <w:spacing w:after="0"/>
              <w:rPr>
                <w:sz w:val="20"/>
                <w:szCs w:val="20"/>
                <w:color w:val="auto"/>
              </w:rPr>
            </w:pPr>
            <w:r>
              <w:rPr>
                <w:rFonts w:ascii="Arial" w:cs="Arial" w:eastAsia="Arial" w:hAnsi="Arial"/>
                <w:sz w:val="18"/>
                <w:szCs w:val="18"/>
                <w:color w:val="auto"/>
              </w:rPr>
              <w:t>0</w:t>
            </w:r>
          </w:p>
        </w:tc>
        <w:tc>
          <w:tcPr>
            <w:tcW w:w="1340" w:type="dxa"/>
            <w:vAlign w:val="bottom"/>
            <w:gridSpan w:val="2"/>
            <w:shd w:val="clear" w:color="auto" w:fill="EEEEEE"/>
          </w:tcPr>
          <w:p>
            <w:pPr>
              <w:jc w:val="right"/>
              <w:spacing w:after="0"/>
              <w:rPr>
                <w:sz w:val="20"/>
                <w:szCs w:val="20"/>
                <w:color w:val="auto"/>
              </w:rPr>
            </w:pPr>
            <w:r>
              <w:rPr>
                <w:rFonts w:ascii="Arial" w:cs="Arial" w:eastAsia="Arial" w:hAnsi="Arial"/>
                <w:sz w:val="18"/>
                <w:szCs w:val="18"/>
                <w:color w:val="auto"/>
              </w:rPr>
              <w:t>0</w:t>
            </w:r>
          </w:p>
        </w:tc>
        <w:tc>
          <w:tcPr>
            <w:tcW w:w="220" w:type="dxa"/>
            <w:vAlign w:val="bottom"/>
            <w:shd w:val="clear" w:color="auto" w:fill="EEEEEE"/>
          </w:tcPr>
          <w:p>
            <w:pPr>
              <w:spacing w:after="0"/>
              <w:rPr>
                <w:sz w:val="18"/>
                <w:szCs w:val="18"/>
                <w:color w:val="auto"/>
              </w:rPr>
            </w:pPr>
          </w:p>
        </w:tc>
        <w:tc>
          <w:tcPr>
            <w:tcW w:w="960" w:type="dxa"/>
            <w:vAlign w:val="bottom"/>
            <w:shd w:val="clear" w:color="auto" w:fill="EEEEEE"/>
          </w:tcPr>
          <w:p>
            <w:pPr>
              <w:spacing w:after="0"/>
              <w:rPr>
                <w:sz w:val="18"/>
                <w:szCs w:val="18"/>
                <w:color w:val="auto"/>
              </w:rPr>
            </w:pPr>
          </w:p>
        </w:tc>
        <w:tc>
          <w:tcPr>
            <w:tcW w:w="180" w:type="dxa"/>
            <w:vAlign w:val="bottom"/>
            <w:shd w:val="clear" w:color="auto" w:fill="EEEEEE"/>
          </w:tcPr>
          <w:p>
            <w:pPr>
              <w:jc w:val="right"/>
              <w:spacing w:after="0"/>
              <w:rPr>
                <w:sz w:val="20"/>
                <w:szCs w:val="20"/>
                <w:color w:val="auto"/>
              </w:rPr>
            </w:pPr>
            <w:r>
              <w:rPr>
                <w:rFonts w:ascii="Arial" w:cs="Arial" w:eastAsia="Arial" w:hAnsi="Arial"/>
                <w:sz w:val="18"/>
                <w:szCs w:val="18"/>
                <w:color w:val="auto"/>
              </w:rPr>
              <w:t>0</w:t>
            </w:r>
          </w:p>
        </w:tc>
        <w:tc>
          <w:tcPr>
            <w:tcW w:w="220" w:type="dxa"/>
            <w:vAlign w:val="bottom"/>
            <w:shd w:val="clear" w:color="auto" w:fill="EEEEEE"/>
          </w:tcPr>
          <w:p>
            <w:pPr>
              <w:spacing w:after="0"/>
              <w:rPr>
                <w:sz w:val="18"/>
                <w:szCs w:val="18"/>
                <w:color w:val="auto"/>
              </w:rPr>
            </w:pPr>
          </w:p>
        </w:tc>
        <w:tc>
          <w:tcPr>
            <w:tcW w:w="120" w:type="dxa"/>
            <w:vAlign w:val="bottom"/>
            <w:shd w:val="clear" w:color="auto" w:fill="EEEEEE"/>
          </w:tcPr>
          <w:p>
            <w:pPr>
              <w:spacing w:after="0"/>
              <w:rPr>
                <w:sz w:val="18"/>
                <w:szCs w:val="18"/>
                <w:color w:val="auto"/>
              </w:rPr>
            </w:pPr>
          </w:p>
        </w:tc>
        <w:tc>
          <w:tcPr>
            <w:tcW w:w="1000" w:type="dxa"/>
            <w:vAlign w:val="bottom"/>
            <w:shd w:val="clear" w:color="auto" w:fill="EEEEEE"/>
          </w:tcPr>
          <w:p>
            <w:pPr>
              <w:spacing w:after="0"/>
              <w:rPr>
                <w:sz w:val="18"/>
                <w:szCs w:val="18"/>
                <w:color w:val="auto"/>
              </w:rPr>
            </w:pPr>
          </w:p>
        </w:tc>
        <w:tc>
          <w:tcPr>
            <w:tcW w:w="160" w:type="dxa"/>
            <w:vAlign w:val="bottom"/>
            <w:shd w:val="clear" w:color="auto" w:fill="EEEEEE"/>
          </w:tcPr>
          <w:p>
            <w:pPr>
              <w:spacing w:after="0"/>
              <w:rPr>
                <w:sz w:val="18"/>
                <w:szCs w:val="18"/>
                <w:color w:val="auto"/>
              </w:rPr>
            </w:pPr>
          </w:p>
        </w:tc>
        <w:tc>
          <w:tcPr>
            <w:tcW w:w="80" w:type="dxa"/>
            <w:vAlign w:val="bottom"/>
            <w:shd w:val="clear" w:color="auto" w:fill="EEEEEE"/>
          </w:tcPr>
          <w:p>
            <w:pPr>
              <w:spacing w:after="0"/>
              <w:rPr>
                <w:sz w:val="18"/>
                <w:szCs w:val="18"/>
                <w:color w:val="auto"/>
              </w:rPr>
            </w:pPr>
          </w:p>
        </w:tc>
        <w:tc>
          <w:tcPr>
            <w:tcW w:w="120" w:type="dxa"/>
            <w:vAlign w:val="bottom"/>
            <w:shd w:val="clear" w:color="auto" w:fill="EEEEEE"/>
          </w:tcPr>
          <w:p>
            <w:pPr>
              <w:spacing w:after="0"/>
              <w:rPr>
                <w:sz w:val="18"/>
                <w:szCs w:val="18"/>
                <w:color w:val="auto"/>
              </w:rPr>
            </w:pPr>
          </w:p>
        </w:tc>
        <w:tc>
          <w:tcPr>
            <w:tcW w:w="1020" w:type="dxa"/>
            <w:vAlign w:val="bottom"/>
            <w:shd w:val="clear" w:color="auto" w:fill="EEEEEE"/>
          </w:tcPr>
          <w:p>
            <w:pPr>
              <w:jc w:val="right"/>
              <w:spacing w:after="0"/>
              <w:rPr>
                <w:sz w:val="20"/>
                <w:szCs w:val="20"/>
                <w:color w:val="auto"/>
              </w:rPr>
            </w:pPr>
            <w:r>
              <w:rPr>
                <w:rFonts w:ascii="Arial" w:cs="Arial" w:eastAsia="Arial" w:hAnsi="Arial"/>
                <w:sz w:val="18"/>
                <w:szCs w:val="18"/>
                <w:color w:val="auto"/>
              </w:rPr>
              <w:t>40,289</w:t>
            </w:r>
          </w:p>
        </w:tc>
        <w:tc>
          <w:tcPr>
            <w:tcW w:w="160" w:type="dxa"/>
            <w:vAlign w:val="bottom"/>
            <w:shd w:val="clear" w:color="auto" w:fill="EEEEEE"/>
          </w:tcPr>
          <w:p>
            <w:pPr>
              <w:spacing w:after="0"/>
              <w:rPr>
                <w:sz w:val="18"/>
                <w:szCs w:val="18"/>
                <w:color w:val="auto"/>
              </w:rPr>
            </w:pPr>
          </w:p>
        </w:tc>
        <w:tc>
          <w:tcPr>
            <w:tcW w:w="120" w:type="dxa"/>
            <w:vAlign w:val="bottom"/>
            <w:shd w:val="clear" w:color="auto" w:fill="EEEEEE"/>
          </w:tcPr>
          <w:p>
            <w:pPr>
              <w:spacing w:after="0"/>
              <w:rPr>
                <w:sz w:val="18"/>
                <w:szCs w:val="18"/>
                <w:color w:val="auto"/>
              </w:rPr>
            </w:pPr>
          </w:p>
        </w:tc>
        <w:tc>
          <w:tcPr>
            <w:tcW w:w="220" w:type="dxa"/>
            <w:vAlign w:val="bottom"/>
            <w:shd w:val="clear" w:color="auto" w:fill="EEEEEE"/>
          </w:tcPr>
          <w:p>
            <w:pPr>
              <w:spacing w:after="0"/>
              <w:rPr>
                <w:sz w:val="18"/>
                <w:szCs w:val="18"/>
                <w:color w:val="auto"/>
              </w:rPr>
            </w:pPr>
          </w:p>
        </w:tc>
        <w:tc>
          <w:tcPr>
            <w:tcW w:w="920" w:type="dxa"/>
            <w:vAlign w:val="bottom"/>
            <w:shd w:val="clear" w:color="auto" w:fill="EEEEEE"/>
          </w:tcPr>
          <w:p>
            <w:pPr>
              <w:jc w:val="right"/>
              <w:spacing w:after="0"/>
              <w:rPr>
                <w:sz w:val="20"/>
                <w:szCs w:val="20"/>
                <w:color w:val="auto"/>
              </w:rPr>
            </w:pPr>
            <w:r>
              <w:rPr>
                <w:rFonts w:ascii="Arial" w:cs="Arial" w:eastAsia="Arial" w:hAnsi="Arial"/>
                <w:sz w:val="18"/>
                <w:szCs w:val="18"/>
                <w:color w:val="auto"/>
              </w:rPr>
              <w:t>40,289</w:t>
            </w:r>
          </w:p>
        </w:tc>
        <w:tc>
          <w:tcPr>
            <w:tcW w:w="100" w:type="dxa"/>
            <w:vAlign w:val="bottom"/>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194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1940" w:type="dxa"/>
            <w:vAlign w:val="bottom"/>
            <w:shd w:val="clear" w:color="auto" w:fill="EEEEEE"/>
          </w:tcPr>
          <w:p>
            <w:pPr>
              <w:spacing w:after="0"/>
              <w:rPr>
                <w:sz w:val="20"/>
                <w:szCs w:val="20"/>
                <w:color w:val="auto"/>
              </w:rPr>
            </w:pPr>
            <w:r>
              <w:rPr>
                <w:rFonts w:ascii="Arial" w:cs="Arial" w:eastAsia="Arial" w:hAnsi="Arial"/>
                <w:sz w:val="18"/>
                <w:szCs w:val="18"/>
                <w:color w:val="auto"/>
              </w:rPr>
              <w:t>Member Contributions</w:t>
            </w:r>
          </w:p>
        </w:tc>
        <w:tc>
          <w:tcPr>
            <w:tcW w:w="1160" w:type="dxa"/>
            <w:vAlign w:val="bottom"/>
            <w:shd w:val="clear" w:color="auto" w:fill="EEEEEE"/>
          </w:tcPr>
          <w:p>
            <w:pPr>
              <w:spacing w:after="0"/>
              <w:rPr>
                <w:sz w:val="18"/>
                <w:szCs w:val="18"/>
                <w:color w:val="auto"/>
              </w:rPr>
            </w:pPr>
          </w:p>
        </w:tc>
        <w:tc>
          <w:tcPr>
            <w:tcW w:w="220" w:type="dxa"/>
            <w:vAlign w:val="bottom"/>
            <w:shd w:val="clear" w:color="auto" w:fill="EEEEEE"/>
          </w:tcPr>
          <w:p>
            <w:pPr>
              <w:spacing w:after="0"/>
              <w:rPr>
                <w:sz w:val="18"/>
                <w:szCs w:val="18"/>
                <w:color w:val="auto"/>
              </w:rPr>
            </w:pPr>
          </w:p>
        </w:tc>
        <w:tc>
          <w:tcPr>
            <w:tcW w:w="160" w:type="dxa"/>
            <w:vAlign w:val="bottom"/>
            <w:shd w:val="clear" w:color="auto" w:fill="EEEEEE"/>
          </w:tcPr>
          <w:p>
            <w:pPr>
              <w:spacing w:after="0"/>
              <w:rPr>
                <w:sz w:val="18"/>
                <w:szCs w:val="18"/>
                <w:color w:val="auto"/>
              </w:rPr>
            </w:pPr>
          </w:p>
        </w:tc>
        <w:tc>
          <w:tcPr>
            <w:tcW w:w="980" w:type="dxa"/>
            <w:vAlign w:val="bottom"/>
            <w:shd w:val="clear" w:color="auto" w:fill="EEEEEE"/>
          </w:tcPr>
          <w:p>
            <w:pPr>
              <w:spacing w:after="0"/>
              <w:rPr>
                <w:sz w:val="18"/>
                <w:szCs w:val="18"/>
                <w:color w:val="auto"/>
              </w:rPr>
            </w:pPr>
          </w:p>
        </w:tc>
        <w:tc>
          <w:tcPr>
            <w:tcW w:w="220" w:type="dxa"/>
            <w:vAlign w:val="bottom"/>
            <w:shd w:val="clear" w:color="auto" w:fill="EEEEEE"/>
          </w:tcPr>
          <w:p>
            <w:pPr>
              <w:spacing w:after="0"/>
              <w:rPr>
                <w:sz w:val="18"/>
                <w:szCs w:val="18"/>
                <w:color w:val="auto"/>
              </w:rPr>
            </w:pPr>
          </w:p>
        </w:tc>
        <w:tc>
          <w:tcPr>
            <w:tcW w:w="1120" w:type="dxa"/>
            <w:vAlign w:val="bottom"/>
            <w:shd w:val="clear" w:color="auto" w:fill="EEEEEE"/>
          </w:tcPr>
          <w:p>
            <w:pPr>
              <w:spacing w:after="0"/>
              <w:rPr>
                <w:sz w:val="18"/>
                <w:szCs w:val="18"/>
                <w:color w:val="auto"/>
              </w:rPr>
            </w:pPr>
          </w:p>
        </w:tc>
        <w:tc>
          <w:tcPr>
            <w:tcW w:w="220" w:type="dxa"/>
            <w:vAlign w:val="bottom"/>
            <w:shd w:val="clear" w:color="auto" w:fill="EEEEEE"/>
          </w:tcPr>
          <w:p>
            <w:pPr>
              <w:spacing w:after="0"/>
              <w:rPr>
                <w:sz w:val="18"/>
                <w:szCs w:val="18"/>
                <w:color w:val="auto"/>
              </w:rPr>
            </w:pPr>
          </w:p>
        </w:tc>
        <w:tc>
          <w:tcPr>
            <w:tcW w:w="960" w:type="dxa"/>
            <w:vAlign w:val="bottom"/>
            <w:shd w:val="clear" w:color="auto" w:fill="EEEEEE"/>
          </w:tcPr>
          <w:p>
            <w:pPr>
              <w:spacing w:after="0"/>
              <w:rPr>
                <w:sz w:val="18"/>
                <w:szCs w:val="18"/>
                <w:color w:val="auto"/>
              </w:rPr>
            </w:pPr>
          </w:p>
        </w:tc>
        <w:tc>
          <w:tcPr>
            <w:tcW w:w="180" w:type="dxa"/>
            <w:vAlign w:val="bottom"/>
            <w:shd w:val="clear" w:color="auto" w:fill="EEEEEE"/>
          </w:tcPr>
          <w:p>
            <w:pPr>
              <w:spacing w:after="0"/>
              <w:rPr>
                <w:sz w:val="18"/>
                <w:szCs w:val="18"/>
                <w:color w:val="auto"/>
              </w:rPr>
            </w:pPr>
          </w:p>
        </w:tc>
        <w:tc>
          <w:tcPr>
            <w:tcW w:w="220" w:type="dxa"/>
            <w:vAlign w:val="bottom"/>
            <w:shd w:val="clear" w:color="auto" w:fill="EEEEEE"/>
          </w:tcPr>
          <w:p>
            <w:pPr>
              <w:spacing w:after="0"/>
              <w:rPr>
                <w:sz w:val="18"/>
                <w:szCs w:val="18"/>
                <w:color w:val="auto"/>
              </w:rPr>
            </w:pPr>
          </w:p>
        </w:tc>
        <w:tc>
          <w:tcPr>
            <w:tcW w:w="120" w:type="dxa"/>
            <w:vAlign w:val="bottom"/>
            <w:shd w:val="clear" w:color="auto" w:fill="EEEEEE"/>
          </w:tcPr>
          <w:p>
            <w:pPr>
              <w:spacing w:after="0"/>
              <w:rPr>
                <w:sz w:val="18"/>
                <w:szCs w:val="18"/>
                <w:color w:val="auto"/>
              </w:rPr>
            </w:pPr>
          </w:p>
        </w:tc>
        <w:tc>
          <w:tcPr>
            <w:tcW w:w="1000" w:type="dxa"/>
            <w:vAlign w:val="bottom"/>
            <w:shd w:val="clear" w:color="auto" w:fill="EEEEEE"/>
          </w:tcPr>
          <w:p>
            <w:pPr>
              <w:spacing w:after="0"/>
              <w:rPr>
                <w:sz w:val="18"/>
                <w:szCs w:val="18"/>
                <w:color w:val="auto"/>
              </w:rPr>
            </w:pPr>
          </w:p>
        </w:tc>
        <w:tc>
          <w:tcPr>
            <w:tcW w:w="160" w:type="dxa"/>
            <w:vAlign w:val="bottom"/>
            <w:shd w:val="clear" w:color="auto" w:fill="EEEEEE"/>
          </w:tcPr>
          <w:p>
            <w:pPr>
              <w:spacing w:after="0"/>
              <w:rPr>
                <w:sz w:val="18"/>
                <w:szCs w:val="18"/>
                <w:color w:val="auto"/>
              </w:rPr>
            </w:pPr>
          </w:p>
        </w:tc>
        <w:tc>
          <w:tcPr>
            <w:tcW w:w="80" w:type="dxa"/>
            <w:vAlign w:val="bottom"/>
            <w:shd w:val="clear" w:color="auto" w:fill="EEEEEE"/>
          </w:tcPr>
          <w:p>
            <w:pPr>
              <w:spacing w:after="0"/>
              <w:rPr>
                <w:sz w:val="18"/>
                <w:szCs w:val="18"/>
                <w:color w:val="auto"/>
              </w:rPr>
            </w:pPr>
          </w:p>
        </w:tc>
        <w:tc>
          <w:tcPr>
            <w:tcW w:w="120" w:type="dxa"/>
            <w:vAlign w:val="bottom"/>
            <w:shd w:val="clear" w:color="auto" w:fill="EEEEEE"/>
          </w:tcPr>
          <w:p>
            <w:pPr>
              <w:spacing w:after="0"/>
              <w:rPr>
                <w:sz w:val="18"/>
                <w:szCs w:val="18"/>
                <w:color w:val="auto"/>
              </w:rPr>
            </w:pPr>
          </w:p>
        </w:tc>
        <w:tc>
          <w:tcPr>
            <w:tcW w:w="1020" w:type="dxa"/>
            <w:vAlign w:val="bottom"/>
            <w:shd w:val="clear" w:color="auto" w:fill="EEEEEE"/>
          </w:tcPr>
          <w:p>
            <w:pPr>
              <w:jc w:val="right"/>
              <w:spacing w:after="0"/>
              <w:rPr>
                <w:sz w:val="20"/>
                <w:szCs w:val="20"/>
                <w:color w:val="auto"/>
              </w:rPr>
            </w:pPr>
            <w:r>
              <w:rPr>
                <w:rFonts w:ascii="Arial" w:cs="Arial" w:eastAsia="Arial" w:hAnsi="Arial"/>
                <w:sz w:val="18"/>
                <w:szCs w:val="18"/>
                <w:color w:val="auto"/>
              </w:rPr>
              <w:t>180,000</w:t>
            </w:r>
          </w:p>
        </w:tc>
        <w:tc>
          <w:tcPr>
            <w:tcW w:w="160" w:type="dxa"/>
            <w:vAlign w:val="bottom"/>
            <w:shd w:val="clear" w:color="auto" w:fill="EEEEEE"/>
          </w:tcPr>
          <w:p>
            <w:pPr>
              <w:spacing w:after="0"/>
              <w:rPr>
                <w:sz w:val="18"/>
                <w:szCs w:val="18"/>
                <w:color w:val="auto"/>
              </w:rPr>
            </w:pPr>
          </w:p>
        </w:tc>
        <w:tc>
          <w:tcPr>
            <w:tcW w:w="120" w:type="dxa"/>
            <w:vAlign w:val="bottom"/>
            <w:shd w:val="clear" w:color="auto" w:fill="EEEEEE"/>
          </w:tcPr>
          <w:p>
            <w:pPr>
              <w:spacing w:after="0"/>
              <w:rPr>
                <w:sz w:val="18"/>
                <w:szCs w:val="18"/>
                <w:color w:val="auto"/>
              </w:rPr>
            </w:pPr>
          </w:p>
        </w:tc>
        <w:tc>
          <w:tcPr>
            <w:tcW w:w="220" w:type="dxa"/>
            <w:vAlign w:val="bottom"/>
            <w:shd w:val="clear" w:color="auto" w:fill="EEEEEE"/>
          </w:tcPr>
          <w:p>
            <w:pPr>
              <w:spacing w:after="0"/>
              <w:rPr>
                <w:sz w:val="18"/>
                <w:szCs w:val="18"/>
                <w:color w:val="auto"/>
              </w:rPr>
            </w:pPr>
          </w:p>
        </w:tc>
        <w:tc>
          <w:tcPr>
            <w:tcW w:w="920" w:type="dxa"/>
            <w:vAlign w:val="bottom"/>
            <w:shd w:val="clear" w:color="auto" w:fill="EEEEEE"/>
          </w:tcPr>
          <w:p>
            <w:pPr>
              <w:jc w:val="right"/>
              <w:spacing w:after="0"/>
              <w:rPr>
                <w:sz w:val="20"/>
                <w:szCs w:val="20"/>
                <w:color w:val="auto"/>
              </w:rPr>
            </w:pPr>
            <w:r>
              <w:rPr>
                <w:rFonts w:ascii="Arial" w:cs="Arial" w:eastAsia="Arial" w:hAnsi="Arial"/>
                <w:sz w:val="18"/>
                <w:szCs w:val="18"/>
                <w:color w:val="auto"/>
              </w:rPr>
              <w:t>180,000</w:t>
            </w:r>
          </w:p>
        </w:tc>
        <w:tc>
          <w:tcPr>
            <w:tcW w:w="100" w:type="dxa"/>
            <w:vAlign w:val="bottom"/>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194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1940" w:type="dxa"/>
            <w:vAlign w:val="bottom"/>
            <w:shd w:val="clear" w:color="auto" w:fill="EEEEEE"/>
          </w:tcPr>
          <w:p>
            <w:pPr>
              <w:spacing w:after="0"/>
              <w:rPr>
                <w:sz w:val="20"/>
                <w:szCs w:val="20"/>
                <w:color w:val="auto"/>
              </w:rPr>
            </w:pPr>
            <w:r>
              <w:rPr>
                <w:rFonts w:ascii="Arial" w:cs="Arial" w:eastAsia="Arial" w:hAnsi="Arial"/>
                <w:sz w:val="18"/>
                <w:szCs w:val="18"/>
                <w:color w:val="auto"/>
              </w:rPr>
              <w:t>Member Distributions</w:t>
            </w:r>
          </w:p>
        </w:tc>
        <w:tc>
          <w:tcPr>
            <w:tcW w:w="1160" w:type="dxa"/>
            <w:vAlign w:val="bottom"/>
            <w:shd w:val="clear" w:color="auto" w:fill="EEEEEE"/>
          </w:tcPr>
          <w:p>
            <w:pPr>
              <w:spacing w:after="0"/>
              <w:rPr>
                <w:sz w:val="18"/>
                <w:szCs w:val="18"/>
                <w:color w:val="auto"/>
              </w:rPr>
            </w:pPr>
          </w:p>
        </w:tc>
        <w:tc>
          <w:tcPr>
            <w:tcW w:w="220" w:type="dxa"/>
            <w:vAlign w:val="bottom"/>
            <w:shd w:val="clear" w:color="auto" w:fill="EEEEEE"/>
          </w:tcPr>
          <w:p>
            <w:pPr>
              <w:spacing w:after="0"/>
              <w:rPr>
                <w:sz w:val="18"/>
                <w:szCs w:val="18"/>
                <w:color w:val="auto"/>
              </w:rPr>
            </w:pPr>
          </w:p>
        </w:tc>
        <w:tc>
          <w:tcPr>
            <w:tcW w:w="160" w:type="dxa"/>
            <w:vAlign w:val="bottom"/>
            <w:shd w:val="clear" w:color="auto" w:fill="EEEEEE"/>
          </w:tcPr>
          <w:p>
            <w:pPr>
              <w:spacing w:after="0"/>
              <w:rPr>
                <w:sz w:val="18"/>
                <w:szCs w:val="18"/>
                <w:color w:val="auto"/>
              </w:rPr>
            </w:pPr>
          </w:p>
        </w:tc>
        <w:tc>
          <w:tcPr>
            <w:tcW w:w="980" w:type="dxa"/>
            <w:vAlign w:val="bottom"/>
            <w:shd w:val="clear" w:color="auto" w:fill="EEEEEE"/>
          </w:tcPr>
          <w:p>
            <w:pPr>
              <w:spacing w:after="0"/>
              <w:rPr>
                <w:sz w:val="18"/>
                <w:szCs w:val="18"/>
                <w:color w:val="auto"/>
              </w:rPr>
            </w:pPr>
          </w:p>
        </w:tc>
        <w:tc>
          <w:tcPr>
            <w:tcW w:w="220" w:type="dxa"/>
            <w:vAlign w:val="bottom"/>
            <w:shd w:val="clear" w:color="auto" w:fill="EEEEEE"/>
          </w:tcPr>
          <w:p>
            <w:pPr>
              <w:spacing w:after="0"/>
              <w:rPr>
                <w:sz w:val="18"/>
                <w:szCs w:val="18"/>
                <w:color w:val="auto"/>
              </w:rPr>
            </w:pPr>
          </w:p>
        </w:tc>
        <w:tc>
          <w:tcPr>
            <w:tcW w:w="1120" w:type="dxa"/>
            <w:vAlign w:val="bottom"/>
            <w:shd w:val="clear" w:color="auto" w:fill="EEEEEE"/>
          </w:tcPr>
          <w:p>
            <w:pPr>
              <w:spacing w:after="0"/>
              <w:rPr>
                <w:sz w:val="18"/>
                <w:szCs w:val="18"/>
                <w:color w:val="auto"/>
              </w:rPr>
            </w:pPr>
          </w:p>
        </w:tc>
        <w:tc>
          <w:tcPr>
            <w:tcW w:w="220" w:type="dxa"/>
            <w:vAlign w:val="bottom"/>
            <w:shd w:val="clear" w:color="auto" w:fill="EEEEEE"/>
          </w:tcPr>
          <w:p>
            <w:pPr>
              <w:spacing w:after="0"/>
              <w:rPr>
                <w:sz w:val="18"/>
                <w:szCs w:val="18"/>
                <w:color w:val="auto"/>
              </w:rPr>
            </w:pPr>
          </w:p>
        </w:tc>
        <w:tc>
          <w:tcPr>
            <w:tcW w:w="960" w:type="dxa"/>
            <w:vAlign w:val="bottom"/>
            <w:shd w:val="clear" w:color="auto" w:fill="EEEEEE"/>
          </w:tcPr>
          <w:p>
            <w:pPr>
              <w:spacing w:after="0"/>
              <w:rPr>
                <w:sz w:val="18"/>
                <w:szCs w:val="18"/>
                <w:color w:val="auto"/>
              </w:rPr>
            </w:pPr>
          </w:p>
        </w:tc>
        <w:tc>
          <w:tcPr>
            <w:tcW w:w="180" w:type="dxa"/>
            <w:vAlign w:val="bottom"/>
            <w:shd w:val="clear" w:color="auto" w:fill="EEEEEE"/>
          </w:tcPr>
          <w:p>
            <w:pPr>
              <w:spacing w:after="0"/>
              <w:rPr>
                <w:sz w:val="18"/>
                <w:szCs w:val="18"/>
                <w:color w:val="auto"/>
              </w:rPr>
            </w:pPr>
          </w:p>
        </w:tc>
        <w:tc>
          <w:tcPr>
            <w:tcW w:w="220" w:type="dxa"/>
            <w:vAlign w:val="bottom"/>
            <w:shd w:val="clear" w:color="auto" w:fill="EEEEEE"/>
          </w:tcPr>
          <w:p>
            <w:pPr>
              <w:spacing w:after="0"/>
              <w:rPr>
                <w:sz w:val="18"/>
                <w:szCs w:val="18"/>
                <w:color w:val="auto"/>
              </w:rPr>
            </w:pPr>
          </w:p>
        </w:tc>
        <w:tc>
          <w:tcPr>
            <w:tcW w:w="120" w:type="dxa"/>
            <w:vAlign w:val="bottom"/>
            <w:shd w:val="clear" w:color="auto" w:fill="EEEEEE"/>
          </w:tcPr>
          <w:p>
            <w:pPr>
              <w:spacing w:after="0"/>
              <w:rPr>
                <w:sz w:val="18"/>
                <w:szCs w:val="18"/>
                <w:color w:val="auto"/>
              </w:rPr>
            </w:pPr>
          </w:p>
        </w:tc>
        <w:tc>
          <w:tcPr>
            <w:tcW w:w="1000" w:type="dxa"/>
            <w:vAlign w:val="bottom"/>
            <w:shd w:val="clear" w:color="auto" w:fill="EEEEEE"/>
          </w:tcPr>
          <w:p>
            <w:pPr>
              <w:spacing w:after="0"/>
              <w:rPr>
                <w:sz w:val="18"/>
                <w:szCs w:val="18"/>
                <w:color w:val="auto"/>
              </w:rPr>
            </w:pPr>
          </w:p>
        </w:tc>
        <w:tc>
          <w:tcPr>
            <w:tcW w:w="160" w:type="dxa"/>
            <w:vAlign w:val="bottom"/>
            <w:shd w:val="clear" w:color="auto" w:fill="EEEEEE"/>
          </w:tcPr>
          <w:p>
            <w:pPr>
              <w:spacing w:after="0"/>
              <w:rPr>
                <w:sz w:val="18"/>
                <w:szCs w:val="18"/>
                <w:color w:val="auto"/>
              </w:rPr>
            </w:pPr>
          </w:p>
        </w:tc>
        <w:tc>
          <w:tcPr>
            <w:tcW w:w="80" w:type="dxa"/>
            <w:vAlign w:val="bottom"/>
            <w:shd w:val="clear" w:color="auto" w:fill="EEEEEE"/>
          </w:tcPr>
          <w:p>
            <w:pPr>
              <w:spacing w:after="0"/>
              <w:rPr>
                <w:sz w:val="18"/>
                <w:szCs w:val="18"/>
                <w:color w:val="auto"/>
              </w:rPr>
            </w:pPr>
          </w:p>
        </w:tc>
        <w:tc>
          <w:tcPr>
            <w:tcW w:w="120" w:type="dxa"/>
            <w:vAlign w:val="bottom"/>
            <w:shd w:val="clear" w:color="auto" w:fill="EEEEEE"/>
          </w:tcPr>
          <w:p>
            <w:pPr>
              <w:spacing w:after="0"/>
              <w:rPr>
                <w:sz w:val="18"/>
                <w:szCs w:val="18"/>
                <w:color w:val="auto"/>
              </w:rPr>
            </w:pPr>
          </w:p>
        </w:tc>
        <w:tc>
          <w:tcPr>
            <w:tcW w:w="1180" w:type="dxa"/>
            <w:vAlign w:val="bottom"/>
            <w:gridSpan w:val="2"/>
            <w:shd w:val="clear" w:color="auto" w:fill="EEEEEE"/>
          </w:tcPr>
          <w:p>
            <w:pPr>
              <w:jc w:val="right"/>
              <w:ind w:right="100"/>
              <w:spacing w:after="0"/>
              <w:rPr>
                <w:sz w:val="20"/>
                <w:szCs w:val="20"/>
                <w:color w:val="auto"/>
              </w:rPr>
            </w:pPr>
            <w:r>
              <w:rPr>
                <w:rFonts w:ascii="Arial" w:cs="Arial" w:eastAsia="Arial" w:hAnsi="Arial"/>
                <w:sz w:val="18"/>
                <w:szCs w:val="18"/>
                <w:color w:val="auto"/>
              </w:rPr>
              <w:t>(253,750)</w:t>
            </w:r>
          </w:p>
        </w:tc>
        <w:tc>
          <w:tcPr>
            <w:tcW w:w="120" w:type="dxa"/>
            <w:vAlign w:val="bottom"/>
            <w:shd w:val="clear" w:color="auto" w:fill="EEEEEE"/>
          </w:tcPr>
          <w:p>
            <w:pPr>
              <w:spacing w:after="0"/>
              <w:rPr>
                <w:sz w:val="18"/>
                <w:szCs w:val="18"/>
                <w:color w:val="auto"/>
              </w:rPr>
            </w:pPr>
          </w:p>
        </w:tc>
        <w:tc>
          <w:tcPr>
            <w:tcW w:w="220" w:type="dxa"/>
            <w:vAlign w:val="bottom"/>
            <w:shd w:val="clear" w:color="auto" w:fill="EEEEEE"/>
          </w:tcPr>
          <w:p>
            <w:pPr>
              <w:spacing w:after="0"/>
              <w:rPr>
                <w:sz w:val="18"/>
                <w:szCs w:val="18"/>
                <w:color w:val="auto"/>
              </w:rPr>
            </w:pPr>
          </w:p>
        </w:tc>
        <w:tc>
          <w:tcPr>
            <w:tcW w:w="1020" w:type="dxa"/>
            <w:vAlign w:val="bottom"/>
            <w:gridSpan w:val="2"/>
            <w:shd w:val="clear" w:color="auto" w:fill="EEEEEE"/>
          </w:tcPr>
          <w:p>
            <w:pPr>
              <w:jc w:val="right"/>
              <w:ind w:right="40"/>
              <w:spacing w:after="0"/>
              <w:rPr>
                <w:sz w:val="20"/>
                <w:szCs w:val="20"/>
                <w:color w:val="auto"/>
              </w:rPr>
            </w:pPr>
            <w:r>
              <w:rPr>
                <w:rFonts w:ascii="Arial" w:cs="Arial" w:eastAsia="Arial" w:hAnsi="Arial"/>
                <w:sz w:val="18"/>
                <w:szCs w:val="18"/>
                <w:color w:val="auto"/>
              </w:rPr>
              <w:t>(253,750)</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194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20" w:type="dxa"/>
            <w:vAlign w:val="bottom"/>
            <w:vMerge w:val="continue"/>
          </w:tcPr>
          <w:p>
            <w:pPr>
              <w:spacing w:after="0"/>
              <w:rPr>
                <w:sz w:val="17"/>
                <w:szCs w:val="17"/>
                <w:color w:val="auto"/>
              </w:rPr>
            </w:pPr>
          </w:p>
        </w:tc>
        <w:tc>
          <w:tcPr>
            <w:tcW w:w="1940" w:type="dxa"/>
            <w:vAlign w:val="bottom"/>
            <w:shd w:val="clear" w:color="auto" w:fill="EEEEEE"/>
          </w:tcPr>
          <w:p>
            <w:pPr>
              <w:spacing w:after="0" w:line="201" w:lineRule="exact"/>
              <w:rPr>
                <w:sz w:val="20"/>
                <w:szCs w:val="20"/>
                <w:color w:val="auto"/>
              </w:rPr>
            </w:pPr>
            <w:r>
              <w:rPr>
                <w:rFonts w:ascii="Arial" w:cs="Arial" w:eastAsia="Arial" w:hAnsi="Arial"/>
                <w:sz w:val="18"/>
                <w:szCs w:val="18"/>
                <w:color w:val="auto"/>
              </w:rPr>
              <w:t>Issuance of common</w:t>
            </w:r>
          </w:p>
        </w:tc>
        <w:tc>
          <w:tcPr>
            <w:tcW w:w="1160" w:type="dxa"/>
            <w:vAlign w:val="bottom"/>
            <w:shd w:val="clear" w:color="auto" w:fill="EEEEEE"/>
          </w:tcPr>
          <w:p>
            <w:pPr>
              <w:spacing w:after="0"/>
              <w:rPr>
                <w:sz w:val="17"/>
                <w:szCs w:val="17"/>
                <w:color w:val="auto"/>
              </w:rPr>
            </w:pPr>
          </w:p>
        </w:tc>
        <w:tc>
          <w:tcPr>
            <w:tcW w:w="220" w:type="dxa"/>
            <w:vAlign w:val="bottom"/>
            <w:shd w:val="clear" w:color="auto" w:fill="EEEEEE"/>
          </w:tcPr>
          <w:p>
            <w:pPr>
              <w:spacing w:after="0"/>
              <w:rPr>
                <w:sz w:val="17"/>
                <w:szCs w:val="17"/>
                <w:color w:val="auto"/>
              </w:rPr>
            </w:pPr>
          </w:p>
        </w:tc>
        <w:tc>
          <w:tcPr>
            <w:tcW w:w="160" w:type="dxa"/>
            <w:vAlign w:val="bottom"/>
            <w:shd w:val="clear" w:color="auto" w:fill="EEEEEE"/>
          </w:tcPr>
          <w:p>
            <w:pPr>
              <w:spacing w:after="0"/>
              <w:rPr>
                <w:sz w:val="17"/>
                <w:szCs w:val="17"/>
                <w:color w:val="auto"/>
              </w:rPr>
            </w:pPr>
          </w:p>
        </w:tc>
        <w:tc>
          <w:tcPr>
            <w:tcW w:w="980" w:type="dxa"/>
            <w:vAlign w:val="bottom"/>
            <w:shd w:val="clear" w:color="auto" w:fill="EEEEEE"/>
          </w:tcPr>
          <w:p>
            <w:pPr>
              <w:spacing w:after="0"/>
              <w:rPr>
                <w:sz w:val="17"/>
                <w:szCs w:val="17"/>
                <w:color w:val="auto"/>
              </w:rPr>
            </w:pPr>
          </w:p>
        </w:tc>
        <w:tc>
          <w:tcPr>
            <w:tcW w:w="220" w:type="dxa"/>
            <w:vAlign w:val="bottom"/>
            <w:shd w:val="clear" w:color="auto" w:fill="EEEEEE"/>
          </w:tcPr>
          <w:p>
            <w:pPr>
              <w:spacing w:after="0"/>
              <w:rPr>
                <w:sz w:val="17"/>
                <w:szCs w:val="17"/>
                <w:color w:val="auto"/>
              </w:rPr>
            </w:pPr>
          </w:p>
        </w:tc>
        <w:tc>
          <w:tcPr>
            <w:tcW w:w="1120" w:type="dxa"/>
            <w:vAlign w:val="bottom"/>
            <w:shd w:val="clear" w:color="auto" w:fill="EEEEEE"/>
          </w:tcPr>
          <w:p>
            <w:pPr>
              <w:spacing w:after="0"/>
              <w:rPr>
                <w:sz w:val="17"/>
                <w:szCs w:val="17"/>
                <w:color w:val="auto"/>
              </w:rPr>
            </w:pPr>
          </w:p>
        </w:tc>
        <w:tc>
          <w:tcPr>
            <w:tcW w:w="220" w:type="dxa"/>
            <w:vAlign w:val="bottom"/>
            <w:shd w:val="clear" w:color="auto" w:fill="EEEEEE"/>
          </w:tcPr>
          <w:p>
            <w:pPr>
              <w:spacing w:after="0"/>
              <w:rPr>
                <w:sz w:val="17"/>
                <w:szCs w:val="17"/>
                <w:color w:val="auto"/>
              </w:rPr>
            </w:pPr>
          </w:p>
        </w:tc>
        <w:tc>
          <w:tcPr>
            <w:tcW w:w="960" w:type="dxa"/>
            <w:vAlign w:val="bottom"/>
            <w:shd w:val="clear" w:color="auto" w:fill="EEEEEE"/>
          </w:tcPr>
          <w:p>
            <w:pPr>
              <w:spacing w:after="0"/>
              <w:rPr>
                <w:sz w:val="17"/>
                <w:szCs w:val="17"/>
                <w:color w:val="auto"/>
              </w:rPr>
            </w:pPr>
          </w:p>
        </w:tc>
        <w:tc>
          <w:tcPr>
            <w:tcW w:w="180" w:type="dxa"/>
            <w:vAlign w:val="bottom"/>
            <w:shd w:val="clear" w:color="auto" w:fill="EEEEEE"/>
          </w:tcPr>
          <w:p>
            <w:pPr>
              <w:spacing w:after="0"/>
              <w:rPr>
                <w:sz w:val="17"/>
                <w:szCs w:val="17"/>
                <w:color w:val="auto"/>
              </w:rPr>
            </w:pPr>
          </w:p>
        </w:tc>
        <w:tc>
          <w:tcPr>
            <w:tcW w:w="220" w:type="dxa"/>
            <w:vAlign w:val="bottom"/>
            <w:shd w:val="clear" w:color="auto" w:fill="EEEEEE"/>
          </w:tcPr>
          <w:p>
            <w:pPr>
              <w:spacing w:after="0"/>
              <w:rPr>
                <w:sz w:val="17"/>
                <w:szCs w:val="17"/>
                <w:color w:val="auto"/>
              </w:rPr>
            </w:pPr>
          </w:p>
        </w:tc>
        <w:tc>
          <w:tcPr>
            <w:tcW w:w="120" w:type="dxa"/>
            <w:vAlign w:val="bottom"/>
            <w:shd w:val="clear" w:color="auto" w:fill="EEEEEE"/>
          </w:tcPr>
          <w:p>
            <w:pPr>
              <w:spacing w:after="0"/>
              <w:rPr>
                <w:sz w:val="17"/>
                <w:szCs w:val="17"/>
                <w:color w:val="auto"/>
              </w:rPr>
            </w:pPr>
          </w:p>
        </w:tc>
        <w:tc>
          <w:tcPr>
            <w:tcW w:w="1000" w:type="dxa"/>
            <w:vAlign w:val="bottom"/>
            <w:shd w:val="clear" w:color="auto" w:fill="EEEEEE"/>
          </w:tcPr>
          <w:p>
            <w:pPr>
              <w:spacing w:after="0"/>
              <w:rPr>
                <w:sz w:val="17"/>
                <w:szCs w:val="17"/>
                <w:color w:val="auto"/>
              </w:rPr>
            </w:pPr>
          </w:p>
        </w:tc>
        <w:tc>
          <w:tcPr>
            <w:tcW w:w="160" w:type="dxa"/>
            <w:vAlign w:val="bottom"/>
            <w:shd w:val="clear" w:color="auto" w:fill="EEEEEE"/>
          </w:tcPr>
          <w:p>
            <w:pPr>
              <w:spacing w:after="0"/>
              <w:rPr>
                <w:sz w:val="17"/>
                <w:szCs w:val="17"/>
                <w:color w:val="auto"/>
              </w:rPr>
            </w:pPr>
          </w:p>
        </w:tc>
        <w:tc>
          <w:tcPr>
            <w:tcW w:w="80" w:type="dxa"/>
            <w:vAlign w:val="bottom"/>
            <w:shd w:val="clear" w:color="auto" w:fill="EEEEEE"/>
          </w:tcPr>
          <w:p>
            <w:pPr>
              <w:spacing w:after="0"/>
              <w:rPr>
                <w:sz w:val="17"/>
                <w:szCs w:val="17"/>
                <w:color w:val="auto"/>
              </w:rPr>
            </w:pPr>
          </w:p>
        </w:tc>
        <w:tc>
          <w:tcPr>
            <w:tcW w:w="120" w:type="dxa"/>
            <w:vAlign w:val="bottom"/>
            <w:shd w:val="clear" w:color="auto" w:fill="EEEEEE"/>
          </w:tcPr>
          <w:p>
            <w:pPr>
              <w:spacing w:after="0"/>
              <w:rPr>
                <w:sz w:val="17"/>
                <w:szCs w:val="17"/>
                <w:color w:val="auto"/>
              </w:rPr>
            </w:pPr>
          </w:p>
        </w:tc>
        <w:tc>
          <w:tcPr>
            <w:tcW w:w="1020" w:type="dxa"/>
            <w:vAlign w:val="bottom"/>
            <w:shd w:val="clear" w:color="auto" w:fill="EEEEEE"/>
          </w:tcPr>
          <w:p>
            <w:pPr>
              <w:spacing w:after="0"/>
              <w:rPr>
                <w:sz w:val="17"/>
                <w:szCs w:val="17"/>
                <w:color w:val="auto"/>
              </w:rPr>
            </w:pPr>
          </w:p>
        </w:tc>
        <w:tc>
          <w:tcPr>
            <w:tcW w:w="160" w:type="dxa"/>
            <w:vAlign w:val="bottom"/>
            <w:shd w:val="clear" w:color="auto" w:fill="EEEEEE"/>
          </w:tcPr>
          <w:p>
            <w:pPr>
              <w:spacing w:after="0"/>
              <w:rPr>
                <w:sz w:val="17"/>
                <w:szCs w:val="17"/>
                <w:color w:val="auto"/>
              </w:rPr>
            </w:pPr>
          </w:p>
        </w:tc>
        <w:tc>
          <w:tcPr>
            <w:tcW w:w="120" w:type="dxa"/>
            <w:vAlign w:val="bottom"/>
            <w:shd w:val="clear" w:color="auto" w:fill="EEEEEE"/>
          </w:tcPr>
          <w:p>
            <w:pPr>
              <w:spacing w:after="0"/>
              <w:rPr>
                <w:sz w:val="17"/>
                <w:szCs w:val="17"/>
                <w:color w:val="auto"/>
              </w:rPr>
            </w:pPr>
          </w:p>
        </w:tc>
        <w:tc>
          <w:tcPr>
            <w:tcW w:w="220" w:type="dxa"/>
            <w:vAlign w:val="bottom"/>
            <w:shd w:val="clear" w:color="auto" w:fill="EEEEEE"/>
          </w:tcPr>
          <w:p>
            <w:pPr>
              <w:spacing w:after="0"/>
              <w:rPr>
                <w:sz w:val="17"/>
                <w:szCs w:val="17"/>
                <w:color w:val="auto"/>
              </w:rPr>
            </w:pPr>
          </w:p>
        </w:tc>
        <w:tc>
          <w:tcPr>
            <w:tcW w:w="920" w:type="dxa"/>
            <w:vAlign w:val="bottom"/>
            <w:shd w:val="clear" w:color="auto" w:fill="EEEEEE"/>
          </w:tcPr>
          <w:p>
            <w:pPr>
              <w:spacing w:after="0"/>
              <w:rPr>
                <w:sz w:val="17"/>
                <w:szCs w:val="17"/>
                <w:color w:val="auto"/>
              </w:rPr>
            </w:pPr>
          </w:p>
        </w:tc>
        <w:tc>
          <w:tcPr>
            <w:tcW w:w="100" w:type="dxa"/>
            <w:vAlign w:val="bottom"/>
            <w:shd w:val="clear" w:color="auto" w:fill="EEEEEE"/>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940" w:type="dxa"/>
            <w:vAlign w:val="bottom"/>
            <w:shd w:val="clear" w:color="auto" w:fill="EEEEEE"/>
          </w:tcPr>
          <w:p>
            <w:pPr>
              <w:spacing w:after="0"/>
              <w:rPr>
                <w:sz w:val="20"/>
                <w:szCs w:val="20"/>
                <w:color w:val="auto"/>
              </w:rPr>
            </w:pPr>
            <w:r>
              <w:rPr>
                <w:rFonts w:ascii="Arial" w:cs="Arial" w:eastAsia="Arial" w:hAnsi="Arial"/>
                <w:sz w:val="18"/>
                <w:szCs w:val="18"/>
                <w:color w:val="auto"/>
              </w:rPr>
              <w:t>stock</w:t>
            </w:r>
          </w:p>
        </w:tc>
        <w:tc>
          <w:tcPr>
            <w:tcW w:w="1160" w:type="dxa"/>
            <w:vAlign w:val="bottom"/>
            <w:shd w:val="clear" w:color="auto" w:fill="EEEEEE"/>
          </w:tcPr>
          <w:p>
            <w:pPr>
              <w:spacing w:after="0"/>
              <w:rPr>
                <w:sz w:val="18"/>
                <w:szCs w:val="18"/>
                <w:color w:val="auto"/>
              </w:rPr>
            </w:pPr>
          </w:p>
        </w:tc>
        <w:tc>
          <w:tcPr>
            <w:tcW w:w="220" w:type="dxa"/>
            <w:vAlign w:val="bottom"/>
            <w:shd w:val="clear" w:color="auto" w:fill="EEEEEE"/>
          </w:tcPr>
          <w:p>
            <w:pPr>
              <w:spacing w:after="0"/>
              <w:rPr>
                <w:sz w:val="18"/>
                <w:szCs w:val="18"/>
                <w:color w:val="auto"/>
              </w:rPr>
            </w:pPr>
          </w:p>
        </w:tc>
        <w:tc>
          <w:tcPr>
            <w:tcW w:w="160" w:type="dxa"/>
            <w:vAlign w:val="bottom"/>
            <w:shd w:val="clear" w:color="auto" w:fill="EEEEEE"/>
          </w:tcPr>
          <w:p>
            <w:pPr>
              <w:spacing w:after="0"/>
              <w:rPr>
                <w:sz w:val="18"/>
                <w:szCs w:val="18"/>
                <w:color w:val="auto"/>
              </w:rPr>
            </w:pPr>
          </w:p>
        </w:tc>
        <w:tc>
          <w:tcPr>
            <w:tcW w:w="980" w:type="dxa"/>
            <w:vAlign w:val="bottom"/>
            <w:shd w:val="clear" w:color="auto" w:fill="EEEEEE"/>
          </w:tcPr>
          <w:p>
            <w:pPr>
              <w:spacing w:after="0"/>
              <w:rPr>
                <w:sz w:val="18"/>
                <w:szCs w:val="18"/>
                <w:color w:val="auto"/>
              </w:rPr>
            </w:pPr>
          </w:p>
        </w:tc>
        <w:tc>
          <w:tcPr>
            <w:tcW w:w="220" w:type="dxa"/>
            <w:vAlign w:val="bottom"/>
            <w:shd w:val="clear" w:color="auto" w:fill="EEEEEE"/>
          </w:tcPr>
          <w:p>
            <w:pPr>
              <w:spacing w:after="0"/>
              <w:rPr>
                <w:sz w:val="18"/>
                <w:szCs w:val="18"/>
                <w:color w:val="auto"/>
              </w:rPr>
            </w:pPr>
          </w:p>
        </w:tc>
        <w:tc>
          <w:tcPr>
            <w:tcW w:w="1120" w:type="dxa"/>
            <w:vAlign w:val="bottom"/>
            <w:shd w:val="clear" w:color="auto" w:fill="EEEEEE"/>
          </w:tcPr>
          <w:p>
            <w:pPr>
              <w:spacing w:after="0"/>
              <w:rPr>
                <w:sz w:val="18"/>
                <w:szCs w:val="18"/>
                <w:color w:val="auto"/>
              </w:rPr>
            </w:pPr>
          </w:p>
        </w:tc>
        <w:tc>
          <w:tcPr>
            <w:tcW w:w="220" w:type="dxa"/>
            <w:vAlign w:val="bottom"/>
            <w:shd w:val="clear" w:color="auto" w:fill="EEEEEE"/>
          </w:tcPr>
          <w:p>
            <w:pPr>
              <w:spacing w:after="0"/>
              <w:rPr>
                <w:sz w:val="18"/>
                <w:szCs w:val="18"/>
                <w:color w:val="auto"/>
              </w:rPr>
            </w:pPr>
          </w:p>
        </w:tc>
        <w:tc>
          <w:tcPr>
            <w:tcW w:w="960" w:type="dxa"/>
            <w:vAlign w:val="bottom"/>
            <w:shd w:val="clear" w:color="auto" w:fill="EEEEEE"/>
          </w:tcPr>
          <w:p>
            <w:pPr>
              <w:spacing w:after="0"/>
              <w:rPr>
                <w:sz w:val="18"/>
                <w:szCs w:val="18"/>
                <w:color w:val="auto"/>
              </w:rPr>
            </w:pPr>
          </w:p>
        </w:tc>
        <w:tc>
          <w:tcPr>
            <w:tcW w:w="180" w:type="dxa"/>
            <w:vAlign w:val="bottom"/>
            <w:shd w:val="clear" w:color="auto" w:fill="EEEEEE"/>
          </w:tcPr>
          <w:p>
            <w:pPr>
              <w:spacing w:after="0"/>
              <w:rPr>
                <w:sz w:val="18"/>
                <w:szCs w:val="18"/>
                <w:color w:val="auto"/>
              </w:rPr>
            </w:pPr>
          </w:p>
        </w:tc>
        <w:tc>
          <w:tcPr>
            <w:tcW w:w="220" w:type="dxa"/>
            <w:vAlign w:val="bottom"/>
            <w:shd w:val="clear" w:color="auto" w:fill="EEEEEE"/>
          </w:tcPr>
          <w:p>
            <w:pPr>
              <w:spacing w:after="0"/>
              <w:rPr>
                <w:sz w:val="18"/>
                <w:szCs w:val="18"/>
                <w:color w:val="auto"/>
              </w:rPr>
            </w:pPr>
          </w:p>
        </w:tc>
        <w:tc>
          <w:tcPr>
            <w:tcW w:w="120" w:type="dxa"/>
            <w:vAlign w:val="bottom"/>
            <w:shd w:val="clear" w:color="auto" w:fill="EEEEEE"/>
          </w:tcPr>
          <w:p>
            <w:pPr>
              <w:spacing w:after="0"/>
              <w:rPr>
                <w:sz w:val="18"/>
                <w:szCs w:val="18"/>
                <w:color w:val="auto"/>
              </w:rPr>
            </w:pPr>
          </w:p>
        </w:tc>
        <w:tc>
          <w:tcPr>
            <w:tcW w:w="1000" w:type="dxa"/>
            <w:vAlign w:val="bottom"/>
            <w:shd w:val="clear" w:color="auto" w:fill="EEEEEE"/>
          </w:tcPr>
          <w:p>
            <w:pPr>
              <w:spacing w:after="0"/>
              <w:rPr>
                <w:sz w:val="18"/>
                <w:szCs w:val="18"/>
                <w:color w:val="auto"/>
              </w:rPr>
            </w:pPr>
          </w:p>
        </w:tc>
        <w:tc>
          <w:tcPr>
            <w:tcW w:w="160" w:type="dxa"/>
            <w:vAlign w:val="bottom"/>
            <w:shd w:val="clear" w:color="auto" w:fill="EEEEEE"/>
          </w:tcPr>
          <w:p>
            <w:pPr>
              <w:spacing w:after="0"/>
              <w:rPr>
                <w:sz w:val="18"/>
                <w:szCs w:val="18"/>
                <w:color w:val="auto"/>
              </w:rPr>
            </w:pPr>
          </w:p>
        </w:tc>
        <w:tc>
          <w:tcPr>
            <w:tcW w:w="80" w:type="dxa"/>
            <w:vAlign w:val="bottom"/>
            <w:shd w:val="clear" w:color="auto" w:fill="EEEEEE"/>
          </w:tcPr>
          <w:p>
            <w:pPr>
              <w:spacing w:after="0"/>
              <w:rPr>
                <w:sz w:val="18"/>
                <w:szCs w:val="18"/>
                <w:color w:val="auto"/>
              </w:rPr>
            </w:pPr>
          </w:p>
        </w:tc>
        <w:tc>
          <w:tcPr>
            <w:tcW w:w="120" w:type="dxa"/>
            <w:vAlign w:val="bottom"/>
            <w:shd w:val="clear" w:color="auto" w:fill="EEEEEE"/>
          </w:tcPr>
          <w:p>
            <w:pPr>
              <w:spacing w:after="0"/>
              <w:rPr>
                <w:sz w:val="18"/>
                <w:szCs w:val="18"/>
                <w:color w:val="auto"/>
              </w:rPr>
            </w:pPr>
          </w:p>
        </w:tc>
        <w:tc>
          <w:tcPr>
            <w:tcW w:w="1020" w:type="dxa"/>
            <w:vAlign w:val="bottom"/>
            <w:shd w:val="clear" w:color="auto" w:fill="EEEEEE"/>
          </w:tcPr>
          <w:p>
            <w:pPr>
              <w:spacing w:after="0"/>
              <w:rPr>
                <w:sz w:val="18"/>
                <w:szCs w:val="18"/>
                <w:color w:val="auto"/>
              </w:rPr>
            </w:pPr>
          </w:p>
        </w:tc>
        <w:tc>
          <w:tcPr>
            <w:tcW w:w="160" w:type="dxa"/>
            <w:vAlign w:val="bottom"/>
            <w:shd w:val="clear" w:color="auto" w:fill="EEEEEE"/>
          </w:tcPr>
          <w:p>
            <w:pPr>
              <w:spacing w:after="0"/>
              <w:rPr>
                <w:sz w:val="18"/>
                <w:szCs w:val="18"/>
                <w:color w:val="auto"/>
              </w:rPr>
            </w:pPr>
          </w:p>
        </w:tc>
        <w:tc>
          <w:tcPr>
            <w:tcW w:w="120" w:type="dxa"/>
            <w:vAlign w:val="bottom"/>
            <w:shd w:val="clear" w:color="auto" w:fill="EEEEEE"/>
          </w:tcPr>
          <w:p>
            <w:pPr>
              <w:spacing w:after="0"/>
              <w:rPr>
                <w:sz w:val="18"/>
                <w:szCs w:val="18"/>
                <w:color w:val="auto"/>
              </w:rPr>
            </w:pPr>
          </w:p>
        </w:tc>
        <w:tc>
          <w:tcPr>
            <w:tcW w:w="220" w:type="dxa"/>
            <w:vAlign w:val="bottom"/>
            <w:shd w:val="clear" w:color="auto" w:fill="EEEEEE"/>
          </w:tcPr>
          <w:p>
            <w:pPr>
              <w:spacing w:after="0"/>
              <w:rPr>
                <w:sz w:val="18"/>
                <w:szCs w:val="18"/>
                <w:color w:val="auto"/>
              </w:rPr>
            </w:pPr>
          </w:p>
        </w:tc>
        <w:tc>
          <w:tcPr>
            <w:tcW w:w="920" w:type="dxa"/>
            <w:vAlign w:val="bottom"/>
            <w:shd w:val="clear" w:color="auto" w:fill="EEEEEE"/>
          </w:tcPr>
          <w:p>
            <w:pPr>
              <w:spacing w:after="0"/>
              <w:rPr>
                <w:sz w:val="18"/>
                <w:szCs w:val="18"/>
                <w:color w:val="auto"/>
              </w:rPr>
            </w:pPr>
          </w:p>
        </w:tc>
        <w:tc>
          <w:tcPr>
            <w:tcW w:w="100" w:type="dxa"/>
            <w:vAlign w:val="bottom"/>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1940" w:type="dxa"/>
            <w:vAlign w:val="bottom"/>
            <w:shd w:val="clear" w:color="auto" w:fill="EEEEEE"/>
          </w:tcPr>
          <w:p>
            <w:pPr>
              <w:spacing w:after="0"/>
              <w:rPr>
                <w:sz w:val="20"/>
                <w:szCs w:val="20"/>
                <w:color w:val="auto"/>
              </w:rPr>
            </w:pPr>
            <w:r>
              <w:rPr>
                <w:rFonts w:ascii="Arial" w:cs="Arial" w:eastAsia="Arial" w:hAnsi="Arial"/>
                <w:sz w:val="18"/>
                <w:szCs w:val="18"/>
                <w:color w:val="auto"/>
              </w:rPr>
              <w:t>to former LLC members</w:t>
            </w:r>
          </w:p>
        </w:tc>
        <w:tc>
          <w:tcPr>
            <w:tcW w:w="1160" w:type="dxa"/>
            <w:vAlign w:val="bottom"/>
            <w:shd w:val="clear" w:color="auto" w:fill="EEEEEE"/>
          </w:tcPr>
          <w:p>
            <w:pPr>
              <w:jc w:val="right"/>
              <w:spacing w:after="0"/>
              <w:rPr>
                <w:sz w:val="20"/>
                <w:szCs w:val="20"/>
                <w:color w:val="auto"/>
              </w:rPr>
            </w:pPr>
            <w:r>
              <w:rPr>
                <w:rFonts w:ascii="Arial" w:cs="Arial" w:eastAsia="Arial" w:hAnsi="Arial"/>
                <w:sz w:val="18"/>
                <w:szCs w:val="18"/>
                <w:color w:val="auto"/>
              </w:rPr>
              <w:t>10,000,000</w:t>
            </w:r>
          </w:p>
        </w:tc>
        <w:tc>
          <w:tcPr>
            <w:tcW w:w="220" w:type="dxa"/>
            <w:vAlign w:val="bottom"/>
            <w:shd w:val="clear" w:color="auto" w:fill="EEEEEE"/>
          </w:tcPr>
          <w:p>
            <w:pPr>
              <w:spacing w:after="0"/>
              <w:rPr>
                <w:sz w:val="20"/>
                <w:szCs w:val="20"/>
                <w:color w:val="auto"/>
              </w:rPr>
            </w:pPr>
          </w:p>
        </w:tc>
        <w:tc>
          <w:tcPr>
            <w:tcW w:w="160" w:type="dxa"/>
            <w:vAlign w:val="bottom"/>
            <w:shd w:val="clear" w:color="auto" w:fill="EEEEEE"/>
          </w:tcPr>
          <w:p>
            <w:pPr>
              <w:spacing w:after="0"/>
              <w:rPr>
                <w:sz w:val="20"/>
                <w:szCs w:val="20"/>
                <w:color w:val="auto"/>
              </w:rPr>
            </w:pPr>
          </w:p>
        </w:tc>
        <w:tc>
          <w:tcPr>
            <w:tcW w:w="980" w:type="dxa"/>
            <w:vAlign w:val="bottom"/>
            <w:shd w:val="clear" w:color="auto" w:fill="EEEEEE"/>
          </w:tcPr>
          <w:p>
            <w:pPr>
              <w:jc w:val="right"/>
              <w:spacing w:after="0"/>
              <w:rPr>
                <w:sz w:val="20"/>
                <w:szCs w:val="20"/>
                <w:color w:val="auto"/>
              </w:rPr>
            </w:pPr>
            <w:r>
              <w:rPr>
                <w:rFonts w:ascii="Arial" w:cs="Arial" w:eastAsia="Arial" w:hAnsi="Arial"/>
                <w:sz w:val="18"/>
                <w:szCs w:val="18"/>
                <w:color w:val="auto"/>
              </w:rPr>
              <w:t>10,000</w:t>
            </w:r>
          </w:p>
        </w:tc>
        <w:tc>
          <w:tcPr>
            <w:tcW w:w="220" w:type="dxa"/>
            <w:vAlign w:val="bottom"/>
            <w:shd w:val="clear" w:color="auto" w:fill="EEEEEE"/>
          </w:tcPr>
          <w:p>
            <w:pPr>
              <w:spacing w:after="0"/>
              <w:rPr>
                <w:sz w:val="20"/>
                <w:szCs w:val="20"/>
                <w:color w:val="auto"/>
              </w:rPr>
            </w:pPr>
          </w:p>
        </w:tc>
        <w:tc>
          <w:tcPr>
            <w:tcW w:w="1120" w:type="dxa"/>
            <w:vAlign w:val="bottom"/>
            <w:shd w:val="clear" w:color="auto" w:fill="EEEEEE"/>
          </w:tcPr>
          <w:p>
            <w:pPr>
              <w:spacing w:after="0"/>
              <w:rPr>
                <w:sz w:val="20"/>
                <w:szCs w:val="20"/>
                <w:color w:val="auto"/>
              </w:rPr>
            </w:pPr>
          </w:p>
        </w:tc>
        <w:tc>
          <w:tcPr>
            <w:tcW w:w="220" w:type="dxa"/>
            <w:vAlign w:val="bottom"/>
            <w:shd w:val="clear" w:color="auto" w:fill="EEEEEE"/>
          </w:tcPr>
          <w:p>
            <w:pPr>
              <w:spacing w:after="0"/>
              <w:rPr>
                <w:sz w:val="20"/>
                <w:szCs w:val="20"/>
                <w:color w:val="auto"/>
              </w:rPr>
            </w:pPr>
          </w:p>
        </w:tc>
        <w:tc>
          <w:tcPr>
            <w:tcW w:w="960" w:type="dxa"/>
            <w:vAlign w:val="bottom"/>
            <w:shd w:val="clear" w:color="auto" w:fill="EEEEEE"/>
          </w:tcPr>
          <w:p>
            <w:pPr>
              <w:spacing w:after="0"/>
              <w:rPr>
                <w:sz w:val="20"/>
                <w:szCs w:val="20"/>
                <w:color w:val="auto"/>
              </w:rPr>
            </w:pPr>
          </w:p>
        </w:tc>
        <w:tc>
          <w:tcPr>
            <w:tcW w:w="180" w:type="dxa"/>
            <w:vAlign w:val="bottom"/>
            <w:shd w:val="clear" w:color="auto" w:fill="EEEEEE"/>
          </w:tcPr>
          <w:p>
            <w:pPr>
              <w:spacing w:after="0"/>
              <w:rPr>
                <w:sz w:val="20"/>
                <w:szCs w:val="20"/>
                <w:color w:val="auto"/>
              </w:rPr>
            </w:pPr>
          </w:p>
        </w:tc>
        <w:tc>
          <w:tcPr>
            <w:tcW w:w="220" w:type="dxa"/>
            <w:vAlign w:val="bottom"/>
            <w:shd w:val="clear" w:color="auto" w:fill="EEEEEE"/>
          </w:tcPr>
          <w:p>
            <w:pPr>
              <w:spacing w:after="0"/>
              <w:rPr>
                <w:sz w:val="20"/>
                <w:szCs w:val="20"/>
                <w:color w:val="auto"/>
              </w:rPr>
            </w:pPr>
          </w:p>
        </w:tc>
        <w:tc>
          <w:tcPr>
            <w:tcW w:w="120" w:type="dxa"/>
            <w:vAlign w:val="bottom"/>
            <w:shd w:val="clear" w:color="auto" w:fill="EEEEEE"/>
          </w:tcPr>
          <w:p>
            <w:pPr>
              <w:spacing w:after="0"/>
              <w:rPr>
                <w:sz w:val="20"/>
                <w:szCs w:val="20"/>
                <w:color w:val="auto"/>
              </w:rPr>
            </w:pPr>
          </w:p>
        </w:tc>
        <w:tc>
          <w:tcPr>
            <w:tcW w:w="1160" w:type="dxa"/>
            <w:vAlign w:val="bottom"/>
            <w:gridSpan w:val="2"/>
            <w:shd w:val="clear" w:color="auto" w:fill="EEEEEE"/>
          </w:tcPr>
          <w:p>
            <w:pPr>
              <w:jc w:val="right"/>
              <w:ind w:right="100"/>
              <w:spacing w:after="0"/>
              <w:rPr>
                <w:sz w:val="20"/>
                <w:szCs w:val="20"/>
                <w:color w:val="auto"/>
              </w:rPr>
            </w:pPr>
            <w:r>
              <w:rPr>
                <w:rFonts w:ascii="Arial" w:cs="Arial" w:eastAsia="Arial" w:hAnsi="Arial"/>
                <w:sz w:val="18"/>
                <w:szCs w:val="18"/>
                <w:color w:val="auto"/>
              </w:rPr>
              <w:t>(10,000)</w:t>
            </w:r>
          </w:p>
        </w:tc>
        <w:tc>
          <w:tcPr>
            <w:tcW w:w="80" w:type="dxa"/>
            <w:vAlign w:val="bottom"/>
            <w:shd w:val="clear" w:color="auto" w:fill="EEEEEE"/>
          </w:tcPr>
          <w:p>
            <w:pPr>
              <w:spacing w:after="0"/>
              <w:rPr>
                <w:sz w:val="20"/>
                <w:szCs w:val="20"/>
                <w:color w:val="auto"/>
              </w:rPr>
            </w:pPr>
          </w:p>
        </w:tc>
        <w:tc>
          <w:tcPr>
            <w:tcW w:w="120" w:type="dxa"/>
            <w:vAlign w:val="bottom"/>
            <w:shd w:val="clear" w:color="auto" w:fill="EEEEEE"/>
          </w:tcPr>
          <w:p>
            <w:pPr>
              <w:spacing w:after="0"/>
              <w:rPr>
                <w:sz w:val="20"/>
                <w:szCs w:val="20"/>
                <w:color w:val="auto"/>
              </w:rPr>
            </w:pPr>
          </w:p>
        </w:tc>
        <w:tc>
          <w:tcPr>
            <w:tcW w:w="1020" w:type="dxa"/>
            <w:vAlign w:val="bottom"/>
            <w:shd w:val="clear" w:color="auto" w:fill="EEEEEE"/>
          </w:tcPr>
          <w:p>
            <w:pPr>
              <w:spacing w:after="0"/>
              <w:rPr>
                <w:sz w:val="20"/>
                <w:szCs w:val="20"/>
                <w:color w:val="auto"/>
              </w:rPr>
            </w:pPr>
          </w:p>
        </w:tc>
        <w:tc>
          <w:tcPr>
            <w:tcW w:w="160" w:type="dxa"/>
            <w:vAlign w:val="bottom"/>
            <w:shd w:val="clear" w:color="auto" w:fill="EEEEEE"/>
          </w:tcPr>
          <w:p>
            <w:pPr>
              <w:spacing w:after="0"/>
              <w:rPr>
                <w:sz w:val="20"/>
                <w:szCs w:val="20"/>
                <w:color w:val="auto"/>
              </w:rPr>
            </w:pPr>
          </w:p>
        </w:tc>
        <w:tc>
          <w:tcPr>
            <w:tcW w:w="120" w:type="dxa"/>
            <w:vAlign w:val="bottom"/>
            <w:shd w:val="clear" w:color="auto" w:fill="EEEEEE"/>
          </w:tcPr>
          <w:p>
            <w:pPr>
              <w:spacing w:after="0"/>
              <w:rPr>
                <w:sz w:val="20"/>
                <w:szCs w:val="20"/>
                <w:color w:val="auto"/>
              </w:rPr>
            </w:pPr>
          </w:p>
        </w:tc>
        <w:tc>
          <w:tcPr>
            <w:tcW w:w="220" w:type="dxa"/>
            <w:vAlign w:val="bottom"/>
            <w:shd w:val="clear" w:color="auto" w:fill="EEEEEE"/>
          </w:tcPr>
          <w:p>
            <w:pPr>
              <w:spacing w:after="0"/>
              <w:rPr>
                <w:sz w:val="20"/>
                <w:szCs w:val="20"/>
                <w:color w:val="auto"/>
              </w:rPr>
            </w:pPr>
          </w:p>
        </w:tc>
        <w:tc>
          <w:tcPr>
            <w:tcW w:w="920" w:type="dxa"/>
            <w:vAlign w:val="bottom"/>
            <w:shd w:val="clear" w:color="auto" w:fill="EEEEEE"/>
          </w:tcPr>
          <w:p>
            <w:pPr>
              <w:jc w:val="right"/>
              <w:spacing w:after="0"/>
              <w:rPr>
                <w:sz w:val="20"/>
                <w:szCs w:val="20"/>
                <w:color w:val="auto"/>
              </w:rPr>
            </w:pPr>
            <w:r>
              <w:rPr>
                <w:rFonts w:ascii="Arial" w:cs="Arial" w:eastAsia="Arial" w:hAnsi="Arial"/>
                <w:sz w:val="18"/>
                <w:szCs w:val="18"/>
                <w:color w:val="auto"/>
              </w:rPr>
              <w:t>0</w:t>
            </w:r>
          </w:p>
        </w:tc>
        <w:tc>
          <w:tcPr>
            <w:tcW w:w="100" w:type="dxa"/>
            <w:vAlign w:val="bottom"/>
            <w:shd w:val="clear" w:color="auto" w:fill="EEEEEE"/>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194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20" w:type="dxa"/>
            <w:vAlign w:val="bottom"/>
            <w:vMerge w:val="continue"/>
          </w:tcPr>
          <w:p>
            <w:pPr>
              <w:spacing w:after="0"/>
              <w:rPr>
                <w:sz w:val="17"/>
                <w:szCs w:val="17"/>
                <w:color w:val="auto"/>
              </w:rPr>
            </w:pPr>
          </w:p>
        </w:tc>
        <w:tc>
          <w:tcPr>
            <w:tcW w:w="1940" w:type="dxa"/>
            <w:vAlign w:val="bottom"/>
            <w:shd w:val="clear" w:color="auto" w:fill="EEEEEE"/>
          </w:tcPr>
          <w:p>
            <w:pPr>
              <w:spacing w:after="0" w:line="201" w:lineRule="exact"/>
              <w:rPr>
                <w:sz w:val="20"/>
                <w:szCs w:val="20"/>
                <w:color w:val="auto"/>
              </w:rPr>
            </w:pPr>
            <w:r>
              <w:rPr>
                <w:rFonts w:ascii="Arial" w:cs="Arial" w:eastAsia="Arial" w:hAnsi="Arial"/>
                <w:sz w:val="18"/>
                <w:szCs w:val="18"/>
                <w:color w:val="auto"/>
              </w:rPr>
              <w:t>Issuance of  common</w:t>
            </w:r>
          </w:p>
        </w:tc>
        <w:tc>
          <w:tcPr>
            <w:tcW w:w="1160" w:type="dxa"/>
            <w:vAlign w:val="bottom"/>
            <w:shd w:val="clear" w:color="auto" w:fill="EEEEEE"/>
          </w:tcPr>
          <w:p>
            <w:pPr>
              <w:spacing w:after="0"/>
              <w:rPr>
                <w:sz w:val="17"/>
                <w:szCs w:val="17"/>
                <w:color w:val="auto"/>
              </w:rPr>
            </w:pPr>
          </w:p>
        </w:tc>
        <w:tc>
          <w:tcPr>
            <w:tcW w:w="220" w:type="dxa"/>
            <w:vAlign w:val="bottom"/>
            <w:shd w:val="clear" w:color="auto" w:fill="EEEEEE"/>
          </w:tcPr>
          <w:p>
            <w:pPr>
              <w:spacing w:after="0"/>
              <w:rPr>
                <w:sz w:val="17"/>
                <w:szCs w:val="17"/>
                <w:color w:val="auto"/>
              </w:rPr>
            </w:pPr>
          </w:p>
        </w:tc>
        <w:tc>
          <w:tcPr>
            <w:tcW w:w="160" w:type="dxa"/>
            <w:vAlign w:val="bottom"/>
            <w:shd w:val="clear" w:color="auto" w:fill="EEEEEE"/>
          </w:tcPr>
          <w:p>
            <w:pPr>
              <w:spacing w:after="0"/>
              <w:rPr>
                <w:sz w:val="17"/>
                <w:szCs w:val="17"/>
                <w:color w:val="auto"/>
              </w:rPr>
            </w:pPr>
          </w:p>
        </w:tc>
        <w:tc>
          <w:tcPr>
            <w:tcW w:w="980" w:type="dxa"/>
            <w:vAlign w:val="bottom"/>
            <w:shd w:val="clear" w:color="auto" w:fill="EEEEEE"/>
          </w:tcPr>
          <w:p>
            <w:pPr>
              <w:spacing w:after="0"/>
              <w:rPr>
                <w:sz w:val="17"/>
                <w:szCs w:val="17"/>
                <w:color w:val="auto"/>
              </w:rPr>
            </w:pPr>
          </w:p>
        </w:tc>
        <w:tc>
          <w:tcPr>
            <w:tcW w:w="220" w:type="dxa"/>
            <w:vAlign w:val="bottom"/>
            <w:shd w:val="clear" w:color="auto" w:fill="EEEEEE"/>
          </w:tcPr>
          <w:p>
            <w:pPr>
              <w:spacing w:after="0"/>
              <w:rPr>
                <w:sz w:val="17"/>
                <w:szCs w:val="17"/>
                <w:color w:val="auto"/>
              </w:rPr>
            </w:pPr>
          </w:p>
        </w:tc>
        <w:tc>
          <w:tcPr>
            <w:tcW w:w="1120" w:type="dxa"/>
            <w:vAlign w:val="bottom"/>
            <w:shd w:val="clear" w:color="auto" w:fill="EEEEEE"/>
          </w:tcPr>
          <w:p>
            <w:pPr>
              <w:spacing w:after="0"/>
              <w:rPr>
                <w:sz w:val="17"/>
                <w:szCs w:val="17"/>
                <w:color w:val="auto"/>
              </w:rPr>
            </w:pPr>
          </w:p>
        </w:tc>
        <w:tc>
          <w:tcPr>
            <w:tcW w:w="220" w:type="dxa"/>
            <w:vAlign w:val="bottom"/>
            <w:shd w:val="clear" w:color="auto" w:fill="EEEEEE"/>
          </w:tcPr>
          <w:p>
            <w:pPr>
              <w:spacing w:after="0"/>
              <w:rPr>
                <w:sz w:val="17"/>
                <w:szCs w:val="17"/>
                <w:color w:val="auto"/>
              </w:rPr>
            </w:pPr>
          </w:p>
        </w:tc>
        <w:tc>
          <w:tcPr>
            <w:tcW w:w="960" w:type="dxa"/>
            <w:vAlign w:val="bottom"/>
            <w:shd w:val="clear" w:color="auto" w:fill="EEEEEE"/>
          </w:tcPr>
          <w:p>
            <w:pPr>
              <w:spacing w:after="0"/>
              <w:rPr>
                <w:sz w:val="17"/>
                <w:szCs w:val="17"/>
                <w:color w:val="auto"/>
              </w:rPr>
            </w:pPr>
          </w:p>
        </w:tc>
        <w:tc>
          <w:tcPr>
            <w:tcW w:w="180" w:type="dxa"/>
            <w:vAlign w:val="bottom"/>
            <w:shd w:val="clear" w:color="auto" w:fill="EEEEEE"/>
          </w:tcPr>
          <w:p>
            <w:pPr>
              <w:spacing w:after="0"/>
              <w:rPr>
                <w:sz w:val="17"/>
                <w:szCs w:val="17"/>
                <w:color w:val="auto"/>
              </w:rPr>
            </w:pPr>
          </w:p>
        </w:tc>
        <w:tc>
          <w:tcPr>
            <w:tcW w:w="220" w:type="dxa"/>
            <w:vAlign w:val="bottom"/>
            <w:shd w:val="clear" w:color="auto" w:fill="EEEEEE"/>
          </w:tcPr>
          <w:p>
            <w:pPr>
              <w:spacing w:after="0"/>
              <w:rPr>
                <w:sz w:val="17"/>
                <w:szCs w:val="17"/>
                <w:color w:val="auto"/>
              </w:rPr>
            </w:pPr>
          </w:p>
        </w:tc>
        <w:tc>
          <w:tcPr>
            <w:tcW w:w="120" w:type="dxa"/>
            <w:vAlign w:val="bottom"/>
            <w:shd w:val="clear" w:color="auto" w:fill="EEEEEE"/>
          </w:tcPr>
          <w:p>
            <w:pPr>
              <w:spacing w:after="0"/>
              <w:rPr>
                <w:sz w:val="17"/>
                <w:szCs w:val="17"/>
                <w:color w:val="auto"/>
              </w:rPr>
            </w:pPr>
          </w:p>
        </w:tc>
        <w:tc>
          <w:tcPr>
            <w:tcW w:w="1000" w:type="dxa"/>
            <w:vAlign w:val="bottom"/>
            <w:shd w:val="clear" w:color="auto" w:fill="EEEEEE"/>
          </w:tcPr>
          <w:p>
            <w:pPr>
              <w:spacing w:after="0"/>
              <w:rPr>
                <w:sz w:val="17"/>
                <w:szCs w:val="17"/>
                <w:color w:val="auto"/>
              </w:rPr>
            </w:pPr>
          </w:p>
        </w:tc>
        <w:tc>
          <w:tcPr>
            <w:tcW w:w="160" w:type="dxa"/>
            <w:vAlign w:val="bottom"/>
            <w:shd w:val="clear" w:color="auto" w:fill="EEEEEE"/>
          </w:tcPr>
          <w:p>
            <w:pPr>
              <w:spacing w:after="0"/>
              <w:rPr>
                <w:sz w:val="17"/>
                <w:szCs w:val="17"/>
                <w:color w:val="auto"/>
              </w:rPr>
            </w:pPr>
          </w:p>
        </w:tc>
        <w:tc>
          <w:tcPr>
            <w:tcW w:w="80" w:type="dxa"/>
            <w:vAlign w:val="bottom"/>
            <w:shd w:val="clear" w:color="auto" w:fill="EEEEEE"/>
          </w:tcPr>
          <w:p>
            <w:pPr>
              <w:spacing w:after="0"/>
              <w:rPr>
                <w:sz w:val="17"/>
                <w:szCs w:val="17"/>
                <w:color w:val="auto"/>
              </w:rPr>
            </w:pPr>
          </w:p>
        </w:tc>
        <w:tc>
          <w:tcPr>
            <w:tcW w:w="120" w:type="dxa"/>
            <w:vAlign w:val="bottom"/>
            <w:shd w:val="clear" w:color="auto" w:fill="EEEEEE"/>
          </w:tcPr>
          <w:p>
            <w:pPr>
              <w:spacing w:after="0"/>
              <w:rPr>
                <w:sz w:val="17"/>
                <w:szCs w:val="17"/>
                <w:color w:val="auto"/>
              </w:rPr>
            </w:pPr>
          </w:p>
        </w:tc>
        <w:tc>
          <w:tcPr>
            <w:tcW w:w="1020" w:type="dxa"/>
            <w:vAlign w:val="bottom"/>
            <w:shd w:val="clear" w:color="auto" w:fill="EEEEEE"/>
          </w:tcPr>
          <w:p>
            <w:pPr>
              <w:spacing w:after="0"/>
              <w:rPr>
                <w:sz w:val="17"/>
                <w:szCs w:val="17"/>
                <w:color w:val="auto"/>
              </w:rPr>
            </w:pPr>
          </w:p>
        </w:tc>
        <w:tc>
          <w:tcPr>
            <w:tcW w:w="160" w:type="dxa"/>
            <w:vAlign w:val="bottom"/>
            <w:shd w:val="clear" w:color="auto" w:fill="EEEEEE"/>
          </w:tcPr>
          <w:p>
            <w:pPr>
              <w:spacing w:after="0"/>
              <w:rPr>
                <w:sz w:val="17"/>
                <w:szCs w:val="17"/>
                <w:color w:val="auto"/>
              </w:rPr>
            </w:pPr>
          </w:p>
        </w:tc>
        <w:tc>
          <w:tcPr>
            <w:tcW w:w="120" w:type="dxa"/>
            <w:vAlign w:val="bottom"/>
            <w:shd w:val="clear" w:color="auto" w:fill="EEEEEE"/>
          </w:tcPr>
          <w:p>
            <w:pPr>
              <w:spacing w:after="0"/>
              <w:rPr>
                <w:sz w:val="17"/>
                <w:szCs w:val="17"/>
                <w:color w:val="auto"/>
              </w:rPr>
            </w:pPr>
          </w:p>
        </w:tc>
        <w:tc>
          <w:tcPr>
            <w:tcW w:w="220" w:type="dxa"/>
            <w:vAlign w:val="bottom"/>
            <w:shd w:val="clear" w:color="auto" w:fill="EEEEEE"/>
          </w:tcPr>
          <w:p>
            <w:pPr>
              <w:spacing w:after="0"/>
              <w:rPr>
                <w:sz w:val="17"/>
                <w:szCs w:val="17"/>
                <w:color w:val="auto"/>
              </w:rPr>
            </w:pPr>
          </w:p>
        </w:tc>
        <w:tc>
          <w:tcPr>
            <w:tcW w:w="920" w:type="dxa"/>
            <w:vAlign w:val="bottom"/>
            <w:shd w:val="clear" w:color="auto" w:fill="EEEEEE"/>
          </w:tcPr>
          <w:p>
            <w:pPr>
              <w:spacing w:after="0"/>
              <w:rPr>
                <w:sz w:val="17"/>
                <w:szCs w:val="17"/>
                <w:color w:val="auto"/>
              </w:rPr>
            </w:pPr>
          </w:p>
        </w:tc>
        <w:tc>
          <w:tcPr>
            <w:tcW w:w="100" w:type="dxa"/>
            <w:vAlign w:val="bottom"/>
            <w:shd w:val="clear" w:color="auto" w:fill="EEEEEE"/>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940" w:type="dxa"/>
            <w:vAlign w:val="bottom"/>
            <w:shd w:val="clear" w:color="auto" w:fill="EEEEEE"/>
          </w:tcPr>
          <w:p>
            <w:pPr>
              <w:spacing w:after="0"/>
              <w:rPr>
                <w:sz w:val="20"/>
                <w:szCs w:val="20"/>
                <w:color w:val="auto"/>
              </w:rPr>
            </w:pPr>
            <w:r>
              <w:rPr>
                <w:rFonts w:ascii="Arial" w:cs="Arial" w:eastAsia="Arial" w:hAnsi="Arial"/>
                <w:sz w:val="18"/>
                <w:szCs w:val="18"/>
                <w:color w:val="auto"/>
              </w:rPr>
              <w:t>stock,</w:t>
            </w:r>
          </w:p>
        </w:tc>
        <w:tc>
          <w:tcPr>
            <w:tcW w:w="1160" w:type="dxa"/>
            <w:vAlign w:val="bottom"/>
            <w:shd w:val="clear" w:color="auto" w:fill="EEEEEE"/>
          </w:tcPr>
          <w:p>
            <w:pPr>
              <w:spacing w:after="0"/>
              <w:rPr>
                <w:sz w:val="18"/>
                <w:szCs w:val="18"/>
                <w:color w:val="auto"/>
              </w:rPr>
            </w:pPr>
          </w:p>
        </w:tc>
        <w:tc>
          <w:tcPr>
            <w:tcW w:w="220" w:type="dxa"/>
            <w:vAlign w:val="bottom"/>
            <w:shd w:val="clear" w:color="auto" w:fill="EEEEEE"/>
          </w:tcPr>
          <w:p>
            <w:pPr>
              <w:spacing w:after="0"/>
              <w:rPr>
                <w:sz w:val="18"/>
                <w:szCs w:val="18"/>
                <w:color w:val="auto"/>
              </w:rPr>
            </w:pPr>
          </w:p>
        </w:tc>
        <w:tc>
          <w:tcPr>
            <w:tcW w:w="160" w:type="dxa"/>
            <w:vAlign w:val="bottom"/>
            <w:shd w:val="clear" w:color="auto" w:fill="EEEEEE"/>
          </w:tcPr>
          <w:p>
            <w:pPr>
              <w:spacing w:after="0"/>
              <w:rPr>
                <w:sz w:val="18"/>
                <w:szCs w:val="18"/>
                <w:color w:val="auto"/>
              </w:rPr>
            </w:pPr>
          </w:p>
        </w:tc>
        <w:tc>
          <w:tcPr>
            <w:tcW w:w="980" w:type="dxa"/>
            <w:vAlign w:val="bottom"/>
            <w:shd w:val="clear" w:color="auto" w:fill="EEEEEE"/>
          </w:tcPr>
          <w:p>
            <w:pPr>
              <w:spacing w:after="0"/>
              <w:rPr>
                <w:sz w:val="18"/>
                <w:szCs w:val="18"/>
                <w:color w:val="auto"/>
              </w:rPr>
            </w:pPr>
          </w:p>
        </w:tc>
        <w:tc>
          <w:tcPr>
            <w:tcW w:w="220" w:type="dxa"/>
            <w:vAlign w:val="bottom"/>
            <w:shd w:val="clear" w:color="auto" w:fill="EEEEEE"/>
          </w:tcPr>
          <w:p>
            <w:pPr>
              <w:spacing w:after="0"/>
              <w:rPr>
                <w:sz w:val="18"/>
                <w:szCs w:val="18"/>
                <w:color w:val="auto"/>
              </w:rPr>
            </w:pPr>
          </w:p>
        </w:tc>
        <w:tc>
          <w:tcPr>
            <w:tcW w:w="1120" w:type="dxa"/>
            <w:vAlign w:val="bottom"/>
            <w:shd w:val="clear" w:color="auto" w:fill="EEEEEE"/>
          </w:tcPr>
          <w:p>
            <w:pPr>
              <w:spacing w:after="0"/>
              <w:rPr>
                <w:sz w:val="18"/>
                <w:szCs w:val="18"/>
                <w:color w:val="auto"/>
              </w:rPr>
            </w:pPr>
          </w:p>
        </w:tc>
        <w:tc>
          <w:tcPr>
            <w:tcW w:w="220" w:type="dxa"/>
            <w:vAlign w:val="bottom"/>
            <w:shd w:val="clear" w:color="auto" w:fill="EEEEEE"/>
          </w:tcPr>
          <w:p>
            <w:pPr>
              <w:spacing w:after="0"/>
              <w:rPr>
                <w:sz w:val="18"/>
                <w:szCs w:val="18"/>
                <w:color w:val="auto"/>
              </w:rPr>
            </w:pPr>
          </w:p>
        </w:tc>
        <w:tc>
          <w:tcPr>
            <w:tcW w:w="960" w:type="dxa"/>
            <w:vAlign w:val="bottom"/>
            <w:shd w:val="clear" w:color="auto" w:fill="EEEEEE"/>
          </w:tcPr>
          <w:p>
            <w:pPr>
              <w:spacing w:after="0"/>
              <w:rPr>
                <w:sz w:val="18"/>
                <w:szCs w:val="18"/>
                <w:color w:val="auto"/>
              </w:rPr>
            </w:pPr>
          </w:p>
        </w:tc>
        <w:tc>
          <w:tcPr>
            <w:tcW w:w="180" w:type="dxa"/>
            <w:vAlign w:val="bottom"/>
            <w:shd w:val="clear" w:color="auto" w:fill="EEEEEE"/>
          </w:tcPr>
          <w:p>
            <w:pPr>
              <w:spacing w:after="0"/>
              <w:rPr>
                <w:sz w:val="18"/>
                <w:szCs w:val="18"/>
                <w:color w:val="auto"/>
              </w:rPr>
            </w:pPr>
          </w:p>
        </w:tc>
        <w:tc>
          <w:tcPr>
            <w:tcW w:w="220" w:type="dxa"/>
            <w:vAlign w:val="bottom"/>
            <w:shd w:val="clear" w:color="auto" w:fill="EEEEEE"/>
          </w:tcPr>
          <w:p>
            <w:pPr>
              <w:spacing w:after="0"/>
              <w:rPr>
                <w:sz w:val="18"/>
                <w:szCs w:val="18"/>
                <w:color w:val="auto"/>
              </w:rPr>
            </w:pPr>
          </w:p>
        </w:tc>
        <w:tc>
          <w:tcPr>
            <w:tcW w:w="120" w:type="dxa"/>
            <w:vAlign w:val="bottom"/>
            <w:shd w:val="clear" w:color="auto" w:fill="EEEEEE"/>
          </w:tcPr>
          <w:p>
            <w:pPr>
              <w:spacing w:after="0"/>
              <w:rPr>
                <w:sz w:val="18"/>
                <w:szCs w:val="18"/>
                <w:color w:val="auto"/>
              </w:rPr>
            </w:pPr>
          </w:p>
        </w:tc>
        <w:tc>
          <w:tcPr>
            <w:tcW w:w="1000" w:type="dxa"/>
            <w:vAlign w:val="bottom"/>
            <w:shd w:val="clear" w:color="auto" w:fill="EEEEEE"/>
          </w:tcPr>
          <w:p>
            <w:pPr>
              <w:spacing w:after="0"/>
              <w:rPr>
                <w:sz w:val="18"/>
                <w:szCs w:val="18"/>
                <w:color w:val="auto"/>
              </w:rPr>
            </w:pPr>
          </w:p>
        </w:tc>
        <w:tc>
          <w:tcPr>
            <w:tcW w:w="160" w:type="dxa"/>
            <w:vAlign w:val="bottom"/>
            <w:shd w:val="clear" w:color="auto" w:fill="EEEEEE"/>
          </w:tcPr>
          <w:p>
            <w:pPr>
              <w:spacing w:after="0"/>
              <w:rPr>
                <w:sz w:val="18"/>
                <w:szCs w:val="18"/>
                <w:color w:val="auto"/>
              </w:rPr>
            </w:pPr>
          </w:p>
        </w:tc>
        <w:tc>
          <w:tcPr>
            <w:tcW w:w="80" w:type="dxa"/>
            <w:vAlign w:val="bottom"/>
            <w:shd w:val="clear" w:color="auto" w:fill="EEEEEE"/>
          </w:tcPr>
          <w:p>
            <w:pPr>
              <w:spacing w:after="0"/>
              <w:rPr>
                <w:sz w:val="18"/>
                <w:szCs w:val="18"/>
                <w:color w:val="auto"/>
              </w:rPr>
            </w:pPr>
          </w:p>
        </w:tc>
        <w:tc>
          <w:tcPr>
            <w:tcW w:w="120" w:type="dxa"/>
            <w:vAlign w:val="bottom"/>
            <w:shd w:val="clear" w:color="auto" w:fill="EEEEEE"/>
          </w:tcPr>
          <w:p>
            <w:pPr>
              <w:spacing w:after="0"/>
              <w:rPr>
                <w:sz w:val="18"/>
                <w:szCs w:val="18"/>
                <w:color w:val="auto"/>
              </w:rPr>
            </w:pPr>
          </w:p>
        </w:tc>
        <w:tc>
          <w:tcPr>
            <w:tcW w:w="1020" w:type="dxa"/>
            <w:vAlign w:val="bottom"/>
            <w:shd w:val="clear" w:color="auto" w:fill="EEEEEE"/>
          </w:tcPr>
          <w:p>
            <w:pPr>
              <w:spacing w:after="0"/>
              <w:rPr>
                <w:sz w:val="18"/>
                <w:szCs w:val="18"/>
                <w:color w:val="auto"/>
              </w:rPr>
            </w:pPr>
          </w:p>
        </w:tc>
        <w:tc>
          <w:tcPr>
            <w:tcW w:w="160" w:type="dxa"/>
            <w:vAlign w:val="bottom"/>
            <w:shd w:val="clear" w:color="auto" w:fill="EEEEEE"/>
          </w:tcPr>
          <w:p>
            <w:pPr>
              <w:spacing w:after="0"/>
              <w:rPr>
                <w:sz w:val="18"/>
                <w:szCs w:val="18"/>
                <w:color w:val="auto"/>
              </w:rPr>
            </w:pPr>
          </w:p>
        </w:tc>
        <w:tc>
          <w:tcPr>
            <w:tcW w:w="120" w:type="dxa"/>
            <w:vAlign w:val="bottom"/>
            <w:shd w:val="clear" w:color="auto" w:fill="EEEEEE"/>
          </w:tcPr>
          <w:p>
            <w:pPr>
              <w:spacing w:after="0"/>
              <w:rPr>
                <w:sz w:val="18"/>
                <w:szCs w:val="18"/>
                <w:color w:val="auto"/>
              </w:rPr>
            </w:pPr>
          </w:p>
        </w:tc>
        <w:tc>
          <w:tcPr>
            <w:tcW w:w="220" w:type="dxa"/>
            <w:vAlign w:val="bottom"/>
            <w:shd w:val="clear" w:color="auto" w:fill="EEEEEE"/>
          </w:tcPr>
          <w:p>
            <w:pPr>
              <w:spacing w:after="0"/>
              <w:rPr>
                <w:sz w:val="18"/>
                <w:szCs w:val="18"/>
                <w:color w:val="auto"/>
              </w:rPr>
            </w:pPr>
          </w:p>
        </w:tc>
        <w:tc>
          <w:tcPr>
            <w:tcW w:w="920" w:type="dxa"/>
            <w:vAlign w:val="bottom"/>
            <w:shd w:val="clear" w:color="auto" w:fill="EEEEEE"/>
          </w:tcPr>
          <w:p>
            <w:pPr>
              <w:spacing w:after="0"/>
              <w:rPr>
                <w:sz w:val="18"/>
                <w:szCs w:val="18"/>
                <w:color w:val="auto"/>
              </w:rPr>
            </w:pPr>
          </w:p>
        </w:tc>
        <w:tc>
          <w:tcPr>
            <w:tcW w:w="100" w:type="dxa"/>
            <w:vAlign w:val="bottom"/>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1940" w:type="dxa"/>
            <w:vAlign w:val="bottom"/>
            <w:shd w:val="clear" w:color="auto" w:fill="EEEEEE"/>
          </w:tcPr>
          <w:p>
            <w:pPr>
              <w:spacing w:after="0"/>
              <w:rPr>
                <w:sz w:val="20"/>
                <w:szCs w:val="20"/>
                <w:color w:val="auto"/>
              </w:rPr>
            </w:pPr>
            <w:r>
              <w:rPr>
                <w:rFonts w:ascii="Arial" w:cs="Arial" w:eastAsia="Arial" w:hAnsi="Arial"/>
                <w:sz w:val="18"/>
                <w:szCs w:val="18"/>
                <w:color w:val="auto"/>
              </w:rPr>
              <w:t>private offering</w:t>
            </w:r>
          </w:p>
        </w:tc>
        <w:tc>
          <w:tcPr>
            <w:tcW w:w="1160" w:type="dxa"/>
            <w:vAlign w:val="bottom"/>
            <w:shd w:val="clear" w:color="auto" w:fill="EEEEEE"/>
          </w:tcPr>
          <w:p>
            <w:pPr>
              <w:jc w:val="right"/>
              <w:spacing w:after="0"/>
              <w:rPr>
                <w:sz w:val="20"/>
                <w:szCs w:val="20"/>
                <w:color w:val="auto"/>
              </w:rPr>
            </w:pPr>
            <w:r>
              <w:rPr>
                <w:rFonts w:ascii="Arial" w:cs="Arial" w:eastAsia="Arial" w:hAnsi="Arial"/>
                <w:sz w:val="18"/>
                <w:szCs w:val="18"/>
                <w:color w:val="auto"/>
              </w:rPr>
              <w:t>300,000</w:t>
            </w:r>
          </w:p>
        </w:tc>
        <w:tc>
          <w:tcPr>
            <w:tcW w:w="220" w:type="dxa"/>
            <w:vAlign w:val="bottom"/>
            <w:shd w:val="clear" w:color="auto" w:fill="EEEEEE"/>
          </w:tcPr>
          <w:p>
            <w:pPr>
              <w:spacing w:after="0"/>
              <w:rPr>
                <w:sz w:val="20"/>
                <w:szCs w:val="20"/>
                <w:color w:val="auto"/>
              </w:rPr>
            </w:pPr>
          </w:p>
        </w:tc>
        <w:tc>
          <w:tcPr>
            <w:tcW w:w="160" w:type="dxa"/>
            <w:vAlign w:val="bottom"/>
            <w:shd w:val="clear" w:color="auto" w:fill="EEEEEE"/>
          </w:tcPr>
          <w:p>
            <w:pPr>
              <w:spacing w:after="0"/>
              <w:rPr>
                <w:sz w:val="20"/>
                <w:szCs w:val="20"/>
                <w:color w:val="auto"/>
              </w:rPr>
            </w:pPr>
          </w:p>
        </w:tc>
        <w:tc>
          <w:tcPr>
            <w:tcW w:w="980" w:type="dxa"/>
            <w:vAlign w:val="bottom"/>
            <w:shd w:val="clear" w:color="auto" w:fill="EEEEEE"/>
          </w:tcPr>
          <w:p>
            <w:pPr>
              <w:jc w:val="right"/>
              <w:spacing w:after="0"/>
              <w:rPr>
                <w:sz w:val="20"/>
                <w:szCs w:val="20"/>
                <w:color w:val="auto"/>
              </w:rPr>
            </w:pPr>
            <w:r>
              <w:rPr>
                <w:rFonts w:ascii="Arial" w:cs="Arial" w:eastAsia="Arial" w:hAnsi="Arial"/>
                <w:sz w:val="18"/>
                <w:szCs w:val="18"/>
                <w:color w:val="auto"/>
              </w:rPr>
              <w:t>300</w:t>
            </w:r>
          </w:p>
        </w:tc>
        <w:tc>
          <w:tcPr>
            <w:tcW w:w="220" w:type="dxa"/>
            <w:vAlign w:val="bottom"/>
            <w:shd w:val="clear" w:color="auto" w:fill="EEEEEE"/>
          </w:tcPr>
          <w:p>
            <w:pPr>
              <w:spacing w:after="0"/>
              <w:rPr>
                <w:sz w:val="20"/>
                <w:szCs w:val="20"/>
                <w:color w:val="auto"/>
              </w:rPr>
            </w:pPr>
          </w:p>
        </w:tc>
        <w:tc>
          <w:tcPr>
            <w:tcW w:w="1120" w:type="dxa"/>
            <w:vAlign w:val="bottom"/>
            <w:shd w:val="clear" w:color="auto" w:fill="EEEEEE"/>
          </w:tcPr>
          <w:p>
            <w:pPr>
              <w:spacing w:after="0"/>
              <w:rPr>
                <w:sz w:val="20"/>
                <w:szCs w:val="20"/>
                <w:color w:val="auto"/>
              </w:rPr>
            </w:pPr>
          </w:p>
        </w:tc>
        <w:tc>
          <w:tcPr>
            <w:tcW w:w="220" w:type="dxa"/>
            <w:vAlign w:val="bottom"/>
            <w:shd w:val="clear" w:color="auto" w:fill="EEEEEE"/>
          </w:tcPr>
          <w:p>
            <w:pPr>
              <w:spacing w:after="0"/>
              <w:rPr>
                <w:sz w:val="20"/>
                <w:szCs w:val="20"/>
                <w:color w:val="auto"/>
              </w:rPr>
            </w:pPr>
          </w:p>
        </w:tc>
        <w:tc>
          <w:tcPr>
            <w:tcW w:w="960" w:type="dxa"/>
            <w:vAlign w:val="bottom"/>
            <w:shd w:val="clear" w:color="auto" w:fill="EEEEEE"/>
          </w:tcPr>
          <w:p>
            <w:pPr>
              <w:spacing w:after="0"/>
              <w:rPr>
                <w:sz w:val="20"/>
                <w:szCs w:val="20"/>
                <w:color w:val="auto"/>
              </w:rPr>
            </w:pPr>
          </w:p>
        </w:tc>
        <w:tc>
          <w:tcPr>
            <w:tcW w:w="180" w:type="dxa"/>
            <w:vAlign w:val="bottom"/>
            <w:shd w:val="clear" w:color="auto" w:fill="EEEEEE"/>
          </w:tcPr>
          <w:p>
            <w:pPr>
              <w:spacing w:after="0"/>
              <w:rPr>
                <w:sz w:val="20"/>
                <w:szCs w:val="20"/>
                <w:color w:val="auto"/>
              </w:rPr>
            </w:pPr>
          </w:p>
        </w:tc>
        <w:tc>
          <w:tcPr>
            <w:tcW w:w="220" w:type="dxa"/>
            <w:vAlign w:val="bottom"/>
            <w:shd w:val="clear" w:color="auto" w:fill="EEEEEE"/>
          </w:tcPr>
          <w:p>
            <w:pPr>
              <w:spacing w:after="0"/>
              <w:rPr>
                <w:sz w:val="20"/>
                <w:szCs w:val="20"/>
                <w:color w:val="auto"/>
              </w:rPr>
            </w:pPr>
          </w:p>
        </w:tc>
        <w:tc>
          <w:tcPr>
            <w:tcW w:w="120" w:type="dxa"/>
            <w:vAlign w:val="bottom"/>
            <w:shd w:val="clear" w:color="auto" w:fill="EEEEEE"/>
          </w:tcPr>
          <w:p>
            <w:pPr>
              <w:spacing w:after="0"/>
              <w:rPr>
                <w:sz w:val="20"/>
                <w:szCs w:val="20"/>
                <w:color w:val="auto"/>
              </w:rPr>
            </w:pPr>
          </w:p>
        </w:tc>
        <w:tc>
          <w:tcPr>
            <w:tcW w:w="1000" w:type="dxa"/>
            <w:vAlign w:val="bottom"/>
            <w:shd w:val="clear" w:color="auto" w:fill="EEEEEE"/>
          </w:tcPr>
          <w:p>
            <w:pPr>
              <w:jc w:val="right"/>
              <w:spacing w:after="0"/>
              <w:rPr>
                <w:sz w:val="20"/>
                <w:szCs w:val="20"/>
                <w:color w:val="auto"/>
              </w:rPr>
            </w:pPr>
            <w:r>
              <w:rPr>
                <w:rFonts w:ascii="Arial" w:cs="Arial" w:eastAsia="Arial" w:hAnsi="Arial"/>
                <w:sz w:val="18"/>
                <w:szCs w:val="18"/>
                <w:color w:val="auto"/>
              </w:rPr>
              <w:t>299,700</w:t>
            </w:r>
          </w:p>
        </w:tc>
        <w:tc>
          <w:tcPr>
            <w:tcW w:w="160" w:type="dxa"/>
            <w:vAlign w:val="bottom"/>
            <w:shd w:val="clear" w:color="auto" w:fill="EEEEEE"/>
          </w:tcPr>
          <w:p>
            <w:pPr>
              <w:spacing w:after="0"/>
              <w:rPr>
                <w:sz w:val="20"/>
                <w:szCs w:val="20"/>
                <w:color w:val="auto"/>
              </w:rPr>
            </w:pPr>
          </w:p>
        </w:tc>
        <w:tc>
          <w:tcPr>
            <w:tcW w:w="80" w:type="dxa"/>
            <w:vAlign w:val="bottom"/>
            <w:shd w:val="clear" w:color="auto" w:fill="EEEEEE"/>
          </w:tcPr>
          <w:p>
            <w:pPr>
              <w:spacing w:after="0"/>
              <w:rPr>
                <w:sz w:val="20"/>
                <w:szCs w:val="20"/>
                <w:color w:val="auto"/>
              </w:rPr>
            </w:pPr>
          </w:p>
        </w:tc>
        <w:tc>
          <w:tcPr>
            <w:tcW w:w="120" w:type="dxa"/>
            <w:vAlign w:val="bottom"/>
            <w:shd w:val="clear" w:color="auto" w:fill="EEEEEE"/>
          </w:tcPr>
          <w:p>
            <w:pPr>
              <w:spacing w:after="0"/>
              <w:rPr>
                <w:sz w:val="20"/>
                <w:szCs w:val="20"/>
                <w:color w:val="auto"/>
              </w:rPr>
            </w:pPr>
          </w:p>
        </w:tc>
        <w:tc>
          <w:tcPr>
            <w:tcW w:w="1020" w:type="dxa"/>
            <w:vAlign w:val="bottom"/>
            <w:shd w:val="clear" w:color="auto" w:fill="EEEEEE"/>
          </w:tcPr>
          <w:p>
            <w:pPr>
              <w:spacing w:after="0"/>
              <w:rPr>
                <w:sz w:val="20"/>
                <w:szCs w:val="20"/>
                <w:color w:val="auto"/>
              </w:rPr>
            </w:pPr>
          </w:p>
        </w:tc>
        <w:tc>
          <w:tcPr>
            <w:tcW w:w="160" w:type="dxa"/>
            <w:vAlign w:val="bottom"/>
            <w:shd w:val="clear" w:color="auto" w:fill="EEEEEE"/>
          </w:tcPr>
          <w:p>
            <w:pPr>
              <w:spacing w:after="0"/>
              <w:rPr>
                <w:sz w:val="20"/>
                <w:szCs w:val="20"/>
                <w:color w:val="auto"/>
              </w:rPr>
            </w:pPr>
          </w:p>
        </w:tc>
        <w:tc>
          <w:tcPr>
            <w:tcW w:w="120" w:type="dxa"/>
            <w:vAlign w:val="bottom"/>
            <w:shd w:val="clear" w:color="auto" w:fill="EEEEEE"/>
          </w:tcPr>
          <w:p>
            <w:pPr>
              <w:spacing w:after="0"/>
              <w:rPr>
                <w:sz w:val="20"/>
                <w:szCs w:val="20"/>
                <w:color w:val="auto"/>
              </w:rPr>
            </w:pPr>
          </w:p>
        </w:tc>
        <w:tc>
          <w:tcPr>
            <w:tcW w:w="220" w:type="dxa"/>
            <w:vAlign w:val="bottom"/>
            <w:shd w:val="clear" w:color="auto" w:fill="EEEEEE"/>
          </w:tcPr>
          <w:p>
            <w:pPr>
              <w:spacing w:after="0"/>
              <w:rPr>
                <w:sz w:val="20"/>
                <w:szCs w:val="20"/>
                <w:color w:val="auto"/>
              </w:rPr>
            </w:pPr>
          </w:p>
        </w:tc>
        <w:tc>
          <w:tcPr>
            <w:tcW w:w="920" w:type="dxa"/>
            <w:vAlign w:val="bottom"/>
            <w:shd w:val="clear" w:color="auto" w:fill="EEEEEE"/>
          </w:tcPr>
          <w:p>
            <w:pPr>
              <w:jc w:val="right"/>
              <w:spacing w:after="0"/>
              <w:rPr>
                <w:sz w:val="20"/>
                <w:szCs w:val="20"/>
                <w:color w:val="auto"/>
              </w:rPr>
            </w:pPr>
            <w:r>
              <w:rPr>
                <w:rFonts w:ascii="Arial" w:cs="Arial" w:eastAsia="Arial" w:hAnsi="Arial"/>
                <w:sz w:val="18"/>
                <w:szCs w:val="18"/>
                <w:color w:val="auto"/>
              </w:rPr>
              <w:t>300,000</w:t>
            </w:r>
          </w:p>
        </w:tc>
        <w:tc>
          <w:tcPr>
            <w:tcW w:w="100" w:type="dxa"/>
            <w:vAlign w:val="bottom"/>
            <w:shd w:val="clear" w:color="auto" w:fill="EEEEEE"/>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194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20" w:type="dxa"/>
            <w:vAlign w:val="bottom"/>
            <w:vMerge w:val="continue"/>
          </w:tcPr>
          <w:p>
            <w:pPr>
              <w:spacing w:after="0"/>
              <w:rPr>
                <w:sz w:val="17"/>
                <w:szCs w:val="17"/>
                <w:color w:val="auto"/>
              </w:rPr>
            </w:pPr>
          </w:p>
        </w:tc>
        <w:tc>
          <w:tcPr>
            <w:tcW w:w="1940" w:type="dxa"/>
            <w:vAlign w:val="bottom"/>
            <w:shd w:val="clear" w:color="auto" w:fill="EEEEEE"/>
          </w:tcPr>
          <w:p>
            <w:pPr>
              <w:spacing w:after="0" w:line="201" w:lineRule="exact"/>
              <w:rPr>
                <w:sz w:val="20"/>
                <w:szCs w:val="20"/>
                <w:color w:val="auto"/>
              </w:rPr>
            </w:pPr>
            <w:r>
              <w:rPr>
                <w:rFonts w:ascii="Arial" w:cs="Arial" w:eastAsia="Arial" w:hAnsi="Arial"/>
                <w:sz w:val="18"/>
                <w:szCs w:val="18"/>
                <w:color w:val="auto"/>
                <w:w w:val="98"/>
              </w:rPr>
              <w:t>Net Loss, December 31,</w:t>
            </w:r>
          </w:p>
        </w:tc>
        <w:tc>
          <w:tcPr>
            <w:tcW w:w="1160" w:type="dxa"/>
            <w:vAlign w:val="bottom"/>
            <w:shd w:val="clear" w:color="auto" w:fill="EEEEEE"/>
          </w:tcPr>
          <w:p>
            <w:pPr>
              <w:spacing w:after="0"/>
              <w:rPr>
                <w:sz w:val="17"/>
                <w:szCs w:val="17"/>
                <w:color w:val="auto"/>
              </w:rPr>
            </w:pPr>
          </w:p>
        </w:tc>
        <w:tc>
          <w:tcPr>
            <w:tcW w:w="220" w:type="dxa"/>
            <w:vAlign w:val="bottom"/>
            <w:shd w:val="clear" w:color="auto" w:fill="EEEEEE"/>
          </w:tcPr>
          <w:p>
            <w:pPr>
              <w:spacing w:after="0"/>
              <w:rPr>
                <w:sz w:val="17"/>
                <w:szCs w:val="17"/>
                <w:color w:val="auto"/>
              </w:rPr>
            </w:pPr>
          </w:p>
        </w:tc>
        <w:tc>
          <w:tcPr>
            <w:tcW w:w="160" w:type="dxa"/>
            <w:vAlign w:val="bottom"/>
            <w:shd w:val="clear" w:color="auto" w:fill="EEEEEE"/>
          </w:tcPr>
          <w:p>
            <w:pPr>
              <w:spacing w:after="0"/>
              <w:rPr>
                <w:sz w:val="17"/>
                <w:szCs w:val="17"/>
                <w:color w:val="auto"/>
              </w:rPr>
            </w:pPr>
          </w:p>
        </w:tc>
        <w:tc>
          <w:tcPr>
            <w:tcW w:w="980" w:type="dxa"/>
            <w:vAlign w:val="bottom"/>
            <w:shd w:val="clear" w:color="auto" w:fill="EEEEEE"/>
          </w:tcPr>
          <w:p>
            <w:pPr>
              <w:spacing w:after="0"/>
              <w:rPr>
                <w:sz w:val="17"/>
                <w:szCs w:val="17"/>
                <w:color w:val="auto"/>
              </w:rPr>
            </w:pPr>
          </w:p>
        </w:tc>
        <w:tc>
          <w:tcPr>
            <w:tcW w:w="220" w:type="dxa"/>
            <w:vAlign w:val="bottom"/>
            <w:shd w:val="clear" w:color="auto" w:fill="EEEEEE"/>
          </w:tcPr>
          <w:p>
            <w:pPr>
              <w:spacing w:after="0"/>
              <w:rPr>
                <w:sz w:val="17"/>
                <w:szCs w:val="17"/>
                <w:color w:val="auto"/>
              </w:rPr>
            </w:pPr>
          </w:p>
        </w:tc>
        <w:tc>
          <w:tcPr>
            <w:tcW w:w="1120" w:type="dxa"/>
            <w:vAlign w:val="bottom"/>
            <w:shd w:val="clear" w:color="auto" w:fill="EEEEEE"/>
          </w:tcPr>
          <w:p>
            <w:pPr>
              <w:spacing w:after="0"/>
              <w:rPr>
                <w:sz w:val="17"/>
                <w:szCs w:val="17"/>
                <w:color w:val="auto"/>
              </w:rPr>
            </w:pPr>
          </w:p>
        </w:tc>
        <w:tc>
          <w:tcPr>
            <w:tcW w:w="220" w:type="dxa"/>
            <w:vAlign w:val="bottom"/>
            <w:shd w:val="clear" w:color="auto" w:fill="EEEEEE"/>
          </w:tcPr>
          <w:p>
            <w:pPr>
              <w:spacing w:after="0"/>
              <w:rPr>
                <w:sz w:val="17"/>
                <w:szCs w:val="17"/>
                <w:color w:val="auto"/>
              </w:rPr>
            </w:pPr>
          </w:p>
        </w:tc>
        <w:tc>
          <w:tcPr>
            <w:tcW w:w="960" w:type="dxa"/>
            <w:vAlign w:val="bottom"/>
            <w:shd w:val="clear" w:color="auto" w:fill="EEEEEE"/>
          </w:tcPr>
          <w:p>
            <w:pPr>
              <w:spacing w:after="0"/>
              <w:rPr>
                <w:sz w:val="17"/>
                <w:szCs w:val="17"/>
                <w:color w:val="auto"/>
              </w:rPr>
            </w:pPr>
          </w:p>
        </w:tc>
        <w:tc>
          <w:tcPr>
            <w:tcW w:w="180" w:type="dxa"/>
            <w:vAlign w:val="bottom"/>
            <w:shd w:val="clear" w:color="auto" w:fill="EEEEEE"/>
          </w:tcPr>
          <w:p>
            <w:pPr>
              <w:spacing w:after="0"/>
              <w:rPr>
                <w:sz w:val="17"/>
                <w:szCs w:val="17"/>
                <w:color w:val="auto"/>
              </w:rPr>
            </w:pPr>
          </w:p>
        </w:tc>
        <w:tc>
          <w:tcPr>
            <w:tcW w:w="220" w:type="dxa"/>
            <w:vAlign w:val="bottom"/>
            <w:shd w:val="clear" w:color="auto" w:fill="EEEEEE"/>
          </w:tcPr>
          <w:p>
            <w:pPr>
              <w:spacing w:after="0"/>
              <w:rPr>
                <w:sz w:val="17"/>
                <w:szCs w:val="17"/>
                <w:color w:val="auto"/>
              </w:rPr>
            </w:pPr>
          </w:p>
        </w:tc>
        <w:tc>
          <w:tcPr>
            <w:tcW w:w="120" w:type="dxa"/>
            <w:vAlign w:val="bottom"/>
            <w:shd w:val="clear" w:color="auto" w:fill="EEEEEE"/>
          </w:tcPr>
          <w:p>
            <w:pPr>
              <w:spacing w:after="0"/>
              <w:rPr>
                <w:sz w:val="17"/>
                <w:szCs w:val="17"/>
                <w:color w:val="auto"/>
              </w:rPr>
            </w:pPr>
          </w:p>
        </w:tc>
        <w:tc>
          <w:tcPr>
            <w:tcW w:w="1000" w:type="dxa"/>
            <w:vAlign w:val="bottom"/>
            <w:shd w:val="clear" w:color="auto" w:fill="EEEEEE"/>
          </w:tcPr>
          <w:p>
            <w:pPr>
              <w:spacing w:after="0"/>
              <w:rPr>
                <w:sz w:val="17"/>
                <w:szCs w:val="17"/>
                <w:color w:val="auto"/>
              </w:rPr>
            </w:pPr>
          </w:p>
        </w:tc>
        <w:tc>
          <w:tcPr>
            <w:tcW w:w="160" w:type="dxa"/>
            <w:vAlign w:val="bottom"/>
            <w:shd w:val="clear" w:color="auto" w:fill="EEEEEE"/>
          </w:tcPr>
          <w:p>
            <w:pPr>
              <w:spacing w:after="0"/>
              <w:rPr>
                <w:sz w:val="17"/>
                <w:szCs w:val="17"/>
                <w:color w:val="auto"/>
              </w:rPr>
            </w:pPr>
          </w:p>
        </w:tc>
        <w:tc>
          <w:tcPr>
            <w:tcW w:w="80" w:type="dxa"/>
            <w:vAlign w:val="bottom"/>
            <w:shd w:val="clear" w:color="auto" w:fill="EEEEEE"/>
          </w:tcPr>
          <w:p>
            <w:pPr>
              <w:spacing w:after="0"/>
              <w:rPr>
                <w:sz w:val="17"/>
                <w:szCs w:val="17"/>
                <w:color w:val="auto"/>
              </w:rPr>
            </w:pPr>
          </w:p>
        </w:tc>
        <w:tc>
          <w:tcPr>
            <w:tcW w:w="120" w:type="dxa"/>
            <w:vAlign w:val="bottom"/>
            <w:shd w:val="clear" w:color="auto" w:fill="EEEEEE"/>
          </w:tcPr>
          <w:p>
            <w:pPr>
              <w:spacing w:after="0"/>
              <w:rPr>
                <w:sz w:val="17"/>
                <w:szCs w:val="17"/>
                <w:color w:val="auto"/>
              </w:rPr>
            </w:pPr>
          </w:p>
        </w:tc>
        <w:tc>
          <w:tcPr>
            <w:tcW w:w="1020" w:type="dxa"/>
            <w:vAlign w:val="bottom"/>
            <w:shd w:val="clear" w:color="auto" w:fill="EEEEEE"/>
          </w:tcPr>
          <w:p>
            <w:pPr>
              <w:spacing w:after="0"/>
              <w:rPr>
                <w:sz w:val="17"/>
                <w:szCs w:val="17"/>
                <w:color w:val="auto"/>
              </w:rPr>
            </w:pPr>
          </w:p>
        </w:tc>
        <w:tc>
          <w:tcPr>
            <w:tcW w:w="160" w:type="dxa"/>
            <w:vAlign w:val="bottom"/>
            <w:shd w:val="clear" w:color="auto" w:fill="EEEEEE"/>
          </w:tcPr>
          <w:p>
            <w:pPr>
              <w:spacing w:after="0"/>
              <w:rPr>
                <w:sz w:val="17"/>
                <w:szCs w:val="17"/>
                <w:color w:val="auto"/>
              </w:rPr>
            </w:pPr>
          </w:p>
        </w:tc>
        <w:tc>
          <w:tcPr>
            <w:tcW w:w="120" w:type="dxa"/>
            <w:vAlign w:val="bottom"/>
            <w:shd w:val="clear" w:color="auto" w:fill="EEEEEE"/>
          </w:tcPr>
          <w:p>
            <w:pPr>
              <w:spacing w:after="0"/>
              <w:rPr>
                <w:sz w:val="17"/>
                <w:szCs w:val="17"/>
                <w:color w:val="auto"/>
              </w:rPr>
            </w:pPr>
          </w:p>
        </w:tc>
        <w:tc>
          <w:tcPr>
            <w:tcW w:w="220" w:type="dxa"/>
            <w:vAlign w:val="bottom"/>
            <w:shd w:val="clear" w:color="auto" w:fill="EEEEEE"/>
          </w:tcPr>
          <w:p>
            <w:pPr>
              <w:spacing w:after="0"/>
              <w:rPr>
                <w:sz w:val="17"/>
                <w:szCs w:val="17"/>
                <w:color w:val="auto"/>
              </w:rPr>
            </w:pPr>
          </w:p>
        </w:tc>
        <w:tc>
          <w:tcPr>
            <w:tcW w:w="920" w:type="dxa"/>
            <w:vAlign w:val="bottom"/>
            <w:shd w:val="clear" w:color="auto" w:fill="EEEEEE"/>
          </w:tcPr>
          <w:p>
            <w:pPr>
              <w:spacing w:after="0"/>
              <w:rPr>
                <w:sz w:val="17"/>
                <w:szCs w:val="17"/>
                <w:color w:val="auto"/>
              </w:rPr>
            </w:pPr>
          </w:p>
        </w:tc>
        <w:tc>
          <w:tcPr>
            <w:tcW w:w="100" w:type="dxa"/>
            <w:vAlign w:val="bottom"/>
            <w:shd w:val="clear" w:color="auto" w:fill="EEEEEE"/>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1940" w:type="dxa"/>
            <w:vAlign w:val="bottom"/>
            <w:shd w:val="clear" w:color="auto" w:fill="EEEEEE"/>
          </w:tcPr>
          <w:p>
            <w:pPr>
              <w:spacing w:after="0"/>
              <w:rPr>
                <w:sz w:val="20"/>
                <w:szCs w:val="20"/>
                <w:color w:val="auto"/>
              </w:rPr>
            </w:pPr>
            <w:r>
              <w:rPr>
                <w:rFonts w:ascii="Arial" w:cs="Arial" w:eastAsia="Arial" w:hAnsi="Arial"/>
                <w:sz w:val="18"/>
                <w:szCs w:val="18"/>
                <w:color w:val="auto"/>
              </w:rPr>
              <w:t>2007</w:t>
            </w:r>
          </w:p>
        </w:tc>
        <w:tc>
          <w:tcPr>
            <w:tcW w:w="1160" w:type="dxa"/>
            <w:vAlign w:val="bottom"/>
            <w:shd w:val="clear" w:color="auto" w:fill="EEEEEE"/>
          </w:tcPr>
          <w:p>
            <w:pPr>
              <w:spacing w:after="0"/>
              <w:rPr>
                <w:sz w:val="20"/>
                <w:szCs w:val="20"/>
                <w:color w:val="auto"/>
              </w:rPr>
            </w:pPr>
          </w:p>
        </w:tc>
        <w:tc>
          <w:tcPr>
            <w:tcW w:w="220" w:type="dxa"/>
            <w:vAlign w:val="bottom"/>
            <w:shd w:val="clear" w:color="auto" w:fill="EEEEEE"/>
          </w:tcPr>
          <w:p>
            <w:pPr>
              <w:spacing w:after="0"/>
              <w:rPr>
                <w:sz w:val="20"/>
                <w:szCs w:val="20"/>
                <w:color w:val="auto"/>
              </w:rPr>
            </w:pPr>
          </w:p>
        </w:tc>
        <w:tc>
          <w:tcPr>
            <w:tcW w:w="160" w:type="dxa"/>
            <w:vAlign w:val="bottom"/>
            <w:shd w:val="clear" w:color="auto" w:fill="EEEEEE"/>
          </w:tcPr>
          <w:p>
            <w:pPr>
              <w:spacing w:after="0"/>
              <w:rPr>
                <w:sz w:val="20"/>
                <w:szCs w:val="20"/>
                <w:color w:val="auto"/>
              </w:rPr>
            </w:pPr>
          </w:p>
        </w:tc>
        <w:tc>
          <w:tcPr>
            <w:tcW w:w="980" w:type="dxa"/>
            <w:vAlign w:val="bottom"/>
            <w:shd w:val="clear" w:color="auto" w:fill="EEEEEE"/>
          </w:tcPr>
          <w:p>
            <w:pPr>
              <w:spacing w:after="0"/>
              <w:rPr>
                <w:sz w:val="20"/>
                <w:szCs w:val="20"/>
                <w:color w:val="auto"/>
              </w:rPr>
            </w:pPr>
          </w:p>
        </w:tc>
        <w:tc>
          <w:tcPr>
            <w:tcW w:w="220" w:type="dxa"/>
            <w:vAlign w:val="bottom"/>
            <w:shd w:val="clear" w:color="auto" w:fill="EEEEEE"/>
          </w:tcPr>
          <w:p>
            <w:pPr>
              <w:spacing w:after="0"/>
              <w:rPr>
                <w:sz w:val="20"/>
                <w:szCs w:val="20"/>
                <w:color w:val="auto"/>
              </w:rPr>
            </w:pPr>
          </w:p>
        </w:tc>
        <w:tc>
          <w:tcPr>
            <w:tcW w:w="1120" w:type="dxa"/>
            <w:vAlign w:val="bottom"/>
            <w:shd w:val="clear" w:color="auto" w:fill="EEEEEE"/>
          </w:tcPr>
          <w:p>
            <w:pPr>
              <w:spacing w:after="0"/>
              <w:rPr>
                <w:sz w:val="20"/>
                <w:szCs w:val="20"/>
                <w:color w:val="auto"/>
              </w:rPr>
            </w:pPr>
          </w:p>
        </w:tc>
        <w:tc>
          <w:tcPr>
            <w:tcW w:w="220" w:type="dxa"/>
            <w:vAlign w:val="bottom"/>
            <w:shd w:val="clear" w:color="auto" w:fill="EEEEEE"/>
          </w:tcPr>
          <w:p>
            <w:pPr>
              <w:spacing w:after="0"/>
              <w:rPr>
                <w:sz w:val="20"/>
                <w:szCs w:val="20"/>
                <w:color w:val="auto"/>
              </w:rPr>
            </w:pPr>
          </w:p>
        </w:tc>
        <w:tc>
          <w:tcPr>
            <w:tcW w:w="960" w:type="dxa"/>
            <w:vAlign w:val="bottom"/>
            <w:shd w:val="clear" w:color="auto" w:fill="EEEEEE"/>
          </w:tcPr>
          <w:p>
            <w:pPr>
              <w:spacing w:after="0"/>
              <w:rPr>
                <w:sz w:val="20"/>
                <w:szCs w:val="20"/>
                <w:color w:val="auto"/>
              </w:rPr>
            </w:pPr>
          </w:p>
        </w:tc>
        <w:tc>
          <w:tcPr>
            <w:tcW w:w="180" w:type="dxa"/>
            <w:vAlign w:val="bottom"/>
            <w:shd w:val="clear" w:color="auto" w:fill="EEEEEE"/>
          </w:tcPr>
          <w:p>
            <w:pPr>
              <w:spacing w:after="0"/>
              <w:rPr>
                <w:sz w:val="20"/>
                <w:szCs w:val="20"/>
                <w:color w:val="auto"/>
              </w:rPr>
            </w:pPr>
          </w:p>
        </w:tc>
        <w:tc>
          <w:tcPr>
            <w:tcW w:w="220" w:type="dxa"/>
            <w:vAlign w:val="bottom"/>
            <w:shd w:val="clear" w:color="auto" w:fill="EEEEEE"/>
          </w:tcPr>
          <w:p>
            <w:pPr>
              <w:spacing w:after="0"/>
              <w:rPr>
                <w:sz w:val="20"/>
                <w:szCs w:val="20"/>
                <w:color w:val="auto"/>
              </w:rPr>
            </w:pPr>
          </w:p>
        </w:tc>
        <w:tc>
          <w:tcPr>
            <w:tcW w:w="120" w:type="dxa"/>
            <w:vAlign w:val="bottom"/>
            <w:shd w:val="clear" w:color="auto" w:fill="EEEEEE"/>
          </w:tcPr>
          <w:p>
            <w:pPr>
              <w:spacing w:after="0"/>
              <w:rPr>
                <w:sz w:val="20"/>
                <w:szCs w:val="20"/>
                <w:color w:val="auto"/>
              </w:rPr>
            </w:pPr>
          </w:p>
        </w:tc>
        <w:tc>
          <w:tcPr>
            <w:tcW w:w="1000" w:type="dxa"/>
            <w:vAlign w:val="bottom"/>
            <w:shd w:val="clear" w:color="auto" w:fill="EEEEEE"/>
          </w:tcPr>
          <w:p>
            <w:pPr>
              <w:spacing w:after="0"/>
              <w:rPr>
                <w:sz w:val="20"/>
                <w:szCs w:val="20"/>
                <w:color w:val="auto"/>
              </w:rPr>
            </w:pPr>
          </w:p>
        </w:tc>
        <w:tc>
          <w:tcPr>
            <w:tcW w:w="160" w:type="dxa"/>
            <w:vAlign w:val="bottom"/>
            <w:shd w:val="clear" w:color="auto" w:fill="EEEEEE"/>
          </w:tcPr>
          <w:p>
            <w:pPr>
              <w:spacing w:after="0"/>
              <w:rPr>
                <w:sz w:val="20"/>
                <w:szCs w:val="20"/>
                <w:color w:val="auto"/>
              </w:rPr>
            </w:pPr>
          </w:p>
        </w:tc>
        <w:tc>
          <w:tcPr>
            <w:tcW w:w="80" w:type="dxa"/>
            <w:vAlign w:val="bottom"/>
            <w:shd w:val="clear" w:color="auto" w:fill="EEEEEE"/>
          </w:tcPr>
          <w:p>
            <w:pPr>
              <w:spacing w:after="0"/>
              <w:rPr>
                <w:sz w:val="20"/>
                <w:szCs w:val="20"/>
                <w:color w:val="auto"/>
              </w:rPr>
            </w:pPr>
          </w:p>
        </w:tc>
        <w:tc>
          <w:tcPr>
            <w:tcW w:w="120" w:type="dxa"/>
            <w:vAlign w:val="bottom"/>
            <w:shd w:val="clear" w:color="auto" w:fill="EEEEEE"/>
          </w:tcPr>
          <w:p>
            <w:pPr>
              <w:spacing w:after="0"/>
              <w:rPr>
                <w:sz w:val="20"/>
                <w:szCs w:val="20"/>
                <w:color w:val="auto"/>
              </w:rPr>
            </w:pPr>
          </w:p>
        </w:tc>
        <w:tc>
          <w:tcPr>
            <w:tcW w:w="1180" w:type="dxa"/>
            <w:vAlign w:val="bottom"/>
            <w:gridSpan w:val="2"/>
            <w:shd w:val="clear" w:color="auto" w:fill="EEEEEE"/>
          </w:tcPr>
          <w:p>
            <w:pPr>
              <w:jc w:val="right"/>
              <w:ind w:right="100"/>
              <w:spacing w:after="0"/>
              <w:rPr>
                <w:sz w:val="20"/>
                <w:szCs w:val="20"/>
                <w:color w:val="auto"/>
              </w:rPr>
            </w:pPr>
            <w:r>
              <w:rPr>
                <w:rFonts w:ascii="Arial" w:cs="Arial" w:eastAsia="Arial" w:hAnsi="Arial"/>
                <w:sz w:val="18"/>
                <w:szCs w:val="18"/>
                <w:color w:val="auto"/>
              </w:rPr>
              <w:t>(361,466)</w:t>
            </w:r>
          </w:p>
        </w:tc>
        <w:tc>
          <w:tcPr>
            <w:tcW w:w="120" w:type="dxa"/>
            <w:vAlign w:val="bottom"/>
            <w:shd w:val="clear" w:color="auto" w:fill="EEEEEE"/>
          </w:tcPr>
          <w:p>
            <w:pPr>
              <w:spacing w:after="0"/>
              <w:rPr>
                <w:sz w:val="20"/>
                <w:szCs w:val="20"/>
                <w:color w:val="auto"/>
              </w:rPr>
            </w:pPr>
          </w:p>
        </w:tc>
        <w:tc>
          <w:tcPr>
            <w:tcW w:w="220" w:type="dxa"/>
            <w:vAlign w:val="bottom"/>
            <w:shd w:val="clear" w:color="auto" w:fill="EEEEEE"/>
          </w:tcPr>
          <w:p>
            <w:pPr>
              <w:spacing w:after="0"/>
              <w:rPr>
                <w:sz w:val="20"/>
                <w:szCs w:val="20"/>
                <w:color w:val="auto"/>
              </w:rPr>
            </w:pPr>
          </w:p>
        </w:tc>
        <w:tc>
          <w:tcPr>
            <w:tcW w:w="1020" w:type="dxa"/>
            <w:vAlign w:val="bottom"/>
            <w:gridSpan w:val="2"/>
            <w:shd w:val="clear" w:color="auto" w:fill="EEEEEE"/>
          </w:tcPr>
          <w:p>
            <w:pPr>
              <w:jc w:val="right"/>
              <w:ind w:right="40"/>
              <w:spacing w:after="0"/>
              <w:rPr>
                <w:sz w:val="20"/>
                <w:szCs w:val="20"/>
                <w:color w:val="auto"/>
              </w:rPr>
            </w:pPr>
            <w:r>
              <w:rPr>
                <w:rFonts w:ascii="Arial" w:cs="Arial" w:eastAsia="Arial" w:hAnsi="Arial"/>
                <w:sz w:val="18"/>
                <w:szCs w:val="18"/>
                <w:color w:val="auto"/>
              </w:rPr>
              <w:t>(361,466)</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1940" w:type="dxa"/>
            <w:vAlign w:val="bottom"/>
          </w:tcPr>
          <w:p>
            <w:pPr>
              <w:spacing w:after="0"/>
              <w:rPr>
                <w:sz w:val="19"/>
                <w:szCs w:val="19"/>
                <w:color w:val="auto"/>
              </w:rPr>
            </w:pPr>
          </w:p>
        </w:tc>
        <w:tc>
          <w:tcPr>
            <w:tcW w:w="1160" w:type="dxa"/>
            <w:vAlign w:val="bottom"/>
            <w:tcBorders>
              <w:bottom w:val="single" w:sz="8" w:color="auto"/>
            </w:tcBorders>
          </w:tcPr>
          <w:p>
            <w:pPr>
              <w:spacing w:after="0"/>
              <w:rPr>
                <w:sz w:val="19"/>
                <w:szCs w:val="19"/>
                <w:color w:val="auto"/>
              </w:rPr>
            </w:pPr>
          </w:p>
        </w:tc>
        <w:tc>
          <w:tcPr>
            <w:tcW w:w="220" w:type="dxa"/>
            <w:vAlign w:val="bottom"/>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spacing w:after="0"/>
              <w:rPr>
                <w:sz w:val="19"/>
                <w:szCs w:val="19"/>
                <w:color w:val="auto"/>
              </w:rPr>
            </w:pPr>
          </w:p>
        </w:tc>
        <w:tc>
          <w:tcPr>
            <w:tcW w:w="220" w:type="dxa"/>
            <w:vAlign w:val="bottom"/>
          </w:tcPr>
          <w:p>
            <w:pPr>
              <w:spacing w:after="0"/>
              <w:rPr>
                <w:sz w:val="19"/>
                <w:szCs w:val="19"/>
                <w:color w:val="auto"/>
              </w:rPr>
            </w:pPr>
          </w:p>
        </w:tc>
        <w:tc>
          <w:tcPr>
            <w:tcW w:w="1120" w:type="dxa"/>
            <w:vAlign w:val="bottom"/>
            <w:tcBorders>
              <w:bottom w:val="single" w:sz="8" w:color="auto"/>
            </w:tcBorders>
          </w:tcPr>
          <w:p>
            <w:pPr>
              <w:spacing w:after="0"/>
              <w:rPr>
                <w:sz w:val="19"/>
                <w:szCs w:val="19"/>
                <w:color w:val="auto"/>
              </w:rPr>
            </w:pPr>
          </w:p>
        </w:tc>
        <w:tc>
          <w:tcPr>
            <w:tcW w:w="220" w:type="dxa"/>
            <w:vAlign w:val="bottom"/>
          </w:tcPr>
          <w:p>
            <w:pPr>
              <w:spacing w:after="0"/>
              <w:rPr>
                <w:sz w:val="19"/>
                <w:szCs w:val="19"/>
                <w:color w:val="auto"/>
              </w:rPr>
            </w:pPr>
          </w:p>
        </w:tc>
        <w:tc>
          <w:tcPr>
            <w:tcW w:w="960" w:type="dxa"/>
            <w:vAlign w:val="bottom"/>
            <w:tcBorders>
              <w:bottom w:val="single" w:sz="8" w:color="auto"/>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220" w:type="dxa"/>
            <w:vAlign w:val="bottom"/>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spacing w:after="0"/>
              <w:rPr>
                <w:sz w:val="19"/>
                <w:szCs w:val="19"/>
                <w:color w:val="auto"/>
              </w:rPr>
            </w:pPr>
          </w:p>
        </w:tc>
        <w:tc>
          <w:tcPr>
            <w:tcW w:w="1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spacing w:after="0"/>
              <w:rPr>
                <w:sz w:val="19"/>
                <w:szCs w:val="19"/>
                <w:color w:val="auto"/>
              </w:rPr>
            </w:pPr>
          </w:p>
        </w:tc>
        <w:tc>
          <w:tcPr>
            <w:tcW w:w="1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1940" w:type="dxa"/>
            <w:vAlign w:val="bottom"/>
            <w:shd w:val="clear" w:color="auto" w:fill="EEEEEE"/>
          </w:tcPr>
          <w:p>
            <w:pPr>
              <w:spacing w:after="0" w:line="201" w:lineRule="exact"/>
              <w:rPr>
                <w:sz w:val="20"/>
                <w:szCs w:val="20"/>
                <w:color w:val="auto"/>
              </w:rPr>
            </w:pPr>
            <w:r>
              <w:rPr>
                <w:rFonts w:ascii="Arial" w:cs="Arial" w:eastAsia="Arial" w:hAnsi="Arial"/>
                <w:sz w:val="18"/>
                <w:szCs w:val="18"/>
                <w:color w:val="auto"/>
              </w:rPr>
              <w:t>Ending Balance,</w:t>
            </w:r>
          </w:p>
        </w:tc>
        <w:tc>
          <w:tcPr>
            <w:tcW w:w="1160" w:type="dxa"/>
            <w:vAlign w:val="bottom"/>
            <w:shd w:val="clear" w:color="auto" w:fill="EEEEEE"/>
          </w:tcPr>
          <w:p>
            <w:pPr>
              <w:spacing w:after="0"/>
              <w:rPr>
                <w:sz w:val="17"/>
                <w:szCs w:val="17"/>
                <w:color w:val="auto"/>
              </w:rPr>
            </w:pPr>
          </w:p>
        </w:tc>
        <w:tc>
          <w:tcPr>
            <w:tcW w:w="220" w:type="dxa"/>
            <w:vAlign w:val="bottom"/>
            <w:shd w:val="clear" w:color="auto" w:fill="EEEEEE"/>
          </w:tcPr>
          <w:p>
            <w:pPr>
              <w:spacing w:after="0"/>
              <w:rPr>
                <w:sz w:val="17"/>
                <w:szCs w:val="17"/>
                <w:color w:val="auto"/>
              </w:rPr>
            </w:pPr>
          </w:p>
        </w:tc>
        <w:tc>
          <w:tcPr>
            <w:tcW w:w="160" w:type="dxa"/>
            <w:vAlign w:val="bottom"/>
            <w:shd w:val="clear" w:color="auto" w:fill="EEEEEE"/>
          </w:tcPr>
          <w:p>
            <w:pPr>
              <w:spacing w:after="0"/>
              <w:rPr>
                <w:sz w:val="17"/>
                <w:szCs w:val="17"/>
                <w:color w:val="auto"/>
              </w:rPr>
            </w:pPr>
          </w:p>
        </w:tc>
        <w:tc>
          <w:tcPr>
            <w:tcW w:w="980" w:type="dxa"/>
            <w:vAlign w:val="bottom"/>
            <w:shd w:val="clear" w:color="auto" w:fill="EEEEEE"/>
          </w:tcPr>
          <w:p>
            <w:pPr>
              <w:spacing w:after="0"/>
              <w:rPr>
                <w:sz w:val="17"/>
                <w:szCs w:val="17"/>
                <w:color w:val="auto"/>
              </w:rPr>
            </w:pPr>
          </w:p>
        </w:tc>
        <w:tc>
          <w:tcPr>
            <w:tcW w:w="220" w:type="dxa"/>
            <w:vAlign w:val="bottom"/>
            <w:shd w:val="clear" w:color="auto" w:fill="EEEEEE"/>
          </w:tcPr>
          <w:p>
            <w:pPr>
              <w:spacing w:after="0"/>
              <w:rPr>
                <w:sz w:val="17"/>
                <w:szCs w:val="17"/>
                <w:color w:val="auto"/>
              </w:rPr>
            </w:pPr>
          </w:p>
        </w:tc>
        <w:tc>
          <w:tcPr>
            <w:tcW w:w="1120" w:type="dxa"/>
            <w:vAlign w:val="bottom"/>
            <w:shd w:val="clear" w:color="auto" w:fill="EEEEEE"/>
          </w:tcPr>
          <w:p>
            <w:pPr>
              <w:spacing w:after="0"/>
              <w:rPr>
                <w:sz w:val="17"/>
                <w:szCs w:val="17"/>
                <w:color w:val="auto"/>
              </w:rPr>
            </w:pPr>
          </w:p>
        </w:tc>
        <w:tc>
          <w:tcPr>
            <w:tcW w:w="220" w:type="dxa"/>
            <w:vAlign w:val="bottom"/>
            <w:shd w:val="clear" w:color="auto" w:fill="EEEEEE"/>
          </w:tcPr>
          <w:p>
            <w:pPr>
              <w:spacing w:after="0"/>
              <w:rPr>
                <w:sz w:val="17"/>
                <w:szCs w:val="17"/>
                <w:color w:val="auto"/>
              </w:rPr>
            </w:pPr>
          </w:p>
        </w:tc>
        <w:tc>
          <w:tcPr>
            <w:tcW w:w="960" w:type="dxa"/>
            <w:vAlign w:val="bottom"/>
            <w:shd w:val="clear" w:color="auto" w:fill="EEEEEE"/>
          </w:tcPr>
          <w:p>
            <w:pPr>
              <w:spacing w:after="0"/>
              <w:rPr>
                <w:sz w:val="17"/>
                <w:szCs w:val="17"/>
                <w:color w:val="auto"/>
              </w:rPr>
            </w:pPr>
          </w:p>
        </w:tc>
        <w:tc>
          <w:tcPr>
            <w:tcW w:w="180" w:type="dxa"/>
            <w:vAlign w:val="bottom"/>
            <w:shd w:val="clear" w:color="auto" w:fill="EEEEEE"/>
          </w:tcPr>
          <w:p>
            <w:pPr>
              <w:spacing w:after="0"/>
              <w:rPr>
                <w:sz w:val="17"/>
                <w:szCs w:val="17"/>
                <w:color w:val="auto"/>
              </w:rPr>
            </w:pPr>
          </w:p>
        </w:tc>
        <w:tc>
          <w:tcPr>
            <w:tcW w:w="220" w:type="dxa"/>
            <w:vAlign w:val="bottom"/>
            <w:shd w:val="clear" w:color="auto" w:fill="EEEEEE"/>
          </w:tcPr>
          <w:p>
            <w:pPr>
              <w:spacing w:after="0"/>
              <w:rPr>
                <w:sz w:val="17"/>
                <w:szCs w:val="17"/>
                <w:color w:val="auto"/>
              </w:rPr>
            </w:pPr>
          </w:p>
        </w:tc>
        <w:tc>
          <w:tcPr>
            <w:tcW w:w="120" w:type="dxa"/>
            <w:vAlign w:val="bottom"/>
            <w:shd w:val="clear" w:color="auto" w:fill="EEEEEE"/>
          </w:tcPr>
          <w:p>
            <w:pPr>
              <w:spacing w:after="0"/>
              <w:rPr>
                <w:sz w:val="17"/>
                <w:szCs w:val="17"/>
                <w:color w:val="auto"/>
              </w:rPr>
            </w:pPr>
          </w:p>
        </w:tc>
        <w:tc>
          <w:tcPr>
            <w:tcW w:w="1000" w:type="dxa"/>
            <w:vAlign w:val="bottom"/>
            <w:shd w:val="clear" w:color="auto" w:fill="EEEEEE"/>
          </w:tcPr>
          <w:p>
            <w:pPr>
              <w:spacing w:after="0"/>
              <w:rPr>
                <w:sz w:val="17"/>
                <w:szCs w:val="17"/>
                <w:color w:val="auto"/>
              </w:rPr>
            </w:pPr>
          </w:p>
        </w:tc>
        <w:tc>
          <w:tcPr>
            <w:tcW w:w="160" w:type="dxa"/>
            <w:vAlign w:val="bottom"/>
            <w:shd w:val="clear" w:color="auto" w:fill="EEEEEE"/>
          </w:tcPr>
          <w:p>
            <w:pPr>
              <w:spacing w:after="0"/>
              <w:rPr>
                <w:sz w:val="17"/>
                <w:szCs w:val="17"/>
                <w:color w:val="auto"/>
              </w:rPr>
            </w:pPr>
          </w:p>
        </w:tc>
        <w:tc>
          <w:tcPr>
            <w:tcW w:w="80" w:type="dxa"/>
            <w:vAlign w:val="bottom"/>
            <w:shd w:val="clear" w:color="auto" w:fill="EEEEEE"/>
          </w:tcPr>
          <w:p>
            <w:pPr>
              <w:spacing w:after="0"/>
              <w:rPr>
                <w:sz w:val="17"/>
                <w:szCs w:val="17"/>
                <w:color w:val="auto"/>
              </w:rPr>
            </w:pPr>
          </w:p>
        </w:tc>
        <w:tc>
          <w:tcPr>
            <w:tcW w:w="120" w:type="dxa"/>
            <w:vAlign w:val="bottom"/>
            <w:shd w:val="clear" w:color="auto" w:fill="EEEEEE"/>
          </w:tcPr>
          <w:p>
            <w:pPr>
              <w:spacing w:after="0"/>
              <w:rPr>
                <w:sz w:val="17"/>
                <w:szCs w:val="17"/>
                <w:color w:val="auto"/>
              </w:rPr>
            </w:pPr>
          </w:p>
        </w:tc>
        <w:tc>
          <w:tcPr>
            <w:tcW w:w="1020" w:type="dxa"/>
            <w:vAlign w:val="bottom"/>
            <w:shd w:val="clear" w:color="auto" w:fill="EEEEEE"/>
          </w:tcPr>
          <w:p>
            <w:pPr>
              <w:spacing w:after="0"/>
              <w:rPr>
                <w:sz w:val="17"/>
                <w:szCs w:val="17"/>
                <w:color w:val="auto"/>
              </w:rPr>
            </w:pPr>
          </w:p>
        </w:tc>
        <w:tc>
          <w:tcPr>
            <w:tcW w:w="160" w:type="dxa"/>
            <w:vAlign w:val="bottom"/>
            <w:shd w:val="clear" w:color="auto" w:fill="EEEEEE"/>
          </w:tcPr>
          <w:p>
            <w:pPr>
              <w:spacing w:after="0"/>
              <w:rPr>
                <w:sz w:val="17"/>
                <w:szCs w:val="17"/>
                <w:color w:val="auto"/>
              </w:rPr>
            </w:pPr>
          </w:p>
        </w:tc>
        <w:tc>
          <w:tcPr>
            <w:tcW w:w="120" w:type="dxa"/>
            <w:vAlign w:val="bottom"/>
            <w:shd w:val="clear" w:color="auto" w:fill="EEEEEE"/>
          </w:tcPr>
          <w:p>
            <w:pPr>
              <w:spacing w:after="0"/>
              <w:rPr>
                <w:sz w:val="17"/>
                <w:szCs w:val="17"/>
                <w:color w:val="auto"/>
              </w:rPr>
            </w:pPr>
          </w:p>
        </w:tc>
        <w:tc>
          <w:tcPr>
            <w:tcW w:w="220" w:type="dxa"/>
            <w:vAlign w:val="bottom"/>
            <w:shd w:val="clear" w:color="auto" w:fill="EEEEEE"/>
          </w:tcPr>
          <w:p>
            <w:pPr>
              <w:spacing w:after="0"/>
              <w:rPr>
                <w:sz w:val="17"/>
                <w:szCs w:val="17"/>
                <w:color w:val="auto"/>
              </w:rPr>
            </w:pPr>
          </w:p>
        </w:tc>
        <w:tc>
          <w:tcPr>
            <w:tcW w:w="1020" w:type="dxa"/>
            <w:vAlign w:val="bottom"/>
            <w:gridSpan w:val="2"/>
            <w:shd w:val="clear" w:color="auto" w:fill="EEEEEE"/>
          </w:tcPr>
          <w:p>
            <w:pPr>
              <w:jc w:val="right"/>
              <w:ind w:right="40"/>
              <w:spacing w:after="0" w:line="201" w:lineRule="exact"/>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1940" w:type="dxa"/>
            <w:vAlign w:val="bottom"/>
            <w:shd w:val="clear" w:color="auto" w:fill="EEEEEE"/>
          </w:tcPr>
          <w:p>
            <w:pPr>
              <w:spacing w:after="0"/>
              <w:rPr>
                <w:sz w:val="20"/>
                <w:szCs w:val="20"/>
                <w:color w:val="auto"/>
              </w:rPr>
            </w:pPr>
            <w:r>
              <w:rPr>
                <w:rFonts w:ascii="Arial" w:cs="Arial" w:eastAsia="Arial" w:hAnsi="Arial"/>
                <w:sz w:val="18"/>
                <w:szCs w:val="18"/>
                <w:color w:val="auto"/>
              </w:rPr>
              <w:t>December 31, 2007</w:t>
            </w:r>
          </w:p>
        </w:tc>
        <w:tc>
          <w:tcPr>
            <w:tcW w:w="1160" w:type="dxa"/>
            <w:vAlign w:val="bottom"/>
            <w:shd w:val="clear" w:color="auto" w:fill="EEEEEE"/>
          </w:tcPr>
          <w:p>
            <w:pPr>
              <w:jc w:val="right"/>
              <w:spacing w:after="0"/>
              <w:rPr>
                <w:sz w:val="20"/>
                <w:szCs w:val="20"/>
                <w:color w:val="auto"/>
              </w:rPr>
            </w:pPr>
            <w:r>
              <w:rPr>
                <w:rFonts w:ascii="Arial" w:cs="Arial" w:eastAsia="Arial" w:hAnsi="Arial"/>
                <w:sz w:val="18"/>
                <w:szCs w:val="18"/>
                <w:color w:val="auto"/>
              </w:rPr>
              <w:t>10,300,000</w:t>
            </w:r>
          </w:p>
        </w:tc>
        <w:tc>
          <w:tcPr>
            <w:tcW w:w="380" w:type="dxa"/>
            <w:vAlign w:val="bottom"/>
            <w:gridSpan w:val="2"/>
            <w:shd w:val="clear" w:color="auto" w:fill="EEEEEE"/>
          </w:tcPr>
          <w:p>
            <w:pPr>
              <w:jc w:val="right"/>
              <w:spacing w:after="0"/>
              <w:rPr>
                <w:sz w:val="20"/>
                <w:szCs w:val="20"/>
                <w:color w:val="auto"/>
              </w:rPr>
            </w:pPr>
            <w:r>
              <w:rPr>
                <w:rFonts w:ascii="Arial" w:cs="Arial" w:eastAsia="Arial" w:hAnsi="Arial"/>
                <w:sz w:val="18"/>
                <w:szCs w:val="18"/>
                <w:color w:val="auto"/>
              </w:rPr>
              <w:t>$</w:t>
            </w:r>
          </w:p>
        </w:tc>
        <w:tc>
          <w:tcPr>
            <w:tcW w:w="980" w:type="dxa"/>
            <w:vAlign w:val="bottom"/>
            <w:shd w:val="clear" w:color="auto" w:fill="EEEEEE"/>
          </w:tcPr>
          <w:p>
            <w:pPr>
              <w:jc w:val="right"/>
              <w:spacing w:after="0"/>
              <w:rPr>
                <w:sz w:val="20"/>
                <w:szCs w:val="20"/>
                <w:color w:val="auto"/>
              </w:rPr>
            </w:pPr>
            <w:r>
              <w:rPr>
                <w:rFonts w:ascii="Arial" w:cs="Arial" w:eastAsia="Arial" w:hAnsi="Arial"/>
                <w:sz w:val="18"/>
                <w:szCs w:val="18"/>
                <w:color w:val="auto"/>
              </w:rPr>
              <w:t>10,300</w:t>
            </w:r>
          </w:p>
        </w:tc>
        <w:tc>
          <w:tcPr>
            <w:tcW w:w="220" w:type="dxa"/>
            <w:vAlign w:val="bottom"/>
            <w:shd w:val="clear" w:color="auto" w:fill="EEEEEE"/>
          </w:tcPr>
          <w:p>
            <w:pPr>
              <w:spacing w:after="0"/>
              <w:rPr>
                <w:sz w:val="20"/>
                <w:szCs w:val="20"/>
                <w:color w:val="auto"/>
              </w:rPr>
            </w:pPr>
          </w:p>
        </w:tc>
        <w:tc>
          <w:tcPr>
            <w:tcW w:w="1120" w:type="dxa"/>
            <w:vAlign w:val="bottom"/>
            <w:shd w:val="clear" w:color="auto" w:fill="EEEEEE"/>
          </w:tcPr>
          <w:p>
            <w:pPr>
              <w:spacing w:after="0"/>
              <w:rPr>
                <w:sz w:val="20"/>
                <w:szCs w:val="20"/>
                <w:color w:val="auto"/>
              </w:rPr>
            </w:pPr>
          </w:p>
        </w:tc>
        <w:tc>
          <w:tcPr>
            <w:tcW w:w="220" w:type="dxa"/>
            <w:vAlign w:val="bottom"/>
            <w:shd w:val="clear" w:color="auto" w:fill="EEEEEE"/>
          </w:tcPr>
          <w:p>
            <w:pPr>
              <w:spacing w:after="0"/>
              <w:rPr>
                <w:sz w:val="20"/>
                <w:szCs w:val="20"/>
                <w:color w:val="auto"/>
              </w:rPr>
            </w:pPr>
          </w:p>
        </w:tc>
        <w:tc>
          <w:tcPr>
            <w:tcW w:w="960" w:type="dxa"/>
            <w:vAlign w:val="bottom"/>
            <w:shd w:val="clear" w:color="auto" w:fill="EEEEEE"/>
          </w:tcPr>
          <w:p>
            <w:pPr>
              <w:spacing w:after="0"/>
              <w:rPr>
                <w:sz w:val="20"/>
                <w:szCs w:val="20"/>
                <w:color w:val="auto"/>
              </w:rPr>
            </w:pPr>
          </w:p>
        </w:tc>
        <w:tc>
          <w:tcPr>
            <w:tcW w:w="180" w:type="dxa"/>
            <w:vAlign w:val="bottom"/>
            <w:shd w:val="clear" w:color="auto" w:fill="EEEEEE"/>
          </w:tcPr>
          <w:p>
            <w:pPr>
              <w:spacing w:after="0"/>
              <w:rPr>
                <w:sz w:val="20"/>
                <w:szCs w:val="20"/>
                <w:color w:val="auto"/>
              </w:rPr>
            </w:pPr>
          </w:p>
        </w:tc>
        <w:tc>
          <w:tcPr>
            <w:tcW w:w="220" w:type="dxa"/>
            <w:vAlign w:val="bottom"/>
            <w:shd w:val="clear" w:color="auto" w:fill="EEEEEE"/>
          </w:tcPr>
          <w:p>
            <w:pPr>
              <w:spacing w:after="0"/>
              <w:rPr>
                <w:sz w:val="20"/>
                <w:szCs w:val="20"/>
                <w:color w:val="auto"/>
              </w:rPr>
            </w:pPr>
          </w:p>
        </w:tc>
        <w:tc>
          <w:tcPr>
            <w:tcW w:w="120" w:type="dxa"/>
            <w:vAlign w:val="bottom"/>
            <w:shd w:val="clear" w:color="auto" w:fill="EEEEEE"/>
          </w:tcPr>
          <w:p>
            <w:pPr>
              <w:spacing w:after="0"/>
              <w:rPr>
                <w:sz w:val="20"/>
                <w:szCs w:val="20"/>
                <w:color w:val="auto"/>
              </w:rPr>
            </w:pPr>
          </w:p>
        </w:tc>
        <w:tc>
          <w:tcPr>
            <w:tcW w:w="1000" w:type="dxa"/>
            <w:vAlign w:val="bottom"/>
            <w:shd w:val="clear" w:color="auto" w:fill="EEEEEE"/>
          </w:tcPr>
          <w:p>
            <w:pPr>
              <w:jc w:val="right"/>
              <w:spacing w:after="0"/>
              <w:rPr>
                <w:sz w:val="20"/>
                <w:szCs w:val="20"/>
                <w:color w:val="auto"/>
              </w:rPr>
            </w:pPr>
            <w:r>
              <w:rPr>
                <w:rFonts w:ascii="Arial" w:cs="Arial" w:eastAsia="Arial" w:hAnsi="Arial"/>
                <w:sz w:val="18"/>
                <w:szCs w:val="18"/>
                <w:color w:val="auto"/>
              </w:rPr>
              <w:t>289,700</w:t>
            </w:r>
          </w:p>
        </w:tc>
        <w:tc>
          <w:tcPr>
            <w:tcW w:w="160" w:type="dxa"/>
            <w:vAlign w:val="bottom"/>
            <w:shd w:val="clear" w:color="auto" w:fill="EEEEEE"/>
          </w:tcPr>
          <w:p>
            <w:pPr>
              <w:spacing w:after="0"/>
              <w:rPr>
                <w:sz w:val="20"/>
                <w:szCs w:val="20"/>
                <w:color w:val="auto"/>
              </w:rPr>
            </w:pPr>
          </w:p>
        </w:tc>
        <w:tc>
          <w:tcPr>
            <w:tcW w:w="200" w:type="dxa"/>
            <w:vAlign w:val="bottom"/>
            <w:gridSpan w:val="2"/>
            <w:shd w:val="clear" w:color="auto" w:fill="EEEEEE"/>
          </w:tcPr>
          <w:p>
            <w:pPr>
              <w:jc w:val="right"/>
              <w:spacing w:after="0"/>
              <w:rPr>
                <w:sz w:val="20"/>
                <w:szCs w:val="20"/>
                <w:color w:val="auto"/>
              </w:rPr>
            </w:pPr>
            <w:r>
              <w:rPr>
                <w:rFonts w:ascii="Arial" w:cs="Arial" w:eastAsia="Arial" w:hAnsi="Arial"/>
                <w:sz w:val="18"/>
                <w:szCs w:val="18"/>
                <w:color w:val="auto"/>
              </w:rPr>
              <w:t>$</w:t>
            </w:r>
          </w:p>
        </w:tc>
        <w:tc>
          <w:tcPr>
            <w:tcW w:w="1180" w:type="dxa"/>
            <w:vAlign w:val="bottom"/>
            <w:gridSpan w:val="2"/>
            <w:shd w:val="clear" w:color="auto" w:fill="EEEEEE"/>
          </w:tcPr>
          <w:p>
            <w:pPr>
              <w:jc w:val="right"/>
              <w:ind w:right="100"/>
              <w:spacing w:after="0"/>
              <w:rPr>
                <w:sz w:val="20"/>
                <w:szCs w:val="20"/>
                <w:color w:val="auto"/>
              </w:rPr>
            </w:pPr>
            <w:r>
              <w:rPr>
                <w:rFonts w:ascii="Arial" w:cs="Arial" w:eastAsia="Arial" w:hAnsi="Arial"/>
                <w:sz w:val="18"/>
                <w:szCs w:val="18"/>
                <w:color w:val="auto"/>
              </w:rPr>
              <w:t>(394,927)</w:t>
            </w:r>
          </w:p>
        </w:tc>
        <w:tc>
          <w:tcPr>
            <w:tcW w:w="340" w:type="dxa"/>
            <w:vAlign w:val="bottom"/>
            <w:gridSpan w:val="2"/>
            <w:shd w:val="clear" w:color="auto" w:fill="EEEEEE"/>
          </w:tcPr>
          <w:p>
            <w:pPr>
              <w:jc w:val="right"/>
              <w:ind w:right="140"/>
              <w:spacing w:after="0"/>
              <w:rPr>
                <w:sz w:val="20"/>
                <w:szCs w:val="20"/>
                <w:color w:val="auto"/>
              </w:rPr>
            </w:pPr>
            <w:r>
              <w:rPr>
                <w:rFonts w:ascii="Arial" w:cs="Arial" w:eastAsia="Arial" w:hAnsi="Arial"/>
                <w:sz w:val="18"/>
                <w:szCs w:val="18"/>
                <w:color w:val="auto"/>
              </w:rPr>
              <w:t>$</w:t>
            </w:r>
          </w:p>
        </w:tc>
        <w:tc>
          <w:tcPr>
            <w:tcW w:w="920" w:type="dxa"/>
            <w:vAlign w:val="bottom"/>
            <w:shd w:val="clear" w:color="auto" w:fill="EEEEEE"/>
          </w:tcPr>
          <w:p>
            <w:pPr>
              <w:jc w:val="right"/>
              <w:spacing w:after="0"/>
              <w:rPr>
                <w:sz w:val="20"/>
                <w:szCs w:val="20"/>
                <w:color w:val="auto"/>
              </w:rPr>
            </w:pPr>
            <w:r>
              <w:rPr>
                <w:rFonts w:ascii="Arial" w:cs="Arial" w:eastAsia="Arial" w:hAnsi="Arial"/>
                <w:sz w:val="18"/>
                <w:szCs w:val="18"/>
                <w:color w:val="auto"/>
              </w:rPr>
              <w:t>(94,927</w:t>
            </w:r>
          </w:p>
        </w:tc>
        <w:tc>
          <w:tcPr>
            <w:tcW w:w="100" w:type="dxa"/>
            <w:vAlign w:val="bottom"/>
            <w:shd w:val="clear" w:color="auto" w:fill="EEEEEE"/>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194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20" w:type="dxa"/>
            <w:vAlign w:val="bottom"/>
            <w:vMerge w:val="continue"/>
          </w:tcPr>
          <w:p>
            <w:pPr>
              <w:spacing w:after="0"/>
              <w:rPr>
                <w:sz w:val="17"/>
                <w:szCs w:val="17"/>
                <w:color w:val="auto"/>
              </w:rPr>
            </w:pPr>
          </w:p>
        </w:tc>
        <w:tc>
          <w:tcPr>
            <w:tcW w:w="1940" w:type="dxa"/>
            <w:vAlign w:val="bottom"/>
            <w:shd w:val="clear" w:color="auto" w:fill="EEEEEE"/>
          </w:tcPr>
          <w:p>
            <w:pPr>
              <w:spacing w:after="0" w:line="201" w:lineRule="exact"/>
              <w:rPr>
                <w:sz w:val="20"/>
                <w:szCs w:val="20"/>
                <w:color w:val="auto"/>
              </w:rPr>
            </w:pPr>
            <w:r>
              <w:rPr>
                <w:rFonts w:ascii="Arial" w:cs="Arial" w:eastAsia="Arial" w:hAnsi="Arial"/>
                <w:sz w:val="18"/>
                <w:szCs w:val="18"/>
                <w:color w:val="auto"/>
              </w:rPr>
              <w:t>Issuance of common</w:t>
            </w:r>
          </w:p>
        </w:tc>
        <w:tc>
          <w:tcPr>
            <w:tcW w:w="1160" w:type="dxa"/>
            <w:vAlign w:val="bottom"/>
            <w:shd w:val="clear" w:color="auto" w:fill="EEEEEE"/>
          </w:tcPr>
          <w:p>
            <w:pPr>
              <w:spacing w:after="0"/>
              <w:rPr>
                <w:sz w:val="17"/>
                <w:szCs w:val="17"/>
                <w:color w:val="auto"/>
              </w:rPr>
            </w:pPr>
          </w:p>
        </w:tc>
        <w:tc>
          <w:tcPr>
            <w:tcW w:w="220" w:type="dxa"/>
            <w:vAlign w:val="bottom"/>
            <w:shd w:val="clear" w:color="auto" w:fill="EEEEEE"/>
          </w:tcPr>
          <w:p>
            <w:pPr>
              <w:spacing w:after="0"/>
              <w:rPr>
                <w:sz w:val="17"/>
                <w:szCs w:val="17"/>
                <w:color w:val="auto"/>
              </w:rPr>
            </w:pPr>
          </w:p>
        </w:tc>
        <w:tc>
          <w:tcPr>
            <w:tcW w:w="160" w:type="dxa"/>
            <w:vAlign w:val="bottom"/>
            <w:shd w:val="clear" w:color="auto" w:fill="EEEEEE"/>
          </w:tcPr>
          <w:p>
            <w:pPr>
              <w:spacing w:after="0"/>
              <w:rPr>
                <w:sz w:val="17"/>
                <w:szCs w:val="17"/>
                <w:color w:val="auto"/>
              </w:rPr>
            </w:pPr>
          </w:p>
        </w:tc>
        <w:tc>
          <w:tcPr>
            <w:tcW w:w="980" w:type="dxa"/>
            <w:vAlign w:val="bottom"/>
            <w:shd w:val="clear" w:color="auto" w:fill="EEEEEE"/>
          </w:tcPr>
          <w:p>
            <w:pPr>
              <w:spacing w:after="0"/>
              <w:rPr>
                <w:sz w:val="17"/>
                <w:szCs w:val="17"/>
                <w:color w:val="auto"/>
              </w:rPr>
            </w:pPr>
          </w:p>
        </w:tc>
        <w:tc>
          <w:tcPr>
            <w:tcW w:w="220" w:type="dxa"/>
            <w:vAlign w:val="bottom"/>
            <w:shd w:val="clear" w:color="auto" w:fill="EEEEEE"/>
          </w:tcPr>
          <w:p>
            <w:pPr>
              <w:spacing w:after="0"/>
              <w:rPr>
                <w:sz w:val="17"/>
                <w:szCs w:val="17"/>
                <w:color w:val="auto"/>
              </w:rPr>
            </w:pPr>
          </w:p>
        </w:tc>
        <w:tc>
          <w:tcPr>
            <w:tcW w:w="1120" w:type="dxa"/>
            <w:vAlign w:val="bottom"/>
            <w:shd w:val="clear" w:color="auto" w:fill="EEEEEE"/>
          </w:tcPr>
          <w:p>
            <w:pPr>
              <w:spacing w:after="0"/>
              <w:rPr>
                <w:sz w:val="17"/>
                <w:szCs w:val="17"/>
                <w:color w:val="auto"/>
              </w:rPr>
            </w:pPr>
          </w:p>
        </w:tc>
        <w:tc>
          <w:tcPr>
            <w:tcW w:w="220" w:type="dxa"/>
            <w:vAlign w:val="bottom"/>
            <w:shd w:val="clear" w:color="auto" w:fill="EEEEEE"/>
          </w:tcPr>
          <w:p>
            <w:pPr>
              <w:spacing w:after="0"/>
              <w:rPr>
                <w:sz w:val="17"/>
                <w:szCs w:val="17"/>
                <w:color w:val="auto"/>
              </w:rPr>
            </w:pPr>
          </w:p>
        </w:tc>
        <w:tc>
          <w:tcPr>
            <w:tcW w:w="960" w:type="dxa"/>
            <w:vAlign w:val="bottom"/>
            <w:shd w:val="clear" w:color="auto" w:fill="EEEEEE"/>
          </w:tcPr>
          <w:p>
            <w:pPr>
              <w:spacing w:after="0"/>
              <w:rPr>
                <w:sz w:val="17"/>
                <w:szCs w:val="17"/>
                <w:color w:val="auto"/>
              </w:rPr>
            </w:pPr>
          </w:p>
        </w:tc>
        <w:tc>
          <w:tcPr>
            <w:tcW w:w="180" w:type="dxa"/>
            <w:vAlign w:val="bottom"/>
            <w:shd w:val="clear" w:color="auto" w:fill="EEEEEE"/>
          </w:tcPr>
          <w:p>
            <w:pPr>
              <w:spacing w:after="0"/>
              <w:rPr>
                <w:sz w:val="17"/>
                <w:szCs w:val="17"/>
                <w:color w:val="auto"/>
              </w:rPr>
            </w:pPr>
          </w:p>
        </w:tc>
        <w:tc>
          <w:tcPr>
            <w:tcW w:w="220" w:type="dxa"/>
            <w:vAlign w:val="bottom"/>
            <w:shd w:val="clear" w:color="auto" w:fill="EEEEEE"/>
          </w:tcPr>
          <w:p>
            <w:pPr>
              <w:spacing w:after="0"/>
              <w:rPr>
                <w:sz w:val="17"/>
                <w:szCs w:val="17"/>
                <w:color w:val="auto"/>
              </w:rPr>
            </w:pPr>
          </w:p>
        </w:tc>
        <w:tc>
          <w:tcPr>
            <w:tcW w:w="120" w:type="dxa"/>
            <w:vAlign w:val="bottom"/>
            <w:shd w:val="clear" w:color="auto" w:fill="EEEEEE"/>
          </w:tcPr>
          <w:p>
            <w:pPr>
              <w:spacing w:after="0"/>
              <w:rPr>
                <w:sz w:val="17"/>
                <w:szCs w:val="17"/>
                <w:color w:val="auto"/>
              </w:rPr>
            </w:pPr>
          </w:p>
        </w:tc>
        <w:tc>
          <w:tcPr>
            <w:tcW w:w="1000" w:type="dxa"/>
            <w:vAlign w:val="bottom"/>
            <w:shd w:val="clear" w:color="auto" w:fill="EEEEEE"/>
          </w:tcPr>
          <w:p>
            <w:pPr>
              <w:spacing w:after="0"/>
              <w:rPr>
                <w:sz w:val="17"/>
                <w:szCs w:val="17"/>
                <w:color w:val="auto"/>
              </w:rPr>
            </w:pPr>
          </w:p>
        </w:tc>
        <w:tc>
          <w:tcPr>
            <w:tcW w:w="160" w:type="dxa"/>
            <w:vAlign w:val="bottom"/>
            <w:shd w:val="clear" w:color="auto" w:fill="EEEEEE"/>
          </w:tcPr>
          <w:p>
            <w:pPr>
              <w:spacing w:after="0"/>
              <w:rPr>
                <w:sz w:val="17"/>
                <w:szCs w:val="17"/>
                <w:color w:val="auto"/>
              </w:rPr>
            </w:pPr>
          </w:p>
        </w:tc>
        <w:tc>
          <w:tcPr>
            <w:tcW w:w="80" w:type="dxa"/>
            <w:vAlign w:val="bottom"/>
            <w:shd w:val="clear" w:color="auto" w:fill="EEEEEE"/>
          </w:tcPr>
          <w:p>
            <w:pPr>
              <w:spacing w:after="0"/>
              <w:rPr>
                <w:sz w:val="17"/>
                <w:szCs w:val="17"/>
                <w:color w:val="auto"/>
              </w:rPr>
            </w:pPr>
          </w:p>
        </w:tc>
        <w:tc>
          <w:tcPr>
            <w:tcW w:w="120" w:type="dxa"/>
            <w:vAlign w:val="bottom"/>
            <w:shd w:val="clear" w:color="auto" w:fill="EEEEEE"/>
          </w:tcPr>
          <w:p>
            <w:pPr>
              <w:spacing w:after="0"/>
              <w:rPr>
                <w:sz w:val="17"/>
                <w:szCs w:val="17"/>
                <w:color w:val="auto"/>
              </w:rPr>
            </w:pPr>
          </w:p>
        </w:tc>
        <w:tc>
          <w:tcPr>
            <w:tcW w:w="1020" w:type="dxa"/>
            <w:vAlign w:val="bottom"/>
            <w:shd w:val="clear" w:color="auto" w:fill="EEEEEE"/>
          </w:tcPr>
          <w:p>
            <w:pPr>
              <w:spacing w:after="0"/>
              <w:rPr>
                <w:sz w:val="17"/>
                <w:szCs w:val="17"/>
                <w:color w:val="auto"/>
              </w:rPr>
            </w:pPr>
          </w:p>
        </w:tc>
        <w:tc>
          <w:tcPr>
            <w:tcW w:w="160" w:type="dxa"/>
            <w:vAlign w:val="bottom"/>
            <w:shd w:val="clear" w:color="auto" w:fill="EEEEEE"/>
          </w:tcPr>
          <w:p>
            <w:pPr>
              <w:spacing w:after="0"/>
              <w:rPr>
                <w:sz w:val="17"/>
                <w:szCs w:val="17"/>
                <w:color w:val="auto"/>
              </w:rPr>
            </w:pPr>
          </w:p>
        </w:tc>
        <w:tc>
          <w:tcPr>
            <w:tcW w:w="120" w:type="dxa"/>
            <w:vAlign w:val="bottom"/>
            <w:shd w:val="clear" w:color="auto" w:fill="EEEEEE"/>
          </w:tcPr>
          <w:p>
            <w:pPr>
              <w:spacing w:after="0"/>
              <w:rPr>
                <w:sz w:val="17"/>
                <w:szCs w:val="17"/>
                <w:color w:val="auto"/>
              </w:rPr>
            </w:pPr>
          </w:p>
        </w:tc>
        <w:tc>
          <w:tcPr>
            <w:tcW w:w="220" w:type="dxa"/>
            <w:vAlign w:val="bottom"/>
            <w:shd w:val="clear" w:color="auto" w:fill="EEEEEE"/>
          </w:tcPr>
          <w:p>
            <w:pPr>
              <w:spacing w:after="0"/>
              <w:rPr>
                <w:sz w:val="17"/>
                <w:szCs w:val="17"/>
                <w:color w:val="auto"/>
              </w:rPr>
            </w:pPr>
          </w:p>
        </w:tc>
        <w:tc>
          <w:tcPr>
            <w:tcW w:w="920" w:type="dxa"/>
            <w:vAlign w:val="bottom"/>
            <w:shd w:val="clear" w:color="auto" w:fill="EEEEEE"/>
          </w:tcPr>
          <w:p>
            <w:pPr>
              <w:spacing w:after="0"/>
              <w:rPr>
                <w:sz w:val="17"/>
                <w:szCs w:val="17"/>
                <w:color w:val="auto"/>
              </w:rPr>
            </w:pPr>
          </w:p>
        </w:tc>
        <w:tc>
          <w:tcPr>
            <w:tcW w:w="100" w:type="dxa"/>
            <w:vAlign w:val="bottom"/>
            <w:shd w:val="clear" w:color="auto" w:fill="EEEEEE"/>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940" w:type="dxa"/>
            <w:vAlign w:val="bottom"/>
            <w:shd w:val="clear" w:color="auto" w:fill="EEEEEE"/>
          </w:tcPr>
          <w:p>
            <w:pPr>
              <w:spacing w:after="0"/>
              <w:rPr>
                <w:sz w:val="20"/>
                <w:szCs w:val="20"/>
                <w:color w:val="auto"/>
              </w:rPr>
            </w:pPr>
            <w:r>
              <w:rPr>
                <w:rFonts w:ascii="Arial" w:cs="Arial" w:eastAsia="Arial" w:hAnsi="Arial"/>
                <w:sz w:val="18"/>
                <w:szCs w:val="18"/>
                <w:color w:val="auto"/>
              </w:rPr>
              <w:t>stock,</w:t>
            </w:r>
          </w:p>
        </w:tc>
        <w:tc>
          <w:tcPr>
            <w:tcW w:w="1160" w:type="dxa"/>
            <w:vAlign w:val="bottom"/>
            <w:shd w:val="clear" w:color="auto" w:fill="EEEEEE"/>
          </w:tcPr>
          <w:p>
            <w:pPr>
              <w:spacing w:after="0"/>
              <w:rPr>
                <w:sz w:val="18"/>
                <w:szCs w:val="18"/>
                <w:color w:val="auto"/>
              </w:rPr>
            </w:pPr>
          </w:p>
        </w:tc>
        <w:tc>
          <w:tcPr>
            <w:tcW w:w="220" w:type="dxa"/>
            <w:vAlign w:val="bottom"/>
            <w:shd w:val="clear" w:color="auto" w:fill="EEEEEE"/>
          </w:tcPr>
          <w:p>
            <w:pPr>
              <w:spacing w:after="0"/>
              <w:rPr>
                <w:sz w:val="18"/>
                <w:szCs w:val="18"/>
                <w:color w:val="auto"/>
              </w:rPr>
            </w:pPr>
          </w:p>
        </w:tc>
        <w:tc>
          <w:tcPr>
            <w:tcW w:w="160" w:type="dxa"/>
            <w:vAlign w:val="bottom"/>
            <w:shd w:val="clear" w:color="auto" w:fill="EEEEEE"/>
          </w:tcPr>
          <w:p>
            <w:pPr>
              <w:spacing w:after="0"/>
              <w:rPr>
                <w:sz w:val="18"/>
                <w:szCs w:val="18"/>
                <w:color w:val="auto"/>
              </w:rPr>
            </w:pPr>
          </w:p>
        </w:tc>
        <w:tc>
          <w:tcPr>
            <w:tcW w:w="980" w:type="dxa"/>
            <w:vAlign w:val="bottom"/>
            <w:shd w:val="clear" w:color="auto" w:fill="EEEEEE"/>
          </w:tcPr>
          <w:p>
            <w:pPr>
              <w:spacing w:after="0"/>
              <w:rPr>
                <w:sz w:val="18"/>
                <w:szCs w:val="18"/>
                <w:color w:val="auto"/>
              </w:rPr>
            </w:pPr>
          </w:p>
        </w:tc>
        <w:tc>
          <w:tcPr>
            <w:tcW w:w="220" w:type="dxa"/>
            <w:vAlign w:val="bottom"/>
            <w:shd w:val="clear" w:color="auto" w:fill="EEEEEE"/>
          </w:tcPr>
          <w:p>
            <w:pPr>
              <w:spacing w:after="0"/>
              <w:rPr>
                <w:sz w:val="18"/>
                <w:szCs w:val="18"/>
                <w:color w:val="auto"/>
              </w:rPr>
            </w:pPr>
          </w:p>
        </w:tc>
        <w:tc>
          <w:tcPr>
            <w:tcW w:w="1120" w:type="dxa"/>
            <w:vAlign w:val="bottom"/>
            <w:shd w:val="clear" w:color="auto" w:fill="EEEEEE"/>
          </w:tcPr>
          <w:p>
            <w:pPr>
              <w:spacing w:after="0"/>
              <w:rPr>
                <w:sz w:val="18"/>
                <w:szCs w:val="18"/>
                <w:color w:val="auto"/>
              </w:rPr>
            </w:pPr>
          </w:p>
        </w:tc>
        <w:tc>
          <w:tcPr>
            <w:tcW w:w="220" w:type="dxa"/>
            <w:vAlign w:val="bottom"/>
            <w:shd w:val="clear" w:color="auto" w:fill="EEEEEE"/>
          </w:tcPr>
          <w:p>
            <w:pPr>
              <w:spacing w:after="0"/>
              <w:rPr>
                <w:sz w:val="18"/>
                <w:szCs w:val="18"/>
                <w:color w:val="auto"/>
              </w:rPr>
            </w:pPr>
          </w:p>
        </w:tc>
        <w:tc>
          <w:tcPr>
            <w:tcW w:w="960" w:type="dxa"/>
            <w:vAlign w:val="bottom"/>
            <w:shd w:val="clear" w:color="auto" w:fill="EEEEEE"/>
          </w:tcPr>
          <w:p>
            <w:pPr>
              <w:spacing w:after="0"/>
              <w:rPr>
                <w:sz w:val="18"/>
                <w:szCs w:val="18"/>
                <w:color w:val="auto"/>
              </w:rPr>
            </w:pPr>
          </w:p>
        </w:tc>
        <w:tc>
          <w:tcPr>
            <w:tcW w:w="180" w:type="dxa"/>
            <w:vAlign w:val="bottom"/>
            <w:shd w:val="clear" w:color="auto" w:fill="EEEEEE"/>
          </w:tcPr>
          <w:p>
            <w:pPr>
              <w:spacing w:after="0"/>
              <w:rPr>
                <w:sz w:val="18"/>
                <w:szCs w:val="18"/>
                <w:color w:val="auto"/>
              </w:rPr>
            </w:pPr>
          </w:p>
        </w:tc>
        <w:tc>
          <w:tcPr>
            <w:tcW w:w="220" w:type="dxa"/>
            <w:vAlign w:val="bottom"/>
            <w:shd w:val="clear" w:color="auto" w:fill="EEEEEE"/>
          </w:tcPr>
          <w:p>
            <w:pPr>
              <w:spacing w:after="0"/>
              <w:rPr>
                <w:sz w:val="18"/>
                <w:szCs w:val="18"/>
                <w:color w:val="auto"/>
              </w:rPr>
            </w:pPr>
          </w:p>
        </w:tc>
        <w:tc>
          <w:tcPr>
            <w:tcW w:w="120" w:type="dxa"/>
            <w:vAlign w:val="bottom"/>
            <w:shd w:val="clear" w:color="auto" w:fill="EEEEEE"/>
          </w:tcPr>
          <w:p>
            <w:pPr>
              <w:spacing w:after="0"/>
              <w:rPr>
                <w:sz w:val="18"/>
                <w:szCs w:val="18"/>
                <w:color w:val="auto"/>
              </w:rPr>
            </w:pPr>
          </w:p>
        </w:tc>
        <w:tc>
          <w:tcPr>
            <w:tcW w:w="1000" w:type="dxa"/>
            <w:vAlign w:val="bottom"/>
            <w:shd w:val="clear" w:color="auto" w:fill="EEEEEE"/>
          </w:tcPr>
          <w:p>
            <w:pPr>
              <w:spacing w:after="0"/>
              <w:rPr>
                <w:sz w:val="18"/>
                <w:szCs w:val="18"/>
                <w:color w:val="auto"/>
              </w:rPr>
            </w:pPr>
          </w:p>
        </w:tc>
        <w:tc>
          <w:tcPr>
            <w:tcW w:w="160" w:type="dxa"/>
            <w:vAlign w:val="bottom"/>
            <w:shd w:val="clear" w:color="auto" w:fill="EEEEEE"/>
          </w:tcPr>
          <w:p>
            <w:pPr>
              <w:spacing w:after="0"/>
              <w:rPr>
                <w:sz w:val="18"/>
                <w:szCs w:val="18"/>
                <w:color w:val="auto"/>
              </w:rPr>
            </w:pPr>
          </w:p>
        </w:tc>
        <w:tc>
          <w:tcPr>
            <w:tcW w:w="80" w:type="dxa"/>
            <w:vAlign w:val="bottom"/>
            <w:shd w:val="clear" w:color="auto" w:fill="EEEEEE"/>
          </w:tcPr>
          <w:p>
            <w:pPr>
              <w:spacing w:after="0"/>
              <w:rPr>
                <w:sz w:val="18"/>
                <w:szCs w:val="18"/>
                <w:color w:val="auto"/>
              </w:rPr>
            </w:pPr>
          </w:p>
        </w:tc>
        <w:tc>
          <w:tcPr>
            <w:tcW w:w="120" w:type="dxa"/>
            <w:vAlign w:val="bottom"/>
            <w:shd w:val="clear" w:color="auto" w:fill="EEEEEE"/>
          </w:tcPr>
          <w:p>
            <w:pPr>
              <w:spacing w:after="0"/>
              <w:rPr>
                <w:sz w:val="18"/>
                <w:szCs w:val="18"/>
                <w:color w:val="auto"/>
              </w:rPr>
            </w:pPr>
          </w:p>
        </w:tc>
        <w:tc>
          <w:tcPr>
            <w:tcW w:w="1020" w:type="dxa"/>
            <w:vAlign w:val="bottom"/>
            <w:shd w:val="clear" w:color="auto" w:fill="EEEEEE"/>
          </w:tcPr>
          <w:p>
            <w:pPr>
              <w:spacing w:after="0"/>
              <w:rPr>
                <w:sz w:val="18"/>
                <w:szCs w:val="18"/>
                <w:color w:val="auto"/>
              </w:rPr>
            </w:pPr>
          </w:p>
        </w:tc>
        <w:tc>
          <w:tcPr>
            <w:tcW w:w="160" w:type="dxa"/>
            <w:vAlign w:val="bottom"/>
            <w:shd w:val="clear" w:color="auto" w:fill="EEEEEE"/>
          </w:tcPr>
          <w:p>
            <w:pPr>
              <w:spacing w:after="0"/>
              <w:rPr>
                <w:sz w:val="18"/>
                <w:szCs w:val="18"/>
                <w:color w:val="auto"/>
              </w:rPr>
            </w:pPr>
          </w:p>
        </w:tc>
        <w:tc>
          <w:tcPr>
            <w:tcW w:w="120" w:type="dxa"/>
            <w:vAlign w:val="bottom"/>
            <w:shd w:val="clear" w:color="auto" w:fill="EEEEEE"/>
          </w:tcPr>
          <w:p>
            <w:pPr>
              <w:spacing w:after="0"/>
              <w:rPr>
                <w:sz w:val="18"/>
                <w:szCs w:val="18"/>
                <w:color w:val="auto"/>
              </w:rPr>
            </w:pPr>
          </w:p>
        </w:tc>
        <w:tc>
          <w:tcPr>
            <w:tcW w:w="220" w:type="dxa"/>
            <w:vAlign w:val="bottom"/>
            <w:shd w:val="clear" w:color="auto" w:fill="EEEEEE"/>
          </w:tcPr>
          <w:p>
            <w:pPr>
              <w:spacing w:after="0"/>
              <w:rPr>
                <w:sz w:val="18"/>
                <w:szCs w:val="18"/>
                <w:color w:val="auto"/>
              </w:rPr>
            </w:pPr>
          </w:p>
        </w:tc>
        <w:tc>
          <w:tcPr>
            <w:tcW w:w="920" w:type="dxa"/>
            <w:vAlign w:val="bottom"/>
            <w:shd w:val="clear" w:color="auto" w:fill="EEEEEE"/>
          </w:tcPr>
          <w:p>
            <w:pPr>
              <w:spacing w:after="0"/>
              <w:rPr>
                <w:sz w:val="18"/>
                <w:szCs w:val="18"/>
                <w:color w:val="auto"/>
              </w:rPr>
            </w:pPr>
          </w:p>
        </w:tc>
        <w:tc>
          <w:tcPr>
            <w:tcW w:w="100" w:type="dxa"/>
            <w:vAlign w:val="bottom"/>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1940" w:type="dxa"/>
            <w:vAlign w:val="bottom"/>
            <w:shd w:val="clear" w:color="auto" w:fill="EEEEEE"/>
          </w:tcPr>
          <w:p>
            <w:pPr>
              <w:spacing w:after="0"/>
              <w:rPr>
                <w:sz w:val="20"/>
                <w:szCs w:val="20"/>
                <w:color w:val="auto"/>
              </w:rPr>
            </w:pPr>
            <w:r>
              <w:rPr>
                <w:rFonts w:ascii="Arial" w:cs="Arial" w:eastAsia="Arial" w:hAnsi="Arial"/>
                <w:sz w:val="18"/>
                <w:szCs w:val="18"/>
                <w:color w:val="auto"/>
              </w:rPr>
              <w:t>private offering</w:t>
            </w:r>
          </w:p>
        </w:tc>
        <w:tc>
          <w:tcPr>
            <w:tcW w:w="1160" w:type="dxa"/>
            <w:vAlign w:val="bottom"/>
            <w:shd w:val="clear" w:color="auto" w:fill="EEEEEE"/>
          </w:tcPr>
          <w:p>
            <w:pPr>
              <w:jc w:val="right"/>
              <w:spacing w:after="0"/>
              <w:rPr>
                <w:sz w:val="20"/>
                <w:szCs w:val="20"/>
                <w:color w:val="auto"/>
              </w:rPr>
            </w:pPr>
            <w:r>
              <w:rPr>
                <w:rFonts w:ascii="Arial" w:cs="Arial" w:eastAsia="Arial" w:hAnsi="Arial"/>
                <w:sz w:val="18"/>
                <w:szCs w:val="18"/>
                <w:color w:val="auto"/>
              </w:rPr>
              <w:t>6,350,000</w:t>
            </w:r>
          </w:p>
        </w:tc>
        <w:tc>
          <w:tcPr>
            <w:tcW w:w="220" w:type="dxa"/>
            <w:vAlign w:val="bottom"/>
            <w:shd w:val="clear" w:color="auto" w:fill="EEEEEE"/>
          </w:tcPr>
          <w:p>
            <w:pPr>
              <w:spacing w:after="0"/>
              <w:rPr>
                <w:sz w:val="20"/>
                <w:szCs w:val="20"/>
                <w:color w:val="auto"/>
              </w:rPr>
            </w:pPr>
          </w:p>
        </w:tc>
        <w:tc>
          <w:tcPr>
            <w:tcW w:w="160" w:type="dxa"/>
            <w:vAlign w:val="bottom"/>
            <w:shd w:val="clear" w:color="auto" w:fill="EEEEEE"/>
          </w:tcPr>
          <w:p>
            <w:pPr>
              <w:spacing w:after="0"/>
              <w:rPr>
                <w:sz w:val="20"/>
                <w:szCs w:val="20"/>
                <w:color w:val="auto"/>
              </w:rPr>
            </w:pPr>
          </w:p>
        </w:tc>
        <w:tc>
          <w:tcPr>
            <w:tcW w:w="980" w:type="dxa"/>
            <w:vAlign w:val="bottom"/>
            <w:shd w:val="clear" w:color="auto" w:fill="EEEEEE"/>
          </w:tcPr>
          <w:p>
            <w:pPr>
              <w:jc w:val="right"/>
              <w:spacing w:after="0"/>
              <w:rPr>
                <w:sz w:val="20"/>
                <w:szCs w:val="20"/>
                <w:color w:val="auto"/>
              </w:rPr>
            </w:pPr>
            <w:r>
              <w:rPr>
                <w:rFonts w:ascii="Arial" w:cs="Arial" w:eastAsia="Arial" w:hAnsi="Arial"/>
                <w:sz w:val="18"/>
                <w:szCs w:val="18"/>
                <w:color w:val="auto"/>
              </w:rPr>
              <w:t>6,350</w:t>
            </w:r>
          </w:p>
        </w:tc>
        <w:tc>
          <w:tcPr>
            <w:tcW w:w="220" w:type="dxa"/>
            <w:vAlign w:val="bottom"/>
            <w:shd w:val="clear" w:color="auto" w:fill="EEEEEE"/>
          </w:tcPr>
          <w:p>
            <w:pPr>
              <w:spacing w:after="0"/>
              <w:rPr>
                <w:sz w:val="20"/>
                <w:szCs w:val="20"/>
                <w:color w:val="auto"/>
              </w:rPr>
            </w:pPr>
          </w:p>
        </w:tc>
        <w:tc>
          <w:tcPr>
            <w:tcW w:w="1120" w:type="dxa"/>
            <w:vAlign w:val="bottom"/>
            <w:shd w:val="clear" w:color="auto" w:fill="EEEEEE"/>
          </w:tcPr>
          <w:p>
            <w:pPr>
              <w:spacing w:after="0"/>
              <w:rPr>
                <w:sz w:val="20"/>
                <w:szCs w:val="20"/>
                <w:color w:val="auto"/>
              </w:rPr>
            </w:pPr>
          </w:p>
        </w:tc>
        <w:tc>
          <w:tcPr>
            <w:tcW w:w="220" w:type="dxa"/>
            <w:vAlign w:val="bottom"/>
            <w:shd w:val="clear" w:color="auto" w:fill="EEEEEE"/>
          </w:tcPr>
          <w:p>
            <w:pPr>
              <w:spacing w:after="0"/>
              <w:rPr>
                <w:sz w:val="20"/>
                <w:szCs w:val="20"/>
                <w:color w:val="auto"/>
              </w:rPr>
            </w:pPr>
          </w:p>
        </w:tc>
        <w:tc>
          <w:tcPr>
            <w:tcW w:w="960" w:type="dxa"/>
            <w:vAlign w:val="bottom"/>
            <w:shd w:val="clear" w:color="auto" w:fill="EEEEEE"/>
          </w:tcPr>
          <w:p>
            <w:pPr>
              <w:spacing w:after="0"/>
              <w:rPr>
                <w:sz w:val="20"/>
                <w:szCs w:val="20"/>
                <w:color w:val="auto"/>
              </w:rPr>
            </w:pPr>
          </w:p>
        </w:tc>
        <w:tc>
          <w:tcPr>
            <w:tcW w:w="180" w:type="dxa"/>
            <w:vAlign w:val="bottom"/>
            <w:shd w:val="clear" w:color="auto" w:fill="EEEEEE"/>
          </w:tcPr>
          <w:p>
            <w:pPr>
              <w:spacing w:after="0"/>
              <w:rPr>
                <w:sz w:val="20"/>
                <w:szCs w:val="20"/>
                <w:color w:val="auto"/>
              </w:rPr>
            </w:pPr>
          </w:p>
        </w:tc>
        <w:tc>
          <w:tcPr>
            <w:tcW w:w="220" w:type="dxa"/>
            <w:vAlign w:val="bottom"/>
            <w:shd w:val="clear" w:color="auto" w:fill="EEEEEE"/>
          </w:tcPr>
          <w:p>
            <w:pPr>
              <w:spacing w:after="0"/>
              <w:rPr>
                <w:sz w:val="20"/>
                <w:szCs w:val="20"/>
                <w:color w:val="auto"/>
              </w:rPr>
            </w:pPr>
          </w:p>
        </w:tc>
        <w:tc>
          <w:tcPr>
            <w:tcW w:w="120" w:type="dxa"/>
            <w:vAlign w:val="bottom"/>
            <w:shd w:val="clear" w:color="auto" w:fill="EEEEEE"/>
          </w:tcPr>
          <w:p>
            <w:pPr>
              <w:spacing w:after="0"/>
              <w:rPr>
                <w:sz w:val="20"/>
                <w:szCs w:val="20"/>
                <w:color w:val="auto"/>
              </w:rPr>
            </w:pPr>
          </w:p>
        </w:tc>
        <w:tc>
          <w:tcPr>
            <w:tcW w:w="1000" w:type="dxa"/>
            <w:vAlign w:val="bottom"/>
            <w:shd w:val="clear" w:color="auto" w:fill="EEEEEE"/>
          </w:tcPr>
          <w:p>
            <w:pPr>
              <w:jc w:val="right"/>
              <w:spacing w:after="0"/>
              <w:rPr>
                <w:sz w:val="20"/>
                <w:szCs w:val="20"/>
                <w:color w:val="auto"/>
              </w:rPr>
            </w:pPr>
            <w:r>
              <w:rPr>
                <w:rFonts w:ascii="Arial" w:cs="Arial" w:eastAsia="Arial" w:hAnsi="Arial"/>
                <w:sz w:val="18"/>
                <w:szCs w:val="18"/>
                <w:color w:val="auto"/>
              </w:rPr>
              <w:t>628,650</w:t>
            </w:r>
          </w:p>
        </w:tc>
        <w:tc>
          <w:tcPr>
            <w:tcW w:w="160" w:type="dxa"/>
            <w:vAlign w:val="bottom"/>
            <w:shd w:val="clear" w:color="auto" w:fill="EEEEEE"/>
          </w:tcPr>
          <w:p>
            <w:pPr>
              <w:spacing w:after="0"/>
              <w:rPr>
                <w:sz w:val="20"/>
                <w:szCs w:val="20"/>
                <w:color w:val="auto"/>
              </w:rPr>
            </w:pPr>
          </w:p>
        </w:tc>
        <w:tc>
          <w:tcPr>
            <w:tcW w:w="80" w:type="dxa"/>
            <w:vAlign w:val="bottom"/>
            <w:shd w:val="clear" w:color="auto" w:fill="EEEEEE"/>
          </w:tcPr>
          <w:p>
            <w:pPr>
              <w:spacing w:after="0"/>
              <w:rPr>
                <w:sz w:val="20"/>
                <w:szCs w:val="20"/>
                <w:color w:val="auto"/>
              </w:rPr>
            </w:pPr>
          </w:p>
        </w:tc>
        <w:tc>
          <w:tcPr>
            <w:tcW w:w="120" w:type="dxa"/>
            <w:vAlign w:val="bottom"/>
            <w:shd w:val="clear" w:color="auto" w:fill="EEEEEE"/>
          </w:tcPr>
          <w:p>
            <w:pPr>
              <w:spacing w:after="0"/>
              <w:rPr>
                <w:sz w:val="20"/>
                <w:szCs w:val="20"/>
                <w:color w:val="auto"/>
              </w:rPr>
            </w:pPr>
          </w:p>
        </w:tc>
        <w:tc>
          <w:tcPr>
            <w:tcW w:w="1020" w:type="dxa"/>
            <w:vAlign w:val="bottom"/>
            <w:shd w:val="clear" w:color="auto" w:fill="EEEEEE"/>
          </w:tcPr>
          <w:p>
            <w:pPr>
              <w:spacing w:after="0"/>
              <w:rPr>
                <w:sz w:val="20"/>
                <w:szCs w:val="20"/>
                <w:color w:val="auto"/>
              </w:rPr>
            </w:pPr>
          </w:p>
        </w:tc>
        <w:tc>
          <w:tcPr>
            <w:tcW w:w="160" w:type="dxa"/>
            <w:vAlign w:val="bottom"/>
            <w:shd w:val="clear" w:color="auto" w:fill="EEEEEE"/>
          </w:tcPr>
          <w:p>
            <w:pPr>
              <w:spacing w:after="0"/>
              <w:rPr>
                <w:sz w:val="20"/>
                <w:szCs w:val="20"/>
                <w:color w:val="auto"/>
              </w:rPr>
            </w:pPr>
          </w:p>
        </w:tc>
        <w:tc>
          <w:tcPr>
            <w:tcW w:w="120" w:type="dxa"/>
            <w:vAlign w:val="bottom"/>
            <w:shd w:val="clear" w:color="auto" w:fill="EEEEEE"/>
          </w:tcPr>
          <w:p>
            <w:pPr>
              <w:spacing w:after="0"/>
              <w:rPr>
                <w:sz w:val="20"/>
                <w:szCs w:val="20"/>
                <w:color w:val="auto"/>
              </w:rPr>
            </w:pPr>
          </w:p>
        </w:tc>
        <w:tc>
          <w:tcPr>
            <w:tcW w:w="220" w:type="dxa"/>
            <w:vAlign w:val="bottom"/>
            <w:shd w:val="clear" w:color="auto" w:fill="EEEEEE"/>
          </w:tcPr>
          <w:p>
            <w:pPr>
              <w:spacing w:after="0"/>
              <w:rPr>
                <w:sz w:val="20"/>
                <w:szCs w:val="20"/>
                <w:color w:val="auto"/>
              </w:rPr>
            </w:pPr>
          </w:p>
        </w:tc>
        <w:tc>
          <w:tcPr>
            <w:tcW w:w="920" w:type="dxa"/>
            <w:vAlign w:val="bottom"/>
            <w:shd w:val="clear" w:color="auto" w:fill="EEEEEE"/>
          </w:tcPr>
          <w:p>
            <w:pPr>
              <w:jc w:val="right"/>
              <w:spacing w:after="0"/>
              <w:rPr>
                <w:sz w:val="20"/>
                <w:szCs w:val="20"/>
                <w:color w:val="auto"/>
              </w:rPr>
            </w:pPr>
            <w:r>
              <w:rPr>
                <w:rFonts w:ascii="Arial" w:cs="Arial" w:eastAsia="Arial" w:hAnsi="Arial"/>
                <w:sz w:val="18"/>
                <w:szCs w:val="18"/>
                <w:color w:val="auto"/>
              </w:rPr>
              <w:t>635,000</w:t>
            </w:r>
          </w:p>
        </w:tc>
        <w:tc>
          <w:tcPr>
            <w:tcW w:w="100" w:type="dxa"/>
            <w:vAlign w:val="bottom"/>
            <w:shd w:val="clear" w:color="auto" w:fill="EEEEEE"/>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194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1940" w:type="dxa"/>
            <w:vAlign w:val="bottom"/>
            <w:shd w:val="clear" w:color="auto" w:fill="EEEEEE"/>
          </w:tcPr>
          <w:p>
            <w:pPr>
              <w:spacing w:after="0"/>
              <w:rPr>
                <w:sz w:val="20"/>
                <w:szCs w:val="20"/>
                <w:color w:val="auto"/>
              </w:rPr>
            </w:pPr>
            <w:r>
              <w:rPr>
                <w:rFonts w:ascii="Arial" w:cs="Arial" w:eastAsia="Arial" w:hAnsi="Arial"/>
                <w:sz w:val="18"/>
                <w:szCs w:val="18"/>
                <w:color w:val="auto"/>
                <w:w w:val="94"/>
              </w:rPr>
              <w:t>Issuance of stock options</w:t>
            </w:r>
          </w:p>
        </w:tc>
        <w:tc>
          <w:tcPr>
            <w:tcW w:w="1160" w:type="dxa"/>
            <w:vAlign w:val="bottom"/>
            <w:shd w:val="clear" w:color="auto" w:fill="EEEEEE"/>
          </w:tcPr>
          <w:p>
            <w:pPr>
              <w:spacing w:after="0"/>
              <w:rPr>
                <w:sz w:val="18"/>
                <w:szCs w:val="18"/>
                <w:color w:val="auto"/>
              </w:rPr>
            </w:pPr>
          </w:p>
        </w:tc>
        <w:tc>
          <w:tcPr>
            <w:tcW w:w="220" w:type="dxa"/>
            <w:vAlign w:val="bottom"/>
            <w:shd w:val="clear" w:color="auto" w:fill="EEEEEE"/>
          </w:tcPr>
          <w:p>
            <w:pPr>
              <w:spacing w:after="0"/>
              <w:rPr>
                <w:sz w:val="18"/>
                <w:szCs w:val="18"/>
                <w:color w:val="auto"/>
              </w:rPr>
            </w:pPr>
          </w:p>
        </w:tc>
        <w:tc>
          <w:tcPr>
            <w:tcW w:w="160" w:type="dxa"/>
            <w:vAlign w:val="bottom"/>
            <w:shd w:val="clear" w:color="auto" w:fill="EEEEEE"/>
          </w:tcPr>
          <w:p>
            <w:pPr>
              <w:spacing w:after="0"/>
              <w:rPr>
                <w:sz w:val="18"/>
                <w:szCs w:val="18"/>
                <w:color w:val="auto"/>
              </w:rPr>
            </w:pPr>
          </w:p>
        </w:tc>
        <w:tc>
          <w:tcPr>
            <w:tcW w:w="980" w:type="dxa"/>
            <w:vAlign w:val="bottom"/>
            <w:shd w:val="clear" w:color="auto" w:fill="EEEEEE"/>
          </w:tcPr>
          <w:p>
            <w:pPr>
              <w:spacing w:after="0"/>
              <w:rPr>
                <w:sz w:val="18"/>
                <w:szCs w:val="18"/>
                <w:color w:val="auto"/>
              </w:rPr>
            </w:pPr>
          </w:p>
        </w:tc>
        <w:tc>
          <w:tcPr>
            <w:tcW w:w="220" w:type="dxa"/>
            <w:vAlign w:val="bottom"/>
            <w:shd w:val="clear" w:color="auto" w:fill="EEEEEE"/>
          </w:tcPr>
          <w:p>
            <w:pPr>
              <w:spacing w:after="0"/>
              <w:rPr>
                <w:sz w:val="18"/>
                <w:szCs w:val="18"/>
                <w:color w:val="auto"/>
              </w:rPr>
            </w:pPr>
          </w:p>
        </w:tc>
        <w:tc>
          <w:tcPr>
            <w:tcW w:w="1120" w:type="dxa"/>
            <w:vAlign w:val="bottom"/>
            <w:shd w:val="clear" w:color="auto" w:fill="EEEEEE"/>
          </w:tcPr>
          <w:p>
            <w:pPr>
              <w:spacing w:after="0"/>
              <w:rPr>
                <w:sz w:val="18"/>
                <w:szCs w:val="18"/>
                <w:color w:val="auto"/>
              </w:rPr>
            </w:pPr>
          </w:p>
        </w:tc>
        <w:tc>
          <w:tcPr>
            <w:tcW w:w="220" w:type="dxa"/>
            <w:vAlign w:val="bottom"/>
            <w:shd w:val="clear" w:color="auto" w:fill="EEEEEE"/>
          </w:tcPr>
          <w:p>
            <w:pPr>
              <w:spacing w:after="0"/>
              <w:rPr>
                <w:sz w:val="18"/>
                <w:szCs w:val="18"/>
                <w:color w:val="auto"/>
              </w:rPr>
            </w:pPr>
          </w:p>
        </w:tc>
        <w:tc>
          <w:tcPr>
            <w:tcW w:w="960" w:type="dxa"/>
            <w:vAlign w:val="bottom"/>
            <w:shd w:val="clear" w:color="auto" w:fill="EEEEEE"/>
          </w:tcPr>
          <w:p>
            <w:pPr>
              <w:spacing w:after="0"/>
              <w:rPr>
                <w:sz w:val="18"/>
                <w:szCs w:val="18"/>
                <w:color w:val="auto"/>
              </w:rPr>
            </w:pPr>
          </w:p>
        </w:tc>
        <w:tc>
          <w:tcPr>
            <w:tcW w:w="180" w:type="dxa"/>
            <w:vAlign w:val="bottom"/>
            <w:shd w:val="clear" w:color="auto" w:fill="EEEEEE"/>
          </w:tcPr>
          <w:p>
            <w:pPr>
              <w:spacing w:after="0"/>
              <w:rPr>
                <w:sz w:val="18"/>
                <w:szCs w:val="18"/>
                <w:color w:val="auto"/>
              </w:rPr>
            </w:pPr>
          </w:p>
        </w:tc>
        <w:tc>
          <w:tcPr>
            <w:tcW w:w="220" w:type="dxa"/>
            <w:vAlign w:val="bottom"/>
            <w:shd w:val="clear" w:color="auto" w:fill="EEEEEE"/>
          </w:tcPr>
          <w:p>
            <w:pPr>
              <w:spacing w:after="0"/>
              <w:rPr>
                <w:sz w:val="18"/>
                <w:szCs w:val="18"/>
                <w:color w:val="auto"/>
              </w:rPr>
            </w:pPr>
          </w:p>
        </w:tc>
        <w:tc>
          <w:tcPr>
            <w:tcW w:w="120" w:type="dxa"/>
            <w:vAlign w:val="bottom"/>
            <w:shd w:val="clear" w:color="auto" w:fill="EEEEEE"/>
          </w:tcPr>
          <w:p>
            <w:pPr>
              <w:spacing w:after="0"/>
              <w:rPr>
                <w:sz w:val="18"/>
                <w:szCs w:val="18"/>
                <w:color w:val="auto"/>
              </w:rPr>
            </w:pPr>
          </w:p>
        </w:tc>
        <w:tc>
          <w:tcPr>
            <w:tcW w:w="1000" w:type="dxa"/>
            <w:vAlign w:val="bottom"/>
            <w:shd w:val="clear" w:color="auto" w:fill="EEEEEE"/>
          </w:tcPr>
          <w:p>
            <w:pPr>
              <w:jc w:val="right"/>
              <w:spacing w:after="0"/>
              <w:rPr>
                <w:sz w:val="20"/>
                <w:szCs w:val="20"/>
                <w:color w:val="auto"/>
              </w:rPr>
            </w:pPr>
            <w:r>
              <w:rPr>
                <w:rFonts w:ascii="Arial" w:cs="Arial" w:eastAsia="Arial" w:hAnsi="Arial"/>
                <w:sz w:val="18"/>
                <w:szCs w:val="18"/>
                <w:color w:val="auto"/>
              </w:rPr>
              <w:t>333,004</w:t>
            </w:r>
          </w:p>
        </w:tc>
        <w:tc>
          <w:tcPr>
            <w:tcW w:w="160" w:type="dxa"/>
            <w:vAlign w:val="bottom"/>
            <w:shd w:val="clear" w:color="auto" w:fill="EEEEEE"/>
          </w:tcPr>
          <w:p>
            <w:pPr>
              <w:spacing w:after="0"/>
              <w:rPr>
                <w:sz w:val="18"/>
                <w:szCs w:val="18"/>
                <w:color w:val="auto"/>
              </w:rPr>
            </w:pPr>
          </w:p>
        </w:tc>
        <w:tc>
          <w:tcPr>
            <w:tcW w:w="80" w:type="dxa"/>
            <w:vAlign w:val="bottom"/>
            <w:shd w:val="clear" w:color="auto" w:fill="EEEEEE"/>
          </w:tcPr>
          <w:p>
            <w:pPr>
              <w:spacing w:after="0"/>
              <w:rPr>
                <w:sz w:val="18"/>
                <w:szCs w:val="18"/>
                <w:color w:val="auto"/>
              </w:rPr>
            </w:pPr>
          </w:p>
        </w:tc>
        <w:tc>
          <w:tcPr>
            <w:tcW w:w="120" w:type="dxa"/>
            <w:vAlign w:val="bottom"/>
            <w:shd w:val="clear" w:color="auto" w:fill="EEEEEE"/>
          </w:tcPr>
          <w:p>
            <w:pPr>
              <w:spacing w:after="0"/>
              <w:rPr>
                <w:sz w:val="18"/>
                <w:szCs w:val="18"/>
                <w:color w:val="auto"/>
              </w:rPr>
            </w:pPr>
          </w:p>
        </w:tc>
        <w:tc>
          <w:tcPr>
            <w:tcW w:w="1020" w:type="dxa"/>
            <w:vAlign w:val="bottom"/>
            <w:shd w:val="clear" w:color="auto" w:fill="EEEEEE"/>
          </w:tcPr>
          <w:p>
            <w:pPr>
              <w:spacing w:after="0"/>
              <w:rPr>
                <w:sz w:val="18"/>
                <w:szCs w:val="18"/>
                <w:color w:val="auto"/>
              </w:rPr>
            </w:pPr>
          </w:p>
        </w:tc>
        <w:tc>
          <w:tcPr>
            <w:tcW w:w="160" w:type="dxa"/>
            <w:vAlign w:val="bottom"/>
            <w:shd w:val="clear" w:color="auto" w:fill="EEEEEE"/>
          </w:tcPr>
          <w:p>
            <w:pPr>
              <w:spacing w:after="0"/>
              <w:rPr>
                <w:sz w:val="18"/>
                <w:szCs w:val="18"/>
                <w:color w:val="auto"/>
              </w:rPr>
            </w:pPr>
          </w:p>
        </w:tc>
        <w:tc>
          <w:tcPr>
            <w:tcW w:w="120" w:type="dxa"/>
            <w:vAlign w:val="bottom"/>
            <w:shd w:val="clear" w:color="auto" w:fill="EEEEEE"/>
          </w:tcPr>
          <w:p>
            <w:pPr>
              <w:spacing w:after="0"/>
              <w:rPr>
                <w:sz w:val="18"/>
                <w:szCs w:val="18"/>
                <w:color w:val="auto"/>
              </w:rPr>
            </w:pPr>
          </w:p>
        </w:tc>
        <w:tc>
          <w:tcPr>
            <w:tcW w:w="220" w:type="dxa"/>
            <w:vAlign w:val="bottom"/>
            <w:shd w:val="clear" w:color="auto" w:fill="EEEEEE"/>
          </w:tcPr>
          <w:p>
            <w:pPr>
              <w:spacing w:after="0"/>
              <w:rPr>
                <w:sz w:val="18"/>
                <w:szCs w:val="18"/>
                <w:color w:val="auto"/>
              </w:rPr>
            </w:pPr>
          </w:p>
        </w:tc>
        <w:tc>
          <w:tcPr>
            <w:tcW w:w="920" w:type="dxa"/>
            <w:vAlign w:val="bottom"/>
            <w:shd w:val="clear" w:color="auto" w:fill="EEEEEE"/>
          </w:tcPr>
          <w:p>
            <w:pPr>
              <w:jc w:val="right"/>
              <w:spacing w:after="0"/>
              <w:rPr>
                <w:sz w:val="20"/>
                <w:szCs w:val="20"/>
                <w:color w:val="auto"/>
              </w:rPr>
            </w:pPr>
            <w:r>
              <w:rPr>
                <w:rFonts w:ascii="Arial" w:cs="Arial" w:eastAsia="Arial" w:hAnsi="Arial"/>
                <w:sz w:val="18"/>
                <w:szCs w:val="18"/>
                <w:color w:val="auto"/>
              </w:rPr>
              <w:t>333,004</w:t>
            </w:r>
          </w:p>
        </w:tc>
        <w:tc>
          <w:tcPr>
            <w:tcW w:w="100" w:type="dxa"/>
            <w:vAlign w:val="bottom"/>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194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20" w:type="dxa"/>
            <w:vAlign w:val="bottom"/>
            <w:vMerge w:val="continue"/>
          </w:tcPr>
          <w:p>
            <w:pPr>
              <w:spacing w:after="0"/>
              <w:rPr>
                <w:sz w:val="17"/>
                <w:szCs w:val="17"/>
                <w:color w:val="auto"/>
              </w:rPr>
            </w:pPr>
          </w:p>
        </w:tc>
        <w:tc>
          <w:tcPr>
            <w:tcW w:w="1940" w:type="dxa"/>
            <w:vAlign w:val="bottom"/>
            <w:shd w:val="clear" w:color="auto" w:fill="EEEEEE"/>
          </w:tcPr>
          <w:p>
            <w:pPr>
              <w:spacing w:after="0" w:line="201" w:lineRule="exact"/>
              <w:rPr>
                <w:sz w:val="20"/>
                <w:szCs w:val="20"/>
                <w:color w:val="auto"/>
              </w:rPr>
            </w:pPr>
            <w:r>
              <w:rPr>
                <w:rFonts w:ascii="Arial" w:cs="Arial" w:eastAsia="Arial" w:hAnsi="Arial"/>
                <w:sz w:val="18"/>
                <w:szCs w:val="18"/>
                <w:color w:val="auto"/>
              </w:rPr>
              <w:t>Issuance of Preferred</w:t>
            </w:r>
          </w:p>
        </w:tc>
        <w:tc>
          <w:tcPr>
            <w:tcW w:w="1160" w:type="dxa"/>
            <w:vAlign w:val="bottom"/>
            <w:shd w:val="clear" w:color="auto" w:fill="EEEEEE"/>
          </w:tcPr>
          <w:p>
            <w:pPr>
              <w:spacing w:after="0"/>
              <w:rPr>
                <w:sz w:val="17"/>
                <w:szCs w:val="17"/>
                <w:color w:val="auto"/>
              </w:rPr>
            </w:pPr>
          </w:p>
        </w:tc>
        <w:tc>
          <w:tcPr>
            <w:tcW w:w="220" w:type="dxa"/>
            <w:vAlign w:val="bottom"/>
            <w:shd w:val="clear" w:color="auto" w:fill="EEEEEE"/>
          </w:tcPr>
          <w:p>
            <w:pPr>
              <w:spacing w:after="0"/>
              <w:rPr>
                <w:sz w:val="17"/>
                <w:szCs w:val="17"/>
                <w:color w:val="auto"/>
              </w:rPr>
            </w:pPr>
          </w:p>
        </w:tc>
        <w:tc>
          <w:tcPr>
            <w:tcW w:w="160" w:type="dxa"/>
            <w:vAlign w:val="bottom"/>
            <w:shd w:val="clear" w:color="auto" w:fill="EEEEEE"/>
          </w:tcPr>
          <w:p>
            <w:pPr>
              <w:spacing w:after="0"/>
              <w:rPr>
                <w:sz w:val="17"/>
                <w:szCs w:val="17"/>
                <w:color w:val="auto"/>
              </w:rPr>
            </w:pPr>
          </w:p>
        </w:tc>
        <w:tc>
          <w:tcPr>
            <w:tcW w:w="980" w:type="dxa"/>
            <w:vAlign w:val="bottom"/>
            <w:shd w:val="clear" w:color="auto" w:fill="EEEEEE"/>
          </w:tcPr>
          <w:p>
            <w:pPr>
              <w:spacing w:after="0"/>
              <w:rPr>
                <w:sz w:val="17"/>
                <w:szCs w:val="17"/>
                <w:color w:val="auto"/>
              </w:rPr>
            </w:pPr>
          </w:p>
        </w:tc>
        <w:tc>
          <w:tcPr>
            <w:tcW w:w="220" w:type="dxa"/>
            <w:vAlign w:val="bottom"/>
            <w:shd w:val="clear" w:color="auto" w:fill="EEEEEE"/>
          </w:tcPr>
          <w:p>
            <w:pPr>
              <w:spacing w:after="0"/>
              <w:rPr>
                <w:sz w:val="17"/>
                <w:szCs w:val="17"/>
                <w:color w:val="auto"/>
              </w:rPr>
            </w:pPr>
          </w:p>
        </w:tc>
        <w:tc>
          <w:tcPr>
            <w:tcW w:w="1120" w:type="dxa"/>
            <w:vAlign w:val="bottom"/>
            <w:shd w:val="clear" w:color="auto" w:fill="EEEEEE"/>
          </w:tcPr>
          <w:p>
            <w:pPr>
              <w:spacing w:after="0"/>
              <w:rPr>
                <w:sz w:val="17"/>
                <w:szCs w:val="17"/>
                <w:color w:val="auto"/>
              </w:rPr>
            </w:pPr>
          </w:p>
        </w:tc>
        <w:tc>
          <w:tcPr>
            <w:tcW w:w="220" w:type="dxa"/>
            <w:vAlign w:val="bottom"/>
            <w:shd w:val="clear" w:color="auto" w:fill="EEEEEE"/>
          </w:tcPr>
          <w:p>
            <w:pPr>
              <w:spacing w:after="0"/>
              <w:rPr>
                <w:sz w:val="17"/>
                <w:szCs w:val="17"/>
                <w:color w:val="auto"/>
              </w:rPr>
            </w:pPr>
          </w:p>
        </w:tc>
        <w:tc>
          <w:tcPr>
            <w:tcW w:w="960" w:type="dxa"/>
            <w:vAlign w:val="bottom"/>
            <w:shd w:val="clear" w:color="auto" w:fill="EEEEEE"/>
          </w:tcPr>
          <w:p>
            <w:pPr>
              <w:spacing w:after="0"/>
              <w:rPr>
                <w:sz w:val="17"/>
                <w:szCs w:val="17"/>
                <w:color w:val="auto"/>
              </w:rPr>
            </w:pPr>
          </w:p>
        </w:tc>
        <w:tc>
          <w:tcPr>
            <w:tcW w:w="180" w:type="dxa"/>
            <w:vAlign w:val="bottom"/>
            <w:shd w:val="clear" w:color="auto" w:fill="EEEEEE"/>
          </w:tcPr>
          <w:p>
            <w:pPr>
              <w:spacing w:after="0"/>
              <w:rPr>
                <w:sz w:val="17"/>
                <w:szCs w:val="17"/>
                <w:color w:val="auto"/>
              </w:rPr>
            </w:pPr>
          </w:p>
        </w:tc>
        <w:tc>
          <w:tcPr>
            <w:tcW w:w="220" w:type="dxa"/>
            <w:vAlign w:val="bottom"/>
            <w:shd w:val="clear" w:color="auto" w:fill="EEEEEE"/>
          </w:tcPr>
          <w:p>
            <w:pPr>
              <w:spacing w:after="0"/>
              <w:rPr>
                <w:sz w:val="17"/>
                <w:szCs w:val="17"/>
                <w:color w:val="auto"/>
              </w:rPr>
            </w:pPr>
          </w:p>
        </w:tc>
        <w:tc>
          <w:tcPr>
            <w:tcW w:w="120" w:type="dxa"/>
            <w:vAlign w:val="bottom"/>
            <w:shd w:val="clear" w:color="auto" w:fill="EEEEEE"/>
          </w:tcPr>
          <w:p>
            <w:pPr>
              <w:spacing w:after="0"/>
              <w:rPr>
                <w:sz w:val="17"/>
                <w:szCs w:val="17"/>
                <w:color w:val="auto"/>
              </w:rPr>
            </w:pPr>
          </w:p>
        </w:tc>
        <w:tc>
          <w:tcPr>
            <w:tcW w:w="1000" w:type="dxa"/>
            <w:vAlign w:val="bottom"/>
            <w:shd w:val="clear" w:color="auto" w:fill="EEEEEE"/>
          </w:tcPr>
          <w:p>
            <w:pPr>
              <w:spacing w:after="0"/>
              <w:rPr>
                <w:sz w:val="17"/>
                <w:szCs w:val="17"/>
                <w:color w:val="auto"/>
              </w:rPr>
            </w:pPr>
          </w:p>
        </w:tc>
        <w:tc>
          <w:tcPr>
            <w:tcW w:w="160" w:type="dxa"/>
            <w:vAlign w:val="bottom"/>
            <w:shd w:val="clear" w:color="auto" w:fill="EEEEEE"/>
          </w:tcPr>
          <w:p>
            <w:pPr>
              <w:spacing w:after="0"/>
              <w:rPr>
                <w:sz w:val="17"/>
                <w:szCs w:val="17"/>
                <w:color w:val="auto"/>
              </w:rPr>
            </w:pPr>
          </w:p>
        </w:tc>
        <w:tc>
          <w:tcPr>
            <w:tcW w:w="80" w:type="dxa"/>
            <w:vAlign w:val="bottom"/>
            <w:shd w:val="clear" w:color="auto" w:fill="EEEEEE"/>
          </w:tcPr>
          <w:p>
            <w:pPr>
              <w:spacing w:after="0"/>
              <w:rPr>
                <w:sz w:val="17"/>
                <w:szCs w:val="17"/>
                <w:color w:val="auto"/>
              </w:rPr>
            </w:pPr>
          </w:p>
        </w:tc>
        <w:tc>
          <w:tcPr>
            <w:tcW w:w="120" w:type="dxa"/>
            <w:vAlign w:val="bottom"/>
            <w:shd w:val="clear" w:color="auto" w:fill="EEEEEE"/>
          </w:tcPr>
          <w:p>
            <w:pPr>
              <w:spacing w:after="0"/>
              <w:rPr>
                <w:sz w:val="17"/>
                <w:szCs w:val="17"/>
                <w:color w:val="auto"/>
              </w:rPr>
            </w:pPr>
          </w:p>
        </w:tc>
        <w:tc>
          <w:tcPr>
            <w:tcW w:w="1020" w:type="dxa"/>
            <w:vAlign w:val="bottom"/>
            <w:shd w:val="clear" w:color="auto" w:fill="EEEEEE"/>
          </w:tcPr>
          <w:p>
            <w:pPr>
              <w:spacing w:after="0"/>
              <w:rPr>
                <w:sz w:val="17"/>
                <w:szCs w:val="17"/>
                <w:color w:val="auto"/>
              </w:rPr>
            </w:pPr>
          </w:p>
        </w:tc>
        <w:tc>
          <w:tcPr>
            <w:tcW w:w="160" w:type="dxa"/>
            <w:vAlign w:val="bottom"/>
            <w:shd w:val="clear" w:color="auto" w:fill="EEEEEE"/>
          </w:tcPr>
          <w:p>
            <w:pPr>
              <w:spacing w:after="0"/>
              <w:rPr>
                <w:sz w:val="17"/>
                <w:szCs w:val="17"/>
                <w:color w:val="auto"/>
              </w:rPr>
            </w:pPr>
          </w:p>
        </w:tc>
        <w:tc>
          <w:tcPr>
            <w:tcW w:w="120" w:type="dxa"/>
            <w:vAlign w:val="bottom"/>
            <w:shd w:val="clear" w:color="auto" w:fill="EEEEEE"/>
          </w:tcPr>
          <w:p>
            <w:pPr>
              <w:spacing w:after="0"/>
              <w:rPr>
                <w:sz w:val="17"/>
                <w:szCs w:val="17"/>
                <w:color w:val="auto"/>
              </w:rPr>
            </w:pPr>
          </w:p>
        </w:tc>
        <w:tc>
          <w:tcPr>
            <w:tcW w:w="220" w:type="dxa"/>
            <w:vAlign w:val="bottom"/>
            <w:shd w:val="clear" w:color="auto" w:fill="EEEEEE"/>
          </w:tcPr>
          <w:p>
            <w:pPr>
              <w:spacing w:after="0"/>
              <w:rPr>
                <w:sz w:val="17"/>
                <w:szCs w:val="17"/>
                <w:color w:val="auto"/>
              </w:rPr>
            </w:pPr>
          </w:p>
        </w:tc>
        <w:tc>
          <w:tcPr>
            <w:tcW w:w="920" w:type="dxa"/>
            <w:vAlign w:val="bottom"/>
            <w:shd w:val="clear" w:color="auto" w:fill="EEEEEE"/>
          </w:tcPr>
          <w:p>
            <w:pPr>
              <w:spacing w:after="0"/>
              <w:rPr>
                <w:sz w:val="17"/>
                <w:szCs w:val="17"/>
                <w:color w:val="auto"/>
              </w:rPr>
            </w:pPr>
          </w:p>
        </w:tc>
        <w:tc>
          <w:tcPr>
            <w:tcW w:w="100" w:type="dxa"/>
            <w:vAlign w:val="bottom"/>
            <w:shd w:val="clear" w:color="auto" w:fill="EEEEEE"/>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1940" w:type="dxa"/>
            <w:vAlign w:val="bottom"/>
            <w:shd w:val="clear" w:color="auto" w:fill="EEEEEE"/>
          </w:tcPr>
          <w:p>
            <w:pPr>
              <w:spacing w:after="0"/>
              <w:rPr>
                <w:sz w:val="20"/>
                <w:szCs w:val="20"/>
                <w:color w:val="auto"/>
              </w:rPr>
            </w:pPr>
            <w:r>
              <w:rPr>
                <w:rFonts w:ascii="Arial" w:cs="Arial" w:eastAsia="Arial" w:hAnsi="Arial"/>
                <w:sz w:val="18"/>
                <w:szCs w:val="18"/>
                <w:color w:val="auto"/>
              </w:rPr>
              <w:t>stock</w:t>
            </w:r>
          </w:p>
        </w:tc>
        <w:tc>
          <w:tcPr>
            <w:tcW w:w="1160" w:type="dxa"/>
            <w:vAlign w:val="bottom"/>
            <w:shd w:val="clear" w:color="auto" w:fill="EEEEEE"/>
          </w:tcPr>
          <w:p>
            <w:pPr>
              <w:spacing w:after="0"/>
              <w:rPr>
                <w:sz w:val="20"/>
                <w:szCs w:val="20"/>
                <w:color w:val="auto"/>
              </w:rPr>
            </w:pPr>
          </w:p>
        </w:tc>
        <w:tc>
          <w:tcPr>
            <w:tcW w:w="220" w:type="dxa"/>
            <w:vAlign w:val="bottom"/>
            <w:shd w:val="clear" w:color="auto" w:fill="EEEEEE"/>
          </w:tcPr>
          <w:p>
            <w:pPr>
              <w:spacing w:after="0"/>
              <w:rPr>
                <w:sz w:val="20"/>
                <w:szCs w:val="20"/>
                <w:color w:val="auto"/>
              </w:rPr>
            </w:pPr>
          </w:p>
        </w:tc>
        <w:tc>
          <w:tcPr>
            <w:tcW w:w="160" w:type="dxa"/>
            <w:vAlign w:val="bottom"/>
            <w:shd w:val="clear" w:color="auto" w:fill="EEEEEE"/>
          </w:tcPr>
          <w:p>
            <w:pPr>
              <w:spacing w:after="0"/>
              <w:rPr>
                <w:sz w:val="20"/>
                <w:szCs w:val="20"/>
                <w:color w:val="auto"/>
              </w:rPr>
            </w:pPr>
          </w:p>
        </w:tc>
        <w:tc>
          <w:tcPr>
            <w:tcW w:w="980" w:type="dxa"/>
            <w:vAlign w:val="bottom"/>
            <w:shd w:val="clear" w:color="auto" w:fill="EEEEEE"/>
          </w:tcPr>
          <w:p>
            <w:pPr>
              <w:spacing w:after="0"/>
              <w:rPr>
                <w:sz w:val="20"/>
                <w:szCs w:val="20"/>
                <w:color w:val="auto"/>
              </w:rPr>
            </w:pPr>
          </w:p>
        </w:tc>
        <w:tc>
          <w:tcPr>
            <w:tcW w:w="1340" w:type="dxa"/>
            <w:vAlign w:val="bottom"/>
            <w:gridSpan w:val="2"/>
            <w:shd w:val="clear" w:color="auto" w:fill="EEEEEE"/>
          </w:tcPr>
          <w:p>
            <w:pPr>
              <w:jc w:val="right"/>
              <w:spacing w:after="0"/>
              <w:rPr>
                <w:sz w:val="20"/>
                <w:szCs w:val="20"/>
                <w:color w:val="auto"/>
              </w:rPr>
            </w:pPr>
            <w:r>
              <w:rPr>
                <w:rFonts w:ascii="Arial" w:cs="Arial" w:eastAsia="Arial" w:hAnsi="Arial"/>
                <w:sz w:val="18"/>
                <w:szCs w:val="18"/>
                <w:color w:val="auto"/>
              </w:rPr>
              <w:t>35</w:t>
            </w:r>
          </w:p>
        </w:tc>
        <w:tc>
          <w:tcPr>
            <w:tcW w:w="220" w:type="dxa"/>
            <w:vAlign w:val="bottom"/>
            <w:shd w:val="clear" w:color="auto" w:fill="EEEEEE"/>
          </w:tcPr>
          <w:p>
            <w:pPr>
              <w:spacing w:after="0"/>
              <w:rPr>
                <w:sz w:val="20"/>
                <w:szCs w:val="20"/>
                <w:color w:val="auto"/>
              </w:rPr>
            </w:pPr>
          </w:p>
        </w:tc>
        <w:tc>
          <w:tcPr>
            <w:tcW w:w="960" w:type="dxa"/>
            <w:vAlign w:val="bottom"/>
            <w:shd w:val="clear" w:color="auto" w:fill="EEEEEE"/>
          </w:tcPr>
          <w:p>
            <w:pPr>
              <w:spacing w:after="0"/>
              <w:rPr>
                <w:sz w:val="20"/>
                <w:szCs w:val="20"/>
                <w:color w:val="auto"/>
              </w:rPr>
            </w:pPr>
          </w:p>
        </w:tc>
        <w:tc>
          <w:tcPr>
            <w:tcW w:w="180" w:type="dxa"/>
            <w:vAlign w:val="bottom"/>
            <w:shd w:val="clear" w:color="auto" w:fill="EEEEEE"/>
          </w:tcPr>
          <w:p>
            <w:pPr>
              <w:jc w:val="right"/>
              <w:spacing w:after="0"/>
              <w:rPr>
                <w:sz w:val="20"/>
                <w:szCs w:val="20"/>
                <w:color w:val="auto"/>
              </w:rPr>
            </w:pPr>
            <w:r>
              <w:rPr>
                <w:rFonts w:ascii="Arial" w:cs="Arial" w:eastAsia="Arial" w:hAnsi="Arial"/>
                <w:sz w:val="18"/>
                <w:szCs w:val="18"/>
                <w:color w:val="auto"/>
              </w:rPr>
              <w:t>0</w:t>
            </w:r>
          </w:p>
        </w:tc>
        <w:tc>
          <w:tcPr>
            <w:tcW w:w="220" w:type="dxa"/>
            <w:vAlign w:val="bottom"/>
            <w:shd w:val="clear" w:color="auto" w:fill="EEEEEE"/>
          </w:tcPr>
          <w:p>
            <w:pPr>
              <w:spacing w:after="0"/>
              <w:rPr>
                <w:sz w:val="20"/>
                <w:szCs w:val="20"/>
                <w:color w:val="auto"/>
              </w:rPr>
            </w:pPr>
          </w:p>
        </w:tc>
        <w:tc>
          <w:tcPr>
            <w:tcW w:w="120" w:type="dxa"/>
            <w:vAlign w:val="bottom"/>
            <w:shd w:val="clear" w:color="auto" w:fill="EEEEEE"/>
          </w:tcPr>
          <w:p>
            <w:pPr>
              <w:spacing w:after="0"/>
              <w:rPr>
                <w:sz w:val="20"/>
                <w:szCs w:val="20"/>
                <w:color w:val="auto"/>
              </w:rPr>
            </w:pPr>
          </w:p>
        </w:tc>
        <w:tc>
          <w:tcPr>
            <w:tcW w:w="1000" w:type="dxa"/>
            <w:vAlign w:val="bottom"/>
            <w:shd w:val="clear" w:color="auto" w:fill="EEEEEE"/>
          </w:tcPr>
          <w:p>
            <w:pPr>
              <w:jc w:val="right"/>
              <w:spacing w:after="0"/>
              <w:rPr>
                <w:sz w:val="20"/>
                <w:szCs w:val="20"/>
                <w:color w:val="auto"/>
              </w:rPr>
            </w:pPr>
            <w:r>
              <w:rPr>
                <w:rFonts w:ascii="Arial" w:cs="Arial" w:eastAsia="Arial" w:hAnsi="Arial"/>
                <w:sz w:val="18"/>
                <w:szCs w:val="18"/>
                <w:color w:val="auto"/>
              </w:rPr>
              <w:t>2,985,000</w:t>
            </w:r>
          </w:p>
        </w:tc>
        <w:tc>
          <w:tcPr>
            <w:tcW w:w="160" w:type="dxa"/>
            <w:vAlign w:val="bottom"/>
            <w:shd w:val="clear" w:color="auto" w:fill="EEEEEE"/>
          </w:tcPr>
          <w:p>
            <w:pPr>
              <w:spacing w:after="0"/>
              <w:rPr>
                <w:sz w:val="20"/>
                <w:szCs w:val="20"/>
                <w:color w:val="auto"/>
              </w:rPr>
            </w:pPr>
          </w:p>
        </w:tc>
        <w:tc>
          <w:tcPr>
            <w:tcW w:w="80" w:type="dxa"/>
            <w:vAlign w:val="bottom"/>
            <w:shd w:val="clear" w:color="auto" w:fill="EEEEEE"/>
          </w:tcPr>
          <w:p>
            <w:pPr>
              <w:spacing w:after="0"/>
              <w:rPr>
                <w:sz w:val="20"/>
                <w:szCs w:val="20"/>
                <w:color w:val="auto"/>
              </w:rPr>
            </w:pPr>
          </w:p>
        </w:tc>
        <w:tc>
          <w:tcPr>
            <w:tcW w:w="120" w:type="dxa"/>
            <w:vAlign w:val="bottom"/>
            <w:shd w:val="clear" w:color="auto" w:fill="EEEEEE"/>
          </w:tcPr>
          <w:p>
            <w:pPr>
              <w:spacing w:after="0"/>
              <w:rPr>
                <w:sz w:val="20"/>
                <w:szCs w:val="20"/>
                <w:color w:val="auto"/>
              </w:rPr>
            </w:pPr>
          </w:p>
        </w:tc>
        <w:tc>
          <w:tcPr>
            <w:tcW w:w="1020" w:type="dxa"/>
            <w:vAlign w:val="bottom"/>
            <w:shd w:val="clear" w:color="auto" w:fill="EEEEEE"/>
          </w:tcPr>
          <w:p>
            <w:pPr>
              <w:spacing w:after="0"/>
              <w:rPr>
                <w:sz w:val="20"/>
                <w:szCs w:val="20"/>
                <w:color w:val="auto"/>
              </w:rPr>
            </w:pPr>
          </w:p>
        </w:tc>
        <w:tc>
          <w:tcPr>
            <w:tcW w:w="160" w:type="dxa"/>
            <w:vAlign w:val="bottom"/>
            <w:shd w:val="clear" w:color="auto" w:fill="EEEEEE"/>
          </w:tcPr>
          <w:p>
            <w:pPr>
              <w:spacing w:after="0"/>
              <w:rPr>
                <w:sz w:val="20"/>
                <w:szCs w:val="20"/>
                <w:color w:val="auto"/>
              </w:rPr>
            </w:pPr>
          </w:p>
        </w:tc>
        <w:tc>
          <w:tcPr>
            <w:tcW w:w="120" w:type="dxa"/>
            <w:vAlign w:val="bottom"/>
            <w:shd w:val="clear" w:color="auto" w:fill="EEEEEE"/>
          </w:tcPr>
          <w:p>
            <w:pPr>
              <w:spacing w:after="0"/>
              <w:rPr>
                <w:sz w:val="20"/>
                <w:szCs w:val="20"/>
                <w:color w:val="auto"/>
              </w:rPr>
            </w:pPr>
          </w:p>
        </w:tc>
        <w:tc>
          <w:tcPr>
            <w:tcW w:w="220" w:type="dxa"/>
            <w:vAlign w:val="bottom"/>
            <w:shd w:val="clear" w:color="auto" w:fill="EEEEEE"/>
          </w:tcPr>
          <w:p>
            <w:pPr>
              <w:spacing w:after="0"/>
              <w:rPr>
                <w:sz w:val="20"/>
                <w:szCs w:val="20"/>
                <w:color w:val="auto"/>
              </w:rPr>
            </w:pPr>
          </w:p>
        </w:tc>
        <w:tc>
          <w:tcPr>
            <w:tcW w:w="920" w:type="dxa"/>
            <w:vAlign w:val="bottom"/>
            <w:shd w:val="clear" w:color="auto" w:fill="EEEEEE"/>
          </w:tcPr>
          <w:p>
            <w:pPr>
              <w:jc w:val="right"/>
              <w:spacing w:after="0"/>
              <w:rPr>
                <w:sz w:val="20"/>
                <w:szCs w:val="20"/>
                <w:color w:val="auto"/>
              </w:rPr>
            </w:pPr>
            <w:r>
              <w:rPr>
                <w:rFonts w:ascii="Arial" w:cs="Arial" w:eastAsia="Arial" w:hAnsi="Arial"/>
                <w:sz w:val="18"/>
                <w:szCs w:val="18"/>
                <w:color w:val="auto"/>
              </w:rPr>
              <w:t>2,985,000</w:t>
            </w:r>
          </w:p>
        </w:tc>
        <w:tc>
          <w:tcPr>
            <w:tcW w:w="100" w:type="dxa"/>
            <w:vAlign w:val="bottom"/>
            <w:shd w:val="clear" w:color="auto" w:fill="EEEEEE"/>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194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20" w:type="dxa"/>
            <w:vAlign w:val="bottom"/>
            <w:vMerge w:val="continue"/>
          </w:tcPr>
          <w:p>
            <w:pPr>
              <w:spacing w:after="0"/>
              <w:rPr>
                <w:sz w:val="17"/>
                <w:szCs w:val="17"/>
                <w:color w:val="auto"/>
              </w:rPr>
            </w:pPr>
          </w:p>
        </w:tc>
        <w:tc>
          <w:tcPr>
            <w:tcW w:w="1940" w:type="dxa"/>
            <w:vAlign w:val="bottom"/>
            <w:shd w:val="clear" w:color="auto" w:fill="EEEEEE"/>
          </w:tcPr>
          <w:p>
            <w:pPr>
              <w:spacing w:after="0" w:line="201" w:lineRule="exact"/>
              <w:rPr>
                <w:sz w:val="20"/>
                <w:szCs w:val="20"/>
                <w:color w:val="auto"/>
              </w:rPr>
            </w:pPr>
            <w:r>
              <w:rPr>
                <w:rFonts w:ascii="Arial" w:cs="Arial" w:eastAsia="Arial" w:hAnsi="Arial"/>
                <w:sz w:val="18"/>
                <w:szCs w:val="18"/>
                <w:color w:val="auto"/>
              </w:rPr>
              <w:t>Net Loss for the nine</w:t>
            </w:r>
          </w:p>
        </w:tc>
        <w:tc>
          <w:tcPr>
            <w:tcW w:w="1160" w:type="dxa"/>
            <w:vAlign w:val="bottom"/>
            <w:shd w:val="clear" w:color="auto" w:fill="EEEEEE"/>
          </w:tcPr>
          <w:p>
            <w:pPr>
              <w:spacing w:after="0"/>
              <w:rPr>
                <w:sz w:val="17"/>
                <w:szCs w:val="17"/>
                <w:color w:val="auto"/>
              </w:rPr>
            </w:pPr>
          </w:p>
        </w:tc>
        <w:tc>
          <w:tcPr>
            <w:tcW w:w="220" w:type="dxa"/>
            <w:vAlign w:val="bottom"/>
            <w:shd w:val="clear" w:color="auto" w:fill="EEEEEE"/>
          </w:tcPr>
          <w:p>
            <w:pPr>
              <w:spacing w:after="0"/>
              <w:rPr>
                <w:sz w:val="17"/>
                <w:szCs w:val="17"/>
                <w:color w:val="auto"/>
              </w:rPr>
            </w:pPr>
          </w:p>
        </w:tc>
        <w:tc>
          <w:tcPr>
            <w:tcW w:w="160" w:type="dxa"/>
            <w:vAlign w:val="bottom"/>
            <w:shd w:val="clear" w:color="auto" w:fill="EEEEEE"/>
          </w:tcPr>
          <w:p>
            <w:pPr>
              <w:spacing w:after="0"/>
              <w:rPr>
                <w:sz w:val="17"/>
                <w:szCs w:val="17"/>
                <w:color w:val="auto"/>
              </w:rPr>
            </w:pPr>
          </w:p>
        </w:tc>
        <w:tc>
          <w:tcPr>
            <w:tcW w:w="980" w:type="dxa"/>
            <w:vAlign w:val="bottom"/>
            <w:shd w:val="clear" w:color="auto" w:fill="EEEEEE"/>
          </w:tcPr>
          <w:p>
            <w:pPr>
              <w:spacing w:after="0"/>
              <w:rPr>
                <w:sz w:val="17"/>
                <w:szCs w:val="17"/>
                <w:color w:val="auto"/>
              </w:rPr>
            </w:pPr>
          </w:p>
        </w:tc>
        <w:tc>
          <w:tcPr>
            <w:tcW w:w="220" w:type="dxa"/>
            <w:vAlign w:val="bottom"/>
            <w:shd w:val="clear" w:color="auto" w:fill="EEEEEE"/>
          </w:tcPr>
          <w:p>
            <w:pPr>
              <w:spacing w:after="0"/>
              <w:rPr>
                <w:sz w:val="17"/>
                <w:szCs w:val="17"/>
                <w:color w:val="auto"/>
              </w:rPr>
            </w:pPr>
          </w:p>
        </w:tc>
        <w:tc>
          <w:tcPr>
            <w:tcW w:w="1120" w:type="dxa"/>
            <w:vAlign w:val="bottom"/>
            <w:shd w:val="clear" w:color="auto" w:fill="EEEEEE"/>
          </w:tcPr>
          <w:p>
            <w:pPr>
              <w:spacing w:after="0"/>
              <w:rPr>
                <w:sz w:val="17"/>
                <w:szCs w:val="17"/>
                <w:color w:val="auto"/>
              </w:rPr>
            </w:pPr>
          </w:p>
        </w:tc>
        <w:tc>
          <w:tcPr>
            <w:tcW w:w="220" w:type="dxa"/>
            <w:vAlign w:val="bottom"/>
            <w:shd w:val="clear" w:color="auto" w:fill="EEEEEE"/>
          </w:tcPr>
          <w:p>
            <w:pPr>
              <w:spacing w:after="0"/>
              <w:rPr>
                <w:sz w:val="17"/>
                <w:szCs w:val="17"/>
                <w:color w:val="auto"/>
              </w:rPr>
            </w:pPr>
          </w:p>
        </w:tc>
        <w:tc>
          <w:tcPr>
            <w:tcW w:w="960" w:type="dxa"/>
            <w:vAlign w:val="bottom"/>
            <w:shd w:val="clear" w:color="auto" w:fill="EEEEEE"/>
          </w:tcPr>
          <w:p>
            <w:pPr>
              <w:spacing w:after="0"/>
              <w:rPr>
                <w:sz w:val="17"/>
                <w:szCs w:val="17"/>
                <w:color w:val="auto"/>
              </w:rPr>
            </w:pPr>
          </w:p>
        </w:tc>
        <w:tc>
          <w:tcPr>
            <w:tcW w:w="180" w:type="dxa"/>
            <w:vAlign w:val="bottom"/>
            <w:shd w:val="clear" w:color="auto" w:fill="EEEEEE"/>
          </w:tcPr>
          <w:p>
            <w:pPr>
              <w:spacing w:after="0"/>
              <w:rPr>
                <w:sz w:val="17"/>
                <w:szCs w:val="17"/>
                <w:color w:val="auto"/>
              </w:rPr>
            </w:pPr>
          </w:p>
        </w:tc>
        <w:tc>
          <w:tcPr>
            <w:tcW w:w="220" w:type="dxa"/>
            <w:vAlign w:val="bottom"/>
            <w:shd w:val="clear" w:color="auto" w:fill="EEEEEE"/>
          </w:tcPr>
          <w:p>
            <w:pPr>
              <w:spacing w:after="0"/>
              <w:rPr>
                <w:sz w:val="17"/>
                <w:szCs w:val="17"/>
                <w:color w:val="auto"/>
              </w:rPr>
            </w:pPr>
          </w:p>
        </w:tc>
        <w:tc>
          <w:tcPr>
            <w:tcW w:w="120" w:type="dxa"/>
            <w:vAlign w:val="bottom"/>
            <w:shd w:val="clear" w:color="auto" w:fill="EEEEEE"/>
          </w:tcPr>
          <w:p>
            <w:pPr>
              <w:spacing w:after="0"/>
              <w:rPr>
                <w:sz w:val="17"/>
                <w:szCs w:val="17"/>
                <w:color w:val="auto"/>
              </w:rPr>
            </w:pPr>
          </w:p>
        </w:tc>
        <w:tc>
          <w:tcPr>
            <w:tcW w:w="1000" w:type="dxa"/>
            <w:vAlign w:val="bottom"/>
            <w:shd w:val="clear" w:color="auto" w:fill="EEEEEE"/>
          </w:tcPr>
          <w:p>
            <w:pPr>
              <w:spacing w:after="0"/>
              <w:rPr>
                <w:sz w:val="17"/>
                <w:szCs w:val="17"/>
                <w:color w:val="auto"/>
              </w:rPr>
            </w:pPr>
          </w:p>
        </w:tc>
        <w:tc>
          <w:tcPr>
            <w:tcW w:w="160" w:type="dxa"/>
            <w:vAlign w:val="bottom"/>
            <w:shd w:val="clear" w:color="auto" w:fill="EEEEEE"/>
          </w:tcPr>
          <w:p>
            <w:pPr>
              <w:spacing w:after="0"/>
              <w:rPr>
                <w:sz w:val="17"/>
                <w:szCs w:val="17"/>
                <w:color w:val="auto"/>
              </w:rPr>
            </w:pPr>
          </w:p>
        </w:tc>
        <w:tc>
          <w:tcPr>
            <w:tcW w:w="80" w:type="dxa"/>
            <w:vAlign w:val="bottom"/>
            <w:shd w:val="clear" w:color="auto" w:fill="EEEEEE"/>
          </w:tcPr>
          <w:p>
            <w:pPr>
              <w:spacing w:after="0"/>
              <w:rPr>
                <w:sz w:val="17"/>
                <w:szCs w:val="17"/>
                <w:color w:val="auto"/>
              </w:rPr>
            </w:pPr>
          </w:p>
        </w:tc>
        <w:tc>
          <w:tcPr>
            <w:tcW w:w="120" w:type="dxa"/>
            <w:vAlign w:val="bottom"/>
            <w:shd w:val="clear" w:color="auto" w:fill="EEEEEE"/>
          </w:tcPr>
          <w:p>
            <w:pPr>
              <w:spacing w:after="0"/>
              <w:rPr>
                <w:sz w:val="17"/>
                <w:szCs w:val="17"/>
                <w:color w:val="auto"/>
              </w:rPr>
            </w:pPr>
          </w:p>
        </w:tc>
        <w:tc>
          <w:tcPr>
            <w:tcW w:w="1020" w:type="dxa"/>
            <w:vAlign w:val="bottom"/>
            <w:shd w:val="clear" w:color="auto" w:fill="EEEEEE"/>
          </w:tcPr>
          <w:p>
            <w:pPr>
              <w:spacing w:after="0"/>
              <w:rPr>
                <w:sz w:val="17"/>
                <w:szCs w:val="17"/>
                <w:color w:val="auto"/>
              </w:rPr>
            </w:pPr>
          </w:p>
        </w:tc>
        <w:tc>
          <w:tcPr>
            <w:tcW w:w="160" w:type="dxa"/>
            <w:vAlign w:val="bottom"/>
            <w:shd w:val="clear" w:color="auto" w:fill="EEEEEE"/>
          </w:tcPr>
          <w:p>
            <w:pPr>
              <w:spacing w:after="0"/>
              <w:rPr>
                <w:sz w:val="17"/>
                <w:szCs w:val="17"/>
                <w:color w:val="auto"/>
              </w:rPr>
            </w:pPr>
          </w:p>
        </w:tc>
        <w:tc>
          <w:tcPr>
            <w:tcW w:w="120" w:type="dxa"/>
            <w:vAlign w:val="bottom"/>
            <w:shd w:val="clear" w:color="auto" w:fill="EEEEEE"/>
          </w:tcPr>
          <w:p>
            <w:pPr>
              <w:spacing w:after="0"/>
              <w:rPr>
                <w:sz w:val="17"/>
                <w:szCs w:val="17"/>
                <w:color w:val="auto"/>
              </w:rPr>
            </w:pPr>
          </w:p>
        </w:tc>
        <w:tc>
          <w:tcPr>
            <w:tcW w:w="220" w:type="dxa"/>
            <w:vAlign w:val="bottom"/>
            <w:shd w:val="clear" w:color="auto" w:fill="EEEEEE"/>
          </w:tcPr>
          <w:p>
            <w:pPr>
              <w:spacing w:after="0"/>
              <w:rPr>
                <w:sz w:val="17"/>
                <w:szCs w:val="17"/>
                <w:color w:val="auto"/>
              </w:rPr>
            </w:pPr>
          </w:p>
        </w:tc>
        <w:tc>
          <w:tcPr>
            <w:tcW w:w="920" w:type="dxa"/>
            <w:vAlign w:val="bottom"/>
            <w:shd w:val="clear" w:color="auto" w:fill="EEEEEE"/>
          </w:tcPr>
          <w:p>
            <w:pPr>
              <w:spacing w:after="0"/>
              <w:rPr>
                <w:sz w:val="17"/>
                <w:szCs w:val="17"/>
                <w:color w:val="auto"/>
              </w:rPr>
            </w:pPr>
          </w:p>
        </w:tc>
        <w:tc>
          <w:tcPr>
            <w:tcW w:w="100" w:type="dxa"/>
            <w:vAlign w:val="bottom"/>
            <w:shd w:val="clear" w:color="auto" w:fill="EEEEEE"/>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940" w:type="dxa"/>
            <w:vAlign w:val="bottom"/>
            <w:shd w:val="clear" w:color="auto" w:fill="EEEEEE"/>
          </w:tcPr>
          <w:p>
            <w:pPr>
              <w:spacing w:after="0"/>
              <w:rPr>
                <w:sz w:val="20"/>
                <w:szCs w:val="20"/>
                <w:color w:val="auto"/>
              </w:rPr>
            </w:pPr>
            <w:r>
              <w:rPr>
                <w:rFonts w:ascii="Arial" w:cs="Arial" w:eastAsia="Arial" w:hAnsi="Arial"/>
                <w:sz w:val="18"/>
                <w:szCs w:val="18"/>
                <w:color w:val="auto"/>
              </w:rPr>
              <w:t>months ended Sept 30,</w:t>
            </w:r>
          </w:p>
        </w:tc>
        <w:tc>
          <w:tcPr>
            <w:tcW w:w="1160" w:type="dxa"/>
            <w:vAlign w:val="bottom"/>
            <w:shd w:val="clear" w:color="auto" w:fill="EEEEEE"/>
          </w:tcPr>
          <w:p>
            <w:pPr>
              <w:spacing w:after="0"/>
              <w:rPr>
                <w:sz w:val="18"/>
                <w:szCs w:val="18"/>
                <w:color w:val="auto"/>
              </w:rPr>
            </w:pPr>
          </w:p>
        </w:tc>
        <w:tc>
          <w:tcPr>
            <w:tcW w:w="220" w:type="dxa"/>
            <w:vAlign w:val="bottom"/>
            <w:shd w:val="clear" w:color="auto" w:fill="EEEEEE"/>
          </w:tcPr>
          <w:p>
            <w:pPr>
              <w:spacing w:after="0"/>
              <w:rPr>
                <w:sz w:val="18"/>
                <w:szCs w:val="18"/>
                <w:color w:val="auto"/>
              </w:rPr>
            </w:pPr>
          </w:p>
        </w:tc>
        <w:tc>
          <w:tcPr>
            <w:tcW w:w="160" w:type="dxa"/>
            <w:vAlign w:val="bottom"/>
            <w:shd w:val="clear" w:color="auto" w:fill="EEEEEE"/>
          </w:tcPr>
          <w:p>
            <w:pPr>
              <w:spacing w:after="0"/>
              <w:rPr>
                <w:sz w:val="18"/>
                <w:szCs w:val="18"/>
                <w:color w:val="auto"/>
              </w:rPr>
            </w:pPr>
          </w:p>
        </w:tc>
        <w:tc>
          <w:tcPr>
            <w:tcW w:w="980" w:type="dxa"/>
            <w:vAlign w:val="bottom"/>
            <w:shd w:val="clear" w:color="auto" w:fill="EEEEEE"/>
          </w:tcPr>
          <w:p>
            <w:pPr>
              <w:spacing w:after="0"/>
              <w:rPr>
                <w:sz w:val="18"/>
                <w:szCs w:val="18"/>
                <w:color w:val="auto"/>
              </w:rPr>
            </w:pPr>
          </w:p>
        </w:tc>
        <w:tc>
          <w:tcPr>
            <w:tcW w:w="220" w:type="dxa"/>
            <w:vAlign w:val="bottom"/>
            <w:shd w:val="clear" w:color="auto" w:fill="EEEEEE"/>
          </w:tcPr>
          <w:p>
            <w:pPr>
              <w:spacing w:after="0"/>
              <w:rPr>
                <w:sz w:val="18"/>
                <w:szCs w:val="18"/>
                <w:color w:val="auto"/>
              </w:rPr>
            </w:pPr>
          </w:p>
        </w:tc>
        <w:tc>
          <w:tcPr>
            <w:tcW w:w="1120" w:type="dxa"/>
            <w:vAlign w:val="bottom"/>
            <w:shd w:val="clear" w:color="auto" w:fill="EEEEEE"/>
          </w:tcPr>
          <w:p>
            <w:pPr>
              <w:spacing w:after="0"/>
              <w:rPr>
                <w:sz w:val="18"/>
                <w:szCs w:val="18"/>
                <w:color w:val="auto"/>
              </w:rPr>
            </w:pPr>
          </w:p>
        </w:tc>
        <w:tc>
          <w:tcPr>
            <w:tcW w:w="220" w:type="dxa"/>
            <w:vAlign w:val="bottom"/>
            <w:shd w:val="clear" w:color="auto" w:fill="EEEEEE"/>
          </w:tcPr>
          <w:p>
            <w:pPr>
              <w:spacing w:after="0"/>
              <w:rPr>
                <w:sz w:val="18"/>
                <w:szCs w:val="18"/>
                <w:color w:val="auto"/>
              </w:rPr>
            </w:pPr>
          </w:p>
        </w:tc>
        <w:tc>
          <w:tcPr>
            <w:tcW w:w="960" w:type="dxa"/>
            <w:vAlign w:val="bottom"/>
            <w:shd w:val="clear" w:color="auto" w:fill="EEEEEE"/>
          </w:tcPr>
          <w:p>
            <w:pPr>
              <w:spacing w:after="0"/>
              <w:rPr>
                <w:sz w:val="18"/>
                <w:szCs w:val="18"/>
                <w:color w:val="auto"/>
              </w:rPr>
            </w:pPr>
          </w:p>
        </w:tc>
        <w:tc>
          <w:tcPr>
            <w:tcW w:w="180" w:type="dxa"/>
            <w:vAlign w:val="bottom"/>
            <w:shd w:val="clear" w:color="auto" w:fill="EEEEEE"/>
          </w:tcPr>
          <w:p>
            <w:pPr>
              <w:spacing w:after="0"/>
              <w:rPr>
                <w:sz w:val="18"/>
                <w:szCs w:val="18"/>
                <w:color w:val="auto"/>
              </w:rPr>
            </w:pPr>
          </w:p>
        </w:tc>
        <w:tc>
          <w:tcPr>
            <w:tcW w:w="220" w:type="dxa"/>
            <w:vAlign w:val="bottom"/>
            <w:shd w:val="clear" w:color="auto" w:fill="EEEEEE"/>
          </w:tcPr>
          <w:p>
            <w:pPr>
              <w:spacing w:after="0"/>
              <w:rPr>
                <w:sz w:val="18"/>
                <w:szCs w:val="18"/>
                <w:color w:val="auto"/>
              </w:rPr>
            </w:pPr>
          </w:p>
        </w:tc>
        <w:tc>
          <w:tcPr>
            <w:tcW w:w="120" w:type="dxa"/>
            <w:vAlign w:val="bottom"/>
            <w:shd w:val="clear" w:color="auto" w:fill="EEEEEE"/>
          </w:tcPr>
          <w:p>
            <w:pPr>
              <w:spacing w:after="0"/>
              <w:rPr>
                <w:sz w:val="18"/>
                <w:szCs w:val="18"/>
                <w:color w:val="auto"/>
              </w:rPr>
            </w:pPr>
          </w:p>
        </w:tc>
        <w:tc>
          <w:tcPr>
            <w:tcW w:w="1000" w:type="dxa"/>
            <w:vAlign w:val="bottom"/>
            <w:shd w:val="clear" w:color="auto" w:fill="EEEEEE"/>
          </w:tcPr>
          <w:p>
            <w:pPr>
              <w:spacing w:after="0"/>
              <w:rPr>
                <w:sz w:val="18"/>
                <w:szCs w:val="18"/>
                <w:color w:val="auto"/>
              </w:rPr>
            </w:pPr>
          </w:p>
        </w:tc>
        <w:tc>
          <w:tcPr>
            <w:tcW w:w="160" w:type="dxa"/>
            <w:vAlign w:val="bottom"/>
            <w:shd w:val="clear" w:color="auto" w:fill="EEEEEE"/>
          </w:tcPr>
          <w:p>
            <w:pPr>
              <w:spacing w:after="0"/>
              <w:rPr>
                <w:sz w:val="18"/>
                <w:szCs w:val="18"/>
                <w:color w:val="auto"/>
              </w:rPr>
            </w:pPr>
          </w:p>
        </w:tc>
        <w:tc>
          <w:tcPr>
            <w:tcW w:w="80" w:type="dxa"/>
            <w:vAlign w:val="bottom"/>
            <w:shd w:val="clear" w:color="auto" w:fill="EEEEEE"/>
          </w:tcPr>
          <w:p>
            <w:pPr>
              <w:spacing w:after="0"/>
              <w:rPr>
                <w:sz w:val="18"/>
                <w:szCs w:val="18"/>
                <w:color w:val="auto"/>
              </w:rPr>
            </w:pPr>
          </w:p>
        </w:tc>
        <w:tc>
          <w:tcPr>
            <w:tcW w:w="120" w:type="dxa"/>
            <w:vAlign w:val="bottom"/>
            <w:shd w:val="clear" w:color="auto" w:fill="EEEEEE"/>
          </w:tcPr>
          <w:p>
            <w:pPr>
              <w:spacing w:after="0"/>
              <w:rPr>
                <w:sz w:val="18"/>
                <w:szCs w:val="18"/>
                <w:color w:val="auto"/>
              </w:rPr>
            </w:pPr>
          </w:p>
        </w:tc>
        <w:tc>
          <w:tcPr>
            <w:tcW w:w="1020" w:type="dxa"/>
            <w:vAlign w:val="bottom"/>
            <w:shd w:val="clear" w:color="auto" w:fill="EEEEEE"/>
          </w:tcPr>
          <w:p>
            <w:pPr>
              <w:spacing w:after="0"/>
              <w:rPr>
                <w:sz w:val="18"/>
                <w:szCs w:val="18"/>
                <w:color w:val="auto"/>
              </w:rPr>
            </w:pPr>
          </w:p>
        </w:tc>
        <w:tc>
          <w:tcPr>
            <w:tcW w:w="160" w:type="dxa"/>
            <w:vAlign w:val="bottom"/>
            <w:shd w:val="clear" w:color="auto" w:fill="EEEEEE"/>
          </w:tcPr>
          <w:p>
            <w:pPr>
              <w:spacing w:after="0"/>
              <w:rPr>
                <w:sz w:val="18"/>
                <w:szCs w:val="18"/>
                <w:color w:val="auto"/>
              </w:rPr>
            </w:pPr>
          </w:p>
        </w:tc>
        <w:tc>
          <w:tcPr>
            <w:tcW w:w="120" w:type="dxa"/>
            <w:vAlign w:val="bottom"/>
            <w:shd w:val="clear" w:color="auto" w:fill="EEEEEE"/>
          </w:tcPr>
          <w:p>
            <w:pPr>
              <w:spacing w:after="0"/>
              <w:rPr>
                <w:sz w:val="18"/>
                <w:szCs w:val="18"/>
                <w:color w:val="auto"/>
              </w:rPr>
            </w:pPr>
          </w:p>
        </w:tc>
        <w:tc>
          <w:tcPr>
            <w:tcW w:w="220" w:type="dxa"/>
            <w:vAlign w:val="bottom"/>
            <w:shd w:val="clear" w:color="auto" w:fill="EEEEEE"/>
          </w:tcPr>
          <w:p>
            <w:pPr>
              <w:spacing w:after="0"/>
              <w:rPr>
                <w:sz w:val="18"/>
                <w:szCs w:val="18"/>
                <w:color w:val="auto"/>
              </w:rPr>
            </w:pPr>
          </w:p>
        </w:tc>
        <w:tc>
          <w:tcPr>
            <w:tcW w:w="920" w:type="dxa"/>
            <w:vAlign w:val="bottom"/>
            <w:shd w:val="clear" w:color="auto" w:fill="EEEEEE"/>
          </w:tcPr>
          <w:p>
            <w:pPr>
              <w:spacing w:after="0"/>
              <w:rPr>
                <w:sz w:val="18"/>
                <w:szCs w:val="18"/>
                <w:color w:val="auto"/>
              </w:rPr>
            </w:pPr>
          </w:p>
        </w:tc>
        <w:tc>
          <w:tcPr>
            <w:tcW w:w="100" w:type="dxa"/>
            <w:vAlign w:val="bottom"/>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1940" w:type="dxa"/>
            <w:vAlign w:val="bottom"/>
            <w:shd w:val="clear" w:color="auto" w:fill="EEEEEE"/>
          </w:tcPr>
          <w:p>
            <w:pPr>
              <w:spacing w:after="0"/>
              <w:rPr>
                <w:sz w:val="20"/>
                <w:szCs w:val="20"/>
                <w:color w:val="auto"/>
              </w:rPr>
            </w:pPr>
            <w:r>
              <w:rPr>
                <w:rFonts w:ascii="Arial" w:cs="Arial" w:eastAsia="Arial" w:hAnsi="Arial"/>
                <w:sz w:val="18"/>
                <w:szCs w:val="18"/>
                <w:color w:val="auto"/>
              </w:rPr>
              <w:t>2008</w:t>
            </w:r>
          </w:p>
        </w:tc>
        <w:tc>
          <w:tcPr>
            <w:tcW w:w="1160" w:type="dxa"/>
            <w:vAlign w:val="bottom"/>
            <w:shd w:val="clear" w:color="auto" w:fill="EEEEEE"/>
          </w:tcPr>
          <w:p>
            <w:pPr>
              <w:spacing w:after="0"/>
              <w:rPr>
                <w:sz w:val="20"/>
                <w:szCs w:val="20"/>
                <w:color w:val="auto"/>
              </w:rPr>
            </w:pPr>
          </w:p>
        </w:tc>
        <w:tc>
          <w:tcPr>
            <w:tcW w:w="220" w:type="dxa"/>
            <w:vAlign w:val="bottom"/>
            <w:shd w:val="clear" w:color="auto" w:fill="EEEEEE"/>
          </w:tcPr>
          <w:p>
            <w:pPr>
              <w:spacing w:after="0"/>
              <w:rPr>
                <w:sz w:val="20"/>
                <w:szCs w:val="20"/>
                <w:color w:val="auto"/>
              </w:rPr>
            </w:pPr>
          </w:p>
        </w:tc>
        <w:tc>
          <w:tcPr>
            <w:tcW w:w="160" w:type="dxa"/>
            <w:vAlign w:val="bottom"/>
            <w:shd w:val="clear" w:color="auto" w:fill="EEEEEE"/>
          </w:tcPr>
          <w:p>
            <w:pPr>
              <w:spacing w:after="0"/>
              <w:rPr>
                <w:sz w:val="20"/>
                <w:szCs w:val="20"/>
                <w:color w:val="auto"/>
              </w:rPr>
            </w:pPr>
          </w:p>
        </w:tc>
        <w:tc>
          <w:tcPr>
            <w:tcW w:w="980" w:type="dxa"/>
            <w:vAlign w:val="bottom"/>
            <w:shd w:val="clear" w:color="auto" w:fill="EEEEEE"/>
          </w:tcPr>
          <w:p>
            <w:pPr>
              <w:spacing w:after="0"/>
              <w:rPr>
                <w:sz w:val="20"/>
                <w:szCs w:val="20"/>
                <w:color w:val="auto"/>
              </w:rPr>
            </w:pPr>
          </w:p>
        </w:tc>
        <w:tc>
          <w:tcPr>
            <w:tcW w:w="220" w:type="dxa"/>
            <w:vAlign w:val="bottom"/>
            <w:shd w:val="clear" w:color="auto" w:fill="EEEEEE"/>
          </w:tcPr>
          <w:p>
            <w:pPr>
              <w:spacing w:after="0"/>
              <w:rPr>
                <w:sz w:val="20"/>
                <w:szCs w:val="20"/>
                <w:color w:val="auto"/>
              </w:rPr>
            </w:pPr>
          </w:p>
        </w:tc>
        <w:tc>
          <w:tcPr>
            <w:tcW w:w="1120" w:type="dxa"/>
            <w:vAlign w:val="bottom"/>
            <w:shd w:val="clear" w:color="auto" w:fill="EEEEEE"/>
          </w:tcPr>
          <w:p>
            <w:pPr>
              <w:spacing w:after="0"/>
              <w:rPr>
                <w:sz w:val="20"/>
                <w:szCs w:val="20"/>
                <w:color w:val="auto"/>
              </w:rPr>
            </w:pPr>
          </w:p>
        </w:tc>
        <w:tc>
          <w:tcPr>
            <w:tcW w:w="220" w:type="dxa"/>
            <w:vAlign w:val="bottom"/>
            <w:shd w:val="clear" w:color="auto" w:fill="EEEEEE"/>
          </w:tcPr>
          <w:p>
            <w:pPr>
              <w:spacing w:after="0"/>
              <w:rPr>
                <w:sz w:val="20"/>
                <w:szCs w:val="20"/>
                <w:color w:val="auto"/>
              </w:rPr>
            </w:pPr>
          </w:p>
        </w:tc>
        <w:tc>
          <w:tcPr>
            <w:tcW w:w="960" w:type="dxa"/>
            <w:vAlign w:val="bottom"/>
            <w:shd w:val="clear" w:color="auto" w:fill="EEEEEE"/>
          </w:tcPr>
          <w:p>
            <w:pPr>
              <w:spacing w:after="0"/>
              <w:rPr>
                <w:sz w:val="20"/>
                <w:szCs w:val="20"/>
                <w:color w:val="auto"/>
              </w:rPr>
            </w:pPr>
          </w:p>
        </w:tc>
        <w:tc>
          <w:tcPr>
            <w:tcW w:w="180" w:type="dxa"/>
            <w:vAlign w:val="bottom"/>
            <w:shd w:val="clear" w:color="auto" w:fill="EEEEEE"/>
          </w:tcPr>
          <w:p>
            <w:pPr>
              <w:spacing w:after="0"/>
              <w:rPr>
                <w:sz w:val="20"/>
                <w:szCs w:val="20"/>
                <w:color w:val="auto"/>
              </w:rPr>
            </w:pPr>
          </w:p>
        </w:tc>
        <w:tc>
          <w:tcPr>
            <w:tcW w:w="220" w:type="dxa"/>
            <w:vAlign w:val="bottom"/>
            <w:shd w:val="clear" w:color="auto" w:fill="EEEEEE"/>
          </w:tcPr>
          <w:p>
            <w:pPr>
              <w:spacing w:after="0"/>
              <w:rPr>
                <w:sz w:val="20"/>
                <w:szCs w:val="20"/>
                <w:color w:val="auto"/>
              </w:rPr>
            </w:pPr>
          </w:p>
        </w:tc>
        <w:tc>
          <w:tcPr>
            <w:tcW w:w="120" w:type="dxa"/>
            <w:vAlign w:val="bottom"/>
            <w:shd w:val="clear" w:color="auto" w:fill="EEEEEE"/>
          </w:tcPr>
          <w:p>
            <w:pPr>
              <w:spacing w:after="0"/>
              <w:rPr>
                <w:sz w:val="20"/>
                <w:szCs w:val="20"/>
                <w:color w:val="auto"/>
              </w:rPr>
            </w:pPr>
          </w:p>
        </w:tc>
        <w:tc>
          <w:tcPr>
            <w:tcW w:w="1000" w:type="dxa"/>
            <w:vAlign w:val="bottom"/>
            <w:shd w:val="clear" w:color="auto" w:fill="EEEEEE"/>
          </w:tcPr>
          <w:p>
            <w:pPr>
              <w:spacing w:after="0"/>
              <w:rPr>
                <w:sz w:val="20"/>
                <w:szCs w:val="20"/>
                <w:color w:val="auto"/>
              </w:rPr>
            </w:pPr>
          </w:p>
        </w:tc>
        <w:tc>
          <w:tcPr>
            <w:tcW w:w="160" w:type="dxa"/>
            <w:vAlign w:val="bottom"/>
            <w:shd w:val="clear" w:color="auto" w:fill="EEEEEE"/>
          </w:tcPr>
          <w:p>
            <w:pPr>
              <w:spacing w:after="0"/>
              <w:rPr>
                <w:sz w:val="20"/>
                <w:szCs w:val="20"/>
                <w:color w:val="auto"/>
              </w:rPr>
            </w:pPr>
          </w:p>
        </w:tc>
        <w:tc>
          <w:tcPr>
            <w:tcW w:w="80" w:type="dxa"/>
            <w:vAlign w:val="bottom"/>
            <w:shd w:val="clear" w:color="auto" w:fill="EEEEEE"/>
          </w:tcPr>
          <w:p>
            <w:pPr>
              <w:spacing w:after="0"/>
              <w:rPr>
                <w:sz w:val="20"/>
                <w:szCs w:val="20"/>
                <w:color w:val="auto"/>
              </w:rPr>
            </w:pPr>
          </w:p>
        </w:tc>
        <w:tc>
          <w:tcPr>
            <w:tcW w:w="120" w:type="dxa"/>
            <w:vAlign w:val="bottom"/>
            <w:shd w:val="clear" w:color="auto" w:fill="EEEEEE"/>
          </w:tcPr>
          <w:p>
            <w:pPr>
              <w:spacing w:after="0"/>
              <w:rPr>
                <w:sz w:val="20"/>
                <w:szCs w:val="20"/>
                <w:color w:val="auto"/>
              </w:rPr>
            </w:pPr>
          </w:p>
        </w:tc>
        <w:tc>
          <w:tcPr>
            <w:tcW w:w="1180" w:type="dxa"/>
            <w:vAlign w:val="bottom"/>
            <w:gridSpan w:val="2"/>
            <w:shd w:val="clear" w:color="auto" w:fill="EEEEEE"/>
          </w:tcPr>
          <w:p>
            <w:pPr>
              <w:jc w:val="right"/>
              <w:ind w:right="100"/>
              <w:spacing w:after="0"/>
              <w:rPr>
                <w:sz w:val="20"/>
                <w:szCs w:val="20"/>
                <w:color w:val="auto"/>
              </w:rPr>
            </w:pPr>
            <w:r>
              <w:rPr>
                <w:rFonts w:ascii="Arial" w:cs="Arial" w:eastAsia="Arial" w:hAnsi="Arial"/>
                <w:sz w:val="18"/>
                <w:szCs w:val="18"/>
                <w:color w:val="auto"/>
              </w:rPr>
              <w:t>(902,958)</w:t>
            </w:r>
          </w:p>
        </w:tc>
        <w:tc>
          <w:tcPr>
            <w:tcW w:w="120" w:type="dxa"/>
            <w:vAlign w:val="bottom"/>
            <w:shd w:val="clear" w:color="auto" w:fill="EEEEEE"/>
          </w:tcPr>
          <w:p>
            <w:pPr>
              <w:spacing w:after="0"/>
              <w:rPr>
                <w:sz w:val="20"/>
                <w:szCs w:val="20"/>
                <w:color w:val="auto"/>
              </w:rPr>
            </w:pPr>
          </w:p>
        </w:tc>
        <w:tc>
          <w:tcPr>
            <w:tcW w:w="220" w:type="dxa"/>
            <w:vAlign w:val="bottom"/>
            <w:shd w:val="clear" w:color="auto" w:fill="EEEEEE"/>
          </w:tcPr>
          <w:p>
            <w:pPr>
              <w:spacing w:after="0"/>
              <w:rPr>
                <w:sz w:val="20"/>
                <w:szCs w:val="20"/>
                <w:color w:val="auto"/>
              </w:rPr>
            </w:pPr>
          </w:p>
        </w:tc>
        <w:tc>
          <w:tcPr>
            <w:tcW w:w="1020" w:type="dxa"/>
            <w:vAlign w:val="bottom"/>
            <w:gridSpan w:val="2"/>
            <w:shd w:val="clear" w:color="auto" w:fill="EEEEEE"/>
          </w:tcPr>
          <w:p>
            <w:pPr>
              <w:jc w:val="right"/>
              <w:ind w:right="40"/>
              <w:spacing w:after="0"/>
              <w:rPr>
                <w:sz w:val="20"/>
                <w:szCs w:val="20"/>
                <w:color w:val="auto"/>
              </w:rPr>
            </w:pPr>
            <w:r>
              <w:rPr>
                <w:rFonts w:ascii="Arial" w:cs="Arial" w:eastAsia="Arial" w:hAnsi="Arial"/>
                <w:sz w:val="18"/>
                <w:szCs w:val="18"/>
                <w:color w:val="auto"/>
              </w:rPr>
              <w:t>(902,958)</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1940" w:type="dxa"/>
            <w:vAlign w:val="bottom"/>
          </w:tcPr>
          <w:p>
            <w:pPr>
              <w:spacing w:after="0"/>
              <w:rPr>
                <w:sz w:val="19"/>
                <w:szCs w:val="19"/>
                <w:color w:val="auto"/>
              </w:rPr>
            </w:pPr>
          </w:p>
        </w:tc>
        <w:tc>
          <w:tcPr>
            <w:tcW w:w="1160" w:type="dxa"/>
            <w:vAlign w:val="bottom"/>
            <w:tcBorders>
              <w:bottom w:val="single" w:sz="8" w:color="auto"/>
            </w:tcBorders>
          </w:tcPr>
          <w:p>
            <w:pPr>
              <w:spacing w:after="0"/>
              <w:rPr>
                <w:sz w:val="19"/>
                <w:szCs w:val="19"/>
                <w:color w:val="auto"/>
              </w:rPr>
            </w:pPr>
          </w:p>
        </w:tc>
        <w:tc>
          <w:tcPr>
            <w:tcW w:w="220" w:type="dxa"/>
            <w:vAlign w:val="bottom"/>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spacing w:after="0"/>
              <w:rPr>
                <w:sz w:val="19"/>
                <w:szCs w:val="19"/>
                <w:color w:val="auto"/>
              </w:rPr>
            </w:pPr>
          </w:p>
        </w:tc>
        <w:tc>
          <w:tcPr>
            <w:tcW w:w="220" w:type="dxa"/>
            <w:vAlign w:val="bottom"/>
          </w:tcPr>
          <w:p>
            <w:pPr>
              <w:spacing w:after="0"/>
              <w:rPr>
                <w:sz w:val="19"/>
                <w:szCs w:val="19"/>
                <w:color w:val="auto"/>
              </w:rPr>
            </w:pPr>
          </w:p>
        </w:tc>
        <w:tc>
          <w:tcPr>
            <w:tcW w:w="1120" w:type="dxa"/>
            <w:vAlign w:val="bottom"/>
            <w:tcBorders>
              <w:bottom w:val="single" w:sz="8" w:color="auto"/>
            </w:tcBorders>
          </w:tcPr>
          <w:p>
            <w:pPr>
              <w:spacing w:after="0"/>
              <w:rPr>
                <w:sz w:val="19"/>
                <w:szCs w:val="19"/>
                <w:color w:val="auto"/>
              </w:rPr>
            </w:pPr>
          </w:p>
        </w:tc>
        <w:tc>
          <w:tcPr>
            <w:tcW w:w="220" w:type="dxa"/>
            <w:vAlign w:val="bottom"/>
          </w:tcPr>
          <w:p>
            <w:pPr>
              <w:spacing w:after="0"/>
              <w:rPr>
                <w:sz w:val="19"/>
                <w:szCs w:val="19"/>
                <w:color w:val="auto"/>
              </w:rPr>
            </w:pPr>
          </w:p>
        </w:tc>
        <w:tc>
          <w:tcPr>
            <w:tcW w:w="960" w:type="dxa"/>
            <w:vAlign w:val="bottom"/>
            <w:tcBorders>
              <w:bottom w:val="single" w:sz="8" w:color="auto"/>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220" w:type="dxa"/>
            <w:vAlign w:val="bottom"/>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spacing w:after="0"/>
              <w:rPr>
                <w:sz w:val="19"/>
                <w:szCs w:val="19"/>
                <w:color w:val="auto"/>
              </w:rPr>
            </w:pPr>
          </w:p>
        </w:tc>
        <w:tc>
          <w:tcPr>
            <w:tcW w:w="1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spacing w:after="0"/>
              <w:rPr>
                <w:sz w:val="19"/>
                <w:szCs w:val="19"/>
                <w:color w:val="auto"/>
              </w:rPr>
            </w:pPr>
          </w:p>
        </w:tc>
        <w:tc>
          <w:tcPr>
            <w:tcW w:w="1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1940" w:type="dxa"/>
            <w:vAlign w:val="bottom"/>
            <w:shd w:val="clear" w:color="auto" w:fill="EEEEEE"/>
          </w:tcPr>
          <w:p>
            <w:pPr>
              <w:spacing w:after="0" w:line="201" w:lineRule="exact"/>
              <w:rPr>
                <w:sz w:val="20"/>
                <w:szCs w:val="20"/>
                <w:color w:val="auto"/>
              </w:rPr>
            </w:pPr>
            <w:r>
              <w:rPr>
                <w:rFonts w:ascii="Arial" w:cs="Arial" w:eastAsia="Arial" w:hAnsi="Arial"/>
                <w:sz w:val="18"/>
                <w:szCs w:val="18"/>
                <w:color w:val="auto"/>
              </w:rPr>
              <w:t>Ending Balance,</w:t>
            </w:r>
          </w:p>
        </w:tc>
        <w:tc>
          <w:tcPr>
            <w:tcW w:w="1160" w:type="dxa"/>
            <w:vAlign w:val="bottom"/>
            <w:shd w:val="clear" w:color="auto" w:fill="EEEEEE"/>
          </w:tcPr>
          <w:p>
            <w:pPr>
              <w:spacing w:after="0"/>
              <w:rPr>
                <w:sz w:val="17"/>
                <w:szCs w:val="17"/>
                <w:color w:val="auto"/>
              </w:rPr>
            </w:pPr>
          </w:p>
        </w:tc>
        <w:tc>
          <w:tcPr>
            <w:tcW w:w="220" w:type="dxa"/>
            <w:vAlign w:val="bottom"/>
            <w:shd w:val="clear" w:color="auto" w:fill="EEEEEE"/>
          </w:tcPr>
          <w:p>
            <w:pPr>
              <w:spacing w:after="0"/>
              <w:rPr>
                <w:sz w:val="17"/>
                <w:szCs w:val="17"/>
                <w:color w:val="auto"/>
              </w:rPr>
            </w:pPr>
          </w:p>
        </w:tc>
        <w:tc>
          <w:tcPr>
            <w:tcW w:w="160" w:type="dxa"/>
            <w:vAlign w:val="bottom"/>
            <w:shd w:val="clear" w:color="auto" w:fill="EEEEEE"/>
          </w:tcPr>
          <w:p>
            <w:pPr>
              <w:spacing w:after="0"/>
              <w:rPr>
                <w:sz w:val="17"/>
                <w:szCs w:val="17"/>
                <w:color w:val="auto"/>
              </w:rPr>
            </w:pPr>
          </w:p>
        </w:tc>
        <w:tc>
          <w:tcPr>
            <w:tcW w:w="980" w:type="dxa"/>
            <w:vAlign w:val="bottom"/>
            <w:shd w:val="clear" w:color="auto" w:fill="EEEEEE"/>
          </w:tcPr>
          <w:p>
            <w:pPr>
              <w:spacing w:after="0"/>
              <w:rPr>
                <w:sz w:val="17"/>
                <w:szCs w:val="17"/>
                <w:color w:val="auto"/>
              </w:rPr>
            </w:pPr>
          </w:p>
        </w:tc>
        <w:tc>
          <w:tcPr>
            <w:tcW w:w="220" w:type="dxa"/>
            <w:vAlign w:val="bottom"/>
            <w:shd w:val="clear" w:color="auto" w:fill="EEEEEE"/>
          </w:tcPr>
          <w:p>
            <w:pPr>
              <w:spacing w:after="0"/>
              <w:rPr>
                <w:sz w:val="17"/>
                <w:szCs w:val="17"/>
                <w:color w:val="auto"/>
              </w:rPr>
            </w:pPr>
          </w:p>
        </w:tc>
        <w:tc>
          <w:tcPr>
            <w:tcW w:w="1120" w:type="dxa"/>
            <w:vAlign w:val="bottom"/>
            <w:shd w:val="clear" w:color="auto" w:fill="EEEEEE"/>
          </w:tcPr>
          <w:p>
            <w:pPr>
              <w:spacing w:after="0"/>
              <w:rPr>
                <w:sz w:val="17"/>
                <w:szCs w:val="17"/>
                <w:color w:val="auto"/>
              </w:rPr>
            </w:pPr>
          </w:p>
        </w:tc>
        <w:tc>
          <w:tcPr>
            <w:tcW w:w="220" w:type="dxa"/>
            <w:vAlign w:val="bottom"/>
            <w:shd w:val="clear" w:color="auto" w:fill="EEEEEE"/>
          </w:tcPr>
          <w:p>
            <w:pPr>
              <w:spacing w:after="0"/>
              <w:rPr>
                <w:sz w:val="17"/>
                <w:szCs w:val="17"/>
                <w:color w:val="auto"/>
              </w:rPr>
            </w:pPr>
          </w:p>
        </w:tc>
        <w:tc>
          <w:tcPr>
            <w:tcW w:w="960" w:type="dxa"/>
            <w:vAlign w:val="bottom"/>
            <w:shd w:val="clear" w:color="auto" w:fill="EEEEEE"/>
          </w:tcPr>
          <w:p>
            <w:pPr>
              <w:spacing w:after="0"/>
              <w:rPr>
                <w:sz w:val="17"/>
                <w:szCs w:val="17"/>
                <w:color w:val="auto"/>
              </w:rPr>
            </w:pPr>
          </w:p>
        </w:tc>
        <w:tc>
          <w:tcPr>
            <w:tcW w:w="180" w:type="dxa"/>
            <w:vAlign w:val="bottom"/>
            <w:shd w:val="clear" w:color="auto" w:fill="EEEEEE"/>
          </w:tcPr>
          <w:p>
            <w:pPr>
              <w:spacing w:after="0"/>
              <w:rPr>
                <w:sz w:val="17"/>
                <w:szCs w:val="17"/>
                <w:color w:val="auto"/>
              </w:rPr>
            </w:pPr>
          </w:p>
        </w:tc>
        <w:tc>
          <w:tcPr>
            <w:tcW w:w="220" w:type="dxa"/>
            <w:vAlign w:val="bottom"/>
            <w:shd w:val="clear" w:color="auto" w:fill="EEEEEE"/>
          </w:tcPr>
          <w:p>
            <w:pPr>
              <w:spacing w:after="0"/>
              <w:rPr>
                <w:sz w:val="17"/>
                <w:szCs w:val="17"/>
                <w:color w:val="auto"/>
              </w:rPr>
            </w:pPr>
          </w:p>
        </w:tc>
        <w:tc>
          <w:tcPr>
            <w:tcW w:w="120" w:type="dxa"/>
            <w:vAlign w:val="bottom"/>
            <w:shd w:val="clear" w:color="auto" w:fill="EEEEEE"/>
          </w:tcPr>
          <w:p>
            <w:pPr>
              <w:spacing w:after="0"/>
              <w:rPr>
                <w:sz w:val="17"/>
                <w:szCs w:val="17"/>
                <w:color w:val="auto"/>
              </w:rPr>
            </w:pPr>
          </w:p>
        </w:tc>
        <w:tc>
          <w:tcPr>
            <w:tcW w:w="1000" w:type="dxa"/>
            <w:vAlign w:val="bottom"/>
            <w:shd w:val="clear" w:color="auto" w:fill="EEEEEE"/>
          </w:tcPr>
          <w:p>
            <w:pPr>
              <w:spacing w:after="0"/>
              <w:rPr>
                <w:sz w:val="17"/>
                <w:szCs w:val="17"/>
                <w:color w:val="auto"/>
              </w:rPr>
            </w:pPr>
          </w:p>
        </w:tc>
        <w:tc>
          <w:tcPr>
            <w:tcW w:w="160" w:type="dxa"/>
            <w:vAlign w:val="bottom"/>
            <w:shd w:val="clear" w:color="auto" w:fill="EEEEEE"/>
          </w:tcPr>
          <w:p>
            <w:pPr>
              <w:spacing w:after="0"/>
              <w:rPr>
                <w:sz w:val="17"/>
                <w:szCs w:val="17"/>
                <w:color w:val="auto"/>
              </w:rPr>
            </w:pPr>
          </w:p>
        </w:tc>
        <w:tc>
          <w:tcPr>
            <w:tcW w:w="80" w:type="dxa"/>
            <w:vAlign w:val="bottom"/>
            <w:shd w:val="clear" w:color="auto" w:fill="EEEEEE"/>
          </w:tcPr>
          <w:p>
            <w:pPr>
              <w:spacing w:after="0"/>
              <w:rPr>
                <w:sz w:val="17"/>
                <w:szCs w:val="17"/>
                <w:color w:val="auto"/>
              </w:rPr>
            </w:pPr>
          </w:p>
        </w:tc>
        <w:tc>
          <w:tcPr>
            <w:tcW w:w="120" w:type="dxa"/>
            <w:vAlign w:val="bottom"/>
            <w:shd w:val="clear" w:color="auto" w:fill="EEEEEE"/>
          </w:tcPr>
          <w:p>
            <w:pPr>
              <w:spacing w:after="0"/>
              <w:rPr>
                <w:sz w:val="17"/>
                <w:szCs w:val="17"/>
                <w:color w:val="auto"/>
              </w:rPr>
            </w:pPr>
          </w:p>
        </w:tc>
        <w:tc>
          <w:tcPr>
            <w:tcW w:w="1020" w:type="dxa"/>
            <w:vAlign w:val="bottom"/>
            <w:shd w:val="clear" w:color="auto" w:fill="EEEEEE"/>
          </w:tcPr>
          <w:p>
            <w:pPr>
              <w:spacing w:after="0"/>
              <w:rPr>
                <w:sz w:val="17"/>
                <w:szCs w:val="17"/>
                <w:color w:val="auto"/>
              </w:rPr>
            </w:pPr>
          </w:p>
        </w:tc>
        <w:tc>
          <w:tcPr>
            <w:tcW w:w="160" w:type="dxa"/>
            <w:vAlign w:val="bottom"/>
            <w:shd w:val="clear" w:color="auto" w:fill="EEEEEE"/>
          </w:tcPr>
          <w:p>
            <w:pPr>
              <w:spacing w:after="0"/>
              <w:rPr>
                <w:sz w:val="17"/>
                <w:szCs w:val="17"/>
                <w:color w:val="auto"/>
              </w:rPr>
            </w:pPr>
          </w:p>
        </w:tc>
        <w:tc>
          <w:tcPr>
            <w:tcW w:w="120" w:type="dxa"/>
            <w:vAlign w:val="bottom"/>
            <w:shd w:val="clear" w:color="auto" w:fill="EEEEEE"/>
          </w:tcPr>
          <w:p>
            <w:pPr>
              <w:spacing w:after="0"/>
              <w:rPr>
                <w:sz w:val="17"/>
                <w:szCs w:val="17"/>
                <w:color w:val="auto"/>
              </w:rPr>
            </w:pPr>
          </w:p>
        </w:tc>
        <w:tc>
          <w:tcPr>
            <w:tcW w:w="220" w:type="dxa"/>
            <w:vAlign w:val="bottom"/>
            <w:shd w:val="clear" w:color="auto" w:fill="EEEEEE"/>
          </w:tcPr>
          <w:p>
            <w:pPr>
              <w:spacing w:after="0"/>
              <w:rPr>
                <w:sz w:val="17"/>
                <w:szCs w:val="17"/>
                <w:color w:val="auto"/>
              </w:rPr>
            </w:pPr>
          </w:p>
        </w:tc>
        <w:tc>
          <w:tcPr>
            <w:tcW w:w="920" w:type="dxa"/>
            <w:vAlign w:val="bottom"/>
            <w:shd w:val="clear" w:color="auto" w:fill="EEEEEE"/>
          </w:tcPr>
          <w:p>
            <w:pPr>
              <w:spacing w:after="0"/>
              <w:rPr>
                <w:sz w:val="17"/>
                <w:szCs w:val="17"/>
                <w:color w:val="auto"/>
              </w:rPr>
            </w:pPr>
          </w:p>
        </w:tc>
        <w:tc>
          <w:tcPr>
            <w:tcW w:w="100" w:type="dxa"/>
            <w:vAlign w:val="bottom"/>
            <w:shd w:val="clear" w:color="auto" w:fill="EEEEEE"/>
          </w:tcPr>
          <w:p>
            <w:pPr>
              <w:spacing w:after="0"/>
              <w:rPr>
                <w:sz w:val="17"/>
                <w:szCs w:val="17"/>
                <w:color w:val="auto"/>
              </w:rPr>
            </w:pPr>
          </w:p>
        </w:tc>
        <w:tc>
          <w:tcPr>
            <w:tcW w:w="0" w:type="dxa"/>
            <w:vAlign w:val="bottom"/>
          </w:tcPr>
          <w:p>
            <w:pPr>
              <w:spacing w:after="0"/>
              <w:rPr>
                <w:sz w:val="1"/>
                <w:szCs w:val="1"/>
                <w:color w:val="auto"/>
              </w:rPr>
            </w:pPr>
          </w:p>
        </w:tc>
      </w:tr>
      <w:tr>
        <w:trPr>
          <w:trHeight w:val="251"/>
        </w:trPr>
        <w:tc>
          <w:tcPr>
            <w:tcW w:w="20" w:type="dxa"/>
            <w:vAlign w:val="bottom"/>
          </w:tcPr>
          <w:p>
            <w:pPr>
              <w:spacing w:after="0"/>
              <w:rPr>
                <w:sz w:val="21"/>
                <w:szCs w:val="21"/>
                <w:color w:val="auto"/>
              </w:rPr>
            </w:pPr>
          </w:p>
        </w:tc>
        <w:tc>
          <w:tcPr>
            <w:tcW w:w="1940" w:type="dxa"/>
            <w:vAlign w:val="bottom"/>
            <w:shd w:val="clear" w:color="auto" w:fill="EEEEEE"/>
          </w:tcPr>
          <w:p>
            <w:pPr>
              <w:spacing w:after="0"/>
              <w:rPr>
                <w:sz w:val="20"/>
                <w:szCs w:val="20"/>
                <w:color w:val="auto"/>
              </w:rPr>
            </w:pPr>
            <w:r>
              <w:rPr>
                <w:rFonts w:ascii="Arial" w:cs="Arial" w:eastAsia="Arial" w:hAnsi="Arial"/>
                <w:sz w:val="18"/>
                <w:szCs w:val="18"/>
                <w:color w:val="auto"/>
              </w:rPr>
              <w:t>Sept 30, 2008</w:t>
            </w:r>
          </w:p>
        </w:tc>
        <w:tc>
          <w:tcPr>
            <w:tcW w:w="1160" w:type="dxa"/>
            <w:vAlign w:val="bottom"/>
            <w:shd w:val="clear" w:color="auto" w:fill="EEEEEE"/>
          </w:tcPr>
          <w:p>
            <w:pPr>
              <w:jc w:val="right"/>
              <w:spacing w:after="0"/>
              <w:rPr>
                <w:sz w:val="20"/>
                <w:szCs w:val="20"/>
                <w:color w:val="auto"/>
              </w:rPr>
            </w:pPr>
            <w:r>
              <w:rPr>
                <w:rFonts w:ascii="Arial" w:cs="Arial" w:eastAsia="Arial" w:hAnsi="Arial"/>
                <w:sz w:val="18"/>
                <w:szCs w:val="18"/>
                <w:color w:val="auto"/>
              </w:rPr>
              <w:t>16,650,000</w:t>
            </w:r>
          </w:p>
        </w:tc>
        <w:tc>
          <w:tcPr>
            <w:tcW w:w="220" w:type="dxa"/>
            <w:vAlign w:val="bottom"/>
            <w:shd w:val="clear" w:color="auto" w:fill="EEEEEE"/>
          </w:tcPr>
          <w:p>
            <w:pPr>
              <w:spacing w:after="0"/>
              <w:rPr>
                <w:sz w:val="21"/>
                <w:szCs w:val="21"/>
                <w:color w:val="auto"/>
              </w:rPr>
            </w:pPr>
          </w:p>
        </w:tc>
        <w:tc>
          <w:tcPr>
            <w:tcW w:w="160" w:type="dxa"/>
            <w:vAlign w:val="bottom"/>
            <w:shd w:val="clear" w:color="auto" w:fill="EEEEEE"/>
          </w:tcPr>
          <w:p>
            <w:pPr>
              <w:jc w:val="right"/>
              <w:spacing w:after="0"/>
              <w:rPr>
                <w:sz w:val="20"/>
                <w:szCs w:val="20"/>
                <w:color w:val="auto"/>
              </w:rPr>
            </w:pPr>
            <w:r>
              <w:rPr>
                <w:rFonts w:ascii="Arial" w:cs="Arial" w:eastAsia="Arial" w:hAnsi="Arial"/>
                <w:sz w:val="18"/>
                <w:szCs w:val="18"/>
                <w:color w:val="auto"/>
                <w:w w:val="79"/>
              </w:rPr>
              <w:t>$</w:t>
            </w:r>
          </w:p>
        </w:tc>
        <w:tc>
          <w:tcPr>
            <w:tcW w:w="980" w:type="dxa"/>
            <w:vAlign w:val="bottom"/>
            <w:shd w:val="clear" w:color="auto" w:fill="EEEEEE"/>
          </w:tcPr>
          <w:p>
            <w:pPr>
              <w:jc w:val="right"/>
              <w:spacing w:after="0"/>
              <w:rPr>
                <w:sz w:val="20"/>
                <w:szCs w:val="20"/>
                <w:color w:val="auto"/>
              </w:rPr>
            </w:pPr>
            <w:r>
              <w:rPr>
                <w:rFonts w:ascii="Arial" w:cs="Arial" w:eastAsia="Arial" w:hAnsi="Arial"/>
                <w:sz w:val="18"/>
                <w:szCs w:val="18"/>
                <w:color w:val="auto"/>
              </w:rPr>
              <w:t>16,650</w:t>
            </w:r>
          </w:p>
        </w:tc>
        <w:tc>
          <w:tcPr>
            <w:tcW w:w="220" w:type="dxa"/>
            <w:vAlign w:val="bottom"/>
            <w:shd w:val="clear" w:color="auto" w:fill="EEEEEE"/>
          </w:tcPr>
          <w:p>
            <w:pPr>
              <w:spacing w:after="0"/>
              <w:rPr>
                <w:sz w:val="21"/>
                <w:szCs w:val="21"/>
                <w:color w:val="auto"/>
              </w:rPr>
            </w:pPr>
          </w:p>
        </w:tc>
        <w:tc>
          <w:tcPr>
            <w:tcW w:w="1120" w:type="dxa"/>
            <w:vAlign w:val="bottom"/>
            <w:shd w:val="clear" w:color="auto" w:fill="EEEEEE"/>
          </w:tcPr>
          <w:p>
            <w:pPr>
              <w:jc w:val="right"/>
              <w:spacing w:after="0"/>
              <w:rPr>
                <w:sz w:val="20"/>
                <w:szCs w:val="20"/>
                <w:color w:val="auto"/>
              </w:rPr>
            </w:pPr>
            <w:r>
              <w:rPr>
                <w:rFonts w:ascii="Arial" w:cs="Arial" w:eastAsia="Arial" w:hAnsi="Arial"/>
                <w:sz w:val="18"/>
                <w:szCs w:val="18"/>
                <w:color w:val="auto"/>
              </w:rPr>
              <w:t>35</w:t>
            </w:r>
          </w:p>
        </w:tc>
        <w:tc>
          <w:tcPr>
            <w:tcW w:w="220" w:type="dxa"/>
            <w:vAlign w:val="bottom"/>
            <w:shd w:val="clear" w:color="auto" w:fill="EEEEEE"/>
          </w:tcPr>
          <w:p>
            <w:pPr>
              <w:spacing w:after="0"/>
              <w:rPr>
                <w:sz w:val="21"/>
                <w:szCs w:val="21"/>
                <w:color w:val="auto"/>
              </w:rPr>
            </w:pPr>
          </w:p>
        </w:tc>
        <w:tc>
          <w:tcPr>
            <w:tcW w:w="960" w:type="dxa"/>
            <w:vAlign w:val="bottom"/>
            <w:shd w:val="clear" w:color="auto" w:fill="EEEEEE"/>
          </w:tcPr>
          <w:p>
            <w:pPr>
              <w:jc w:val="right"/>
              <w:ind w:right="770"/>
              <w:spacing w:after="0"/>
              <w:rPr>
                <w:sz w:val="20"/>
                <w:szCs w:val="20"/>
                <w:color w:val="auto"/>
              </w:rPr>
            </w:pPr>
            <w:r>
              <w:rPr>
                <w:rFonts w:ascii="Arial" w:cs="Arial" w:eastAsia="Arial" w:hAnsi="Arial"/>
                <w:sz w:val="18"/>
                <w:szCs w:val="18"/>
                <w:color w:val="auto"/>
                <w:w w:val="79"/>
              </w:rPr>
              <w:t>$</w:t>
            </w:r>
          </w:p>
        </w:tc>
        <w:tc>
          <w:tcPr>
            <w:tcW w:w="180" w:type="dxa"/>
            <w:vAlign w:val="bottom"/>
            <w:shd w:val="clear" w:color="auto" w:fill="EEEEEE"/>
          </w:tcPr>
          <w:p>
            <w:pPr>
              <w:jc w:val="right"/>
              <w:spacing w:after="0"/>
              <w:rPr>
                <w:sz w:val="20"/>
                <w:szCs w:val="20"/>
                <w:color w:val="auto"/>
              </w:rPr>
            </w:pPr>
            <w:r>
              <w:rPr>
                <w:rFonts w:ascii="Arial" w:cs="Arial" w:eastAsia="Arial" w:hAnsi="Arial"/>
                <w:sz w:val="18"/>
                <w:szCs w:val="18"/>
                <w:color w:val="auto"/>
              </w:rPr>
              <w:t>0</w:t>
            </w:r>
          </w:p>
        </w:tc>
        <w:tc>
          <w:tcPr>
            <w:tcW w:w="340" w:type="dxa"/>
            <w:vAlign w:val="bottom"/>
            <w:gridSpan w:val="2"/>
            <w:shd w:val="clear" w:color="auto" w:fill="EEEEEE"/>
          </w:tcPr>
          <w:p>
            <w:pPr>
              <w:jc w:val="right"/>
              <w:ind w:right="40"/>
              <w:spacing w:after="0"/>
              <w:rPr>
                <w:sz w:val="20"/>
                <w:szCs w:val="20"/>
                <w:color w:val="auto"/>
              </w:rPr>
            </w:pPr>
            <w:r>
              <w:rPr>
                <w:rFonts w:ascii="Arial" w:cs="Arial" w:eastAsia="Arial" w:hAnsi="Arial"/>
                <w:sz w:val="18"/>
                <w:szCs w:val="18"/>
                <w:color w:val="auto"/>
              </w:rPr>
              <w:t>$</w:t>
            </w:r>
          </w:p>
        </w:tc>
        <w:tc>
          <w:tcPr>
            <w:tcW w:w="1000" w:type="dxa"/>
            <w:vAlign w:val="bottom"/>
            <w:shd w:val="clear" w:color="auto" w:fill="EEEEEE"/>
          </w:tcPr>
          <w:p>
            <w:pPr>
              <w:jc w:val="right"/>
              <w:spacing w:after="0"/>
              <w:rPr>
                <w:sz w:val="20"/>
                <w:szCs w:val="20"/>
                <w:color w:val="auto"/>
              </w:rPr>
            </w:pPr>
            <w:r>
              <w:rPr>
                <w:rFonts w:ascii="Arial" w:cs="Arial" w:eastAsia="Arial" w:hAnsi="Arial"/>
                <w:sz w:val="18"/>
                <w:szCs w:val="18"/>
                <w:color w:val="auto"/>
              </w:rPr>
              <w:t>4,236,354</w:t>
            </w:r>
          </w:p>
        </w:tc>
        <w:tc>
          <w:tcPr>
            <w:tcW w:w="160" w:type="dxa"/>
            <w:vAlign w:val="bottom"/>
            <w:shd w:val="clear" w:color="auto" w:fill="EEEEEE"/>
          </w:tcPr>
          <w:p>
            <w:pPr>
              <w:spacing w:after="0"/>
              <w:rPr>
                <w:sz w:val="21"/>
                <w:szCs w:val="21"/>
                <w:color w:val="auto"/>
              </w:rPr>
            </w:pPr>
          </w:p>
        </w:tc>
        <w:tc>
          <w:tcPr>
            <w:tcW w:w="200" w:type="dxa"/>
            <w:vAlign w:val="bottom"/>
            <w:gridSpan w:val="2"/>
            <w:shd w:val="clear" w:color="auto" w:fill="EEEEEE"/>
          </w:tcPr>
          <w:p>
            <w:pPr>
              <w:jc w:val="right"/>
              <w:spacing w:after="0"/>
              <w:rPr>
                <w:sz w:val="20"/>
                <w:szCs w:val="20"/>
                <w:color w:val="auto"/>
              </w:rPr>
            </w:pPr>
            <w:r>
              <w:rPr>
                <w:rFonts w:ascii="Arial" w:cs="Arial" w:eastAsia="Arial" w:hAnsi="Arial"/>
                <w:sz w:val="18"/>
                <w:szCs w:val="18"/>
                <w:color w:val="auto"/>
              </w:rPr>
              <w:t>$</w:t>
            </w:r>
          </w:p>
        </w:tc>
        <w:tc>
          <w:tcPr>
            <w:tcW w:w="1180" w:type="dxa"/>
            <w:vAlign w:val="bottom"/>
            <w:gridSpan w:val="2"/>
            <w:shd w:val="clear" w:color="auto" w:fill="EEEEEE"/>
          </w:tcPr>
          <w:p>
            <w:pPr>
              <w:jc w:val="right"/>
              <w:ind w:right="100"/>
              <w:spacing w:after="0"/>
              <w:rPr>
                <w:sz w:val="20"/>
                <w:szCs w:val="20"/>
                <w:color w:val="auto"/>
              </w:rPr>
            </w:pPr>
            <w:r>
              <w:rPr>
                <w:rFonts w:ascii="Arial" w:cs="Arial" w:eastAsia="Arial" w:hAnsi="Arial"/>
                <w:sz w:val="18"/>
                <w:szCs w:val="18"/>
                <w:color w:val="auto"/>
              </w:rPr>
              <w:t>(1,297,885)</w:t>
            </w:r>
          </w:p>
        </w:tc>
        <w:tc>
          <w:tcPr>
            <w:tcW w:w="340" w:type="dxa"/>
            <w:vAlign w:val="bottom"/>
            <w:gridSpan w:val="2"/>
            <w:shd w:val="clear" w:color="auto" w:fill="EEEEEE"/>
          </w:tcPr>
          <w:p>
            <w:pPr>
              <w:jc w:val="right"/>
              <w:ind w:right="140"/>
              <w:spacing w:after="0"/>
              <w:rPr>
                <w:sz w:val="20"/>
                <w:szCs w:val="20"/>
                <w:color w:val="auto"/>
              </w:rPr>
            </w:pPr>
            <w:r>
              <w:rPr>
                <w:rFonts w:ascii="Arial" w:cs="Arial" w:eastAsia="Arial" w:hAnsi="Arial"/>
                <w:sz w:val="18"/>
                <w:szCs w:val="18"/>
                <w:color w:val="auto"/>
              </w:rPr>
              <w:t>$</w:t>
            </w:r>
          </w:p>
        </w:tc>
        <w:tc>
          <w:tcPr>
            <w:tcW w:w="1020" w:type="dxa"/>
            <w:vAlign w:val="bottom"/>
            <w:gridSpan w:val="2"/>
            <w:shd w:val="clear" w:color="auto" w:fill="EEEEEE"/>
          </w:tcPr>
          <w:p>
            <w:pPr>
              <w:jc w:val="right"/>
              <w:ind w:right="40"/>
              <w:spacing w:after="0"/>
              <w:rPr>
                <w:sz w:val="20"/>
                <w:szCs w:val="20"/>
                <w:color w:val="auto"/>
              </w:rPr>
            </w:pPr>
            <w:r>
              <w:rPr>
                <w:rFonts w:ascii="Arial" w:cs="Arial" w:eastAsia="Arial" w:hAnsi="Arial"/>
                <w:sz w:val="18"/>
                <w:szCs w:val="18"/>
                <w:color w:val="auto"/>
              </w:rPr>
              <w:t>(2,955,119)</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940" w:type="dxa"/>
            <w:vAlign w:val="bottom"/>
            <w:tcBorders>
              <w:top w:val="single" w:sz="8" w:color="EEEEEE"/>
            </w:tcBorders>
            <w:shd w:val="clear" w:color="auto" w:fill="EEEEEE"/>
          </w:tcPr>
          <w:p>
            <w:pPr>
              <w:spacing w:after="0" w:line="20" w:lineRule="exact"/>
              <w:rPr>
                <w:sz w:val="1"/>
                <w:szCs w:val="1"/>
                <w:color w:val="auto"/>
              </w:rPr>
            </w:pPr>
          </w:p>
        </w:tc>
        <w:tc>
          <w:tcPr>
            <w:tcW w:w="116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EEEEEE"/>
            </w:tcBorders>
            <w:shd w:val="clear" w:color="auto" w:fill="EEEEEE"/>
          </w:tcPr>
          <w:p>
            <w:pPr>
              <w:spacing w:after="0" w:line="20" w:lineRule="exact"/>
              <w:rPr>
                <w:sz w:val="1"/>
                <w:szCs w:val="1"/>
                <w:color w:val="auto"/>
              </w:rPr>
            </w:pPr>
          </w:p>
        </w:tc>
        <w:tc>
          <w:tcPr>
            <w:tcW w:w="160" w:type="dxa"/>
            <w:vAlign w:val="bottom"/>
            <w:tcBorders>
              <w:top w:val="single" w:sz="8" w:color="auto"/>
            </w:tcBorders>
            <w:shd w:val="clear" w:color="auto" w:fill="000000"/>
          </w:tcPr>
          <w:p>
            <w:pPr>
              <w:spacing w:after="0" w:line="20" w:lineRule="exact"/>
              <w:rPr>
                <w:sz w:val="1"/>
                <w:szCs w:val="1"/>
                <w:color w:val="auto"/>
              </w:rPr>
            </w:pPr>
          </w:p>
        </w:tc>
        <w:tc>
          <w:tcPr>
            <w:tcW w:w="98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EEEEEE"/>
            </w:tcBorders>
            <w:shd w:val="clear" w:color="auto" w:fill="EEEEEE"/>
          </w:tcPr>
          <w:p>
            <w:pPr>
              <w:spacing w:after="0" w:line="20" w:lineRule="exact"/>
              <w:rPr>
                <w:sz w:val="1"/>
                <w:szCs w:val="1"/>
                <w:color w:val="auto"/>
              </w:rPr>
            </w:pPr>
          </w:p>
        </w:tc>
        <w:tc>
          <w:tcPr>
            <w:tcW w:w="112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EEEEEE"/>
            </w:tcBorders>
            <w:shd w:val="clear" w:color="auto" w:fill="EEEEEE"/>
          </w:tcPr>
          <w:p>
            <w:pPr>
              <w:spacing w:after="0" w:line="20" w:lineRule="exact"/>
              <w:rPr>
                <w:sz w:val="1"/>
                <w:szCs w:val="1"/>
                <w:color w:val="auto"/>
              </w:rPr>
            </w:pPr>
          </w:p>
        </w:tc>
        <w:tc>
          <w:tcPr>
            <w:tcW w:w="960" w:type="dxa"/>
            <w:vAlign w:val="bottom"/>
            <w:tcBorders>
              <w:top w:val="single" w:sz="8" w:color="auto"/>
            </w:tcBorders>
            <w:shd w:val="clear" w:color="auto" w:fill="000000"/>
          </w:tcPr>
          <w:p>
            <w:pPr>
              <w:spacing w:after="0" w:line="20" w:lineRule="exact"/>
              <w:rPr>
                <w:sz w:val="1"/>
                <w:szCs w:val="1"/>
                <w:color w:val="auto"/>
              </w:rPr>
            </w:pPr>
          </w:p>
        </w:tc>
        <w:tc>
          <w:tcPr>
            <w:tcW w:w="18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EEEEEE"/>
            </w:tcBorders>
            <w:shd w:val="clear" w:color="auto" w:fill="EEEEEE"/>
          </w:tcPr>
          <w:p>
            <w:pPr>
              <w:spacing w:after="0" w:line="20" w:lineRule="exact"/>
              <w:rPr>
                <w:sz w:val="1"/>
                <w:szCs w:val="1"/>
                <w:color w:val="auto"/>
              </w:rPr>
            </w:pPr>
          </w:p>
        </w:tc>
        <w:tc>
          <w:tcPr>
            <w:tcW w:w="120" w:type="dxa"/>
            <w:vAlign w:val="bottom"/>
            <w:tcBorders>
              <w:top w:val="single" w:sz="8" w:color="auto"/>
            </w:tcBorders>
            <w:shd w:val="clear" w:color="auto" w:fill="000000"/>
          </w:tcPr>
          <w:p>
            <w:pPr>
              <w:spacing w:after="0" w:line="20" w:lineRule="exact"/>
              <w:rPr>
                <w:sz w:val="1"/>
                <w:szCs w:val="1"/>
                <w:color w:val="auto"/>
              </w:rPr>
            </w:pPr>
          </w:p>
        </w:tc>
        <w:tc>
          <w:tcPr>
            <w:tcW w:w="1000" w:type="dxa"/>
            <w:vAlign w:val="bottom"/>
            <w:tcBorders>
              <w:top w:val="single" w:sz="8" w:color="auto"/>
            </w:tcBorders>
            <w:shd w:val="clear" w:color="auto" w:fill="000000"/>
          </w:tcPr>
          <w:p>
            <w:pPr>
              <w:spacing w:after="0" w:line="20" w:lineRule="exact"/>
              <w:rPr>
                <w:sz w:val="1"/>
                <w:szCs w:val="1"/>
                <w:color w:val="auto"/>
              </w:rPr>
            </w:pPr>
          </w:p>
        </w:tc>
        <w:tc>
          <w:tcPr>
            <w:tcW w:w="160" w:type="dxa"/>
            <w:vAlign w:val="bottom"/>
            <w:tcBorders>
              <w:top w:val="single" w:sz="8" w:color="EEEEEE"/>
            </w:tcBorders>
            <w:shd w:val="clear" w:color="auto" w:fill="EEEEEE"/>
          </w:tcPr>
          <w:p>
            <w:pPr>
              <w:spacing w:after="0" w:line="20" w:lineRule="exact"/>
              <w:rPr>
                <w:sz w:val="1"/>
                <w:szCs w:val="1"/>
                <w:color w:val="auto"/>
              </w:rPr>
            </w:pPr>
          </w:p>
        </w:tc>
        <w:tc>
          <w:tcPr>
            <w:tcW w:w="80" w:type="dxa"/>
            <w:vAlign w:val="bottom"/>
            <w:tcBorders>
              <w:top w:val="single" w:sz="8" w:color="EEEEEE"/>
            </w:tcBorders>
            <w:shd w:val="clear" w:color="auto" w:fill="EEEEEE"/>
          </w:tcPr>
          <w:p>
            <w:pPr>
              <w:spacing w:after="0" w:line="20" w:lineRule="exact"/>
              <w:rPr>
                <w:sz w:val="1"/>
                <w:szCs w:val="1"/>
                <w:color w:val="auto"/>
              </w:rPr>
            </w:pPr>
          </w:p>
        </w:tc>
        <w:tc>
          <w:tcPr>
            <w:tcW w:w="120" w:type="dxa"/>
            <w:vAlign w:val="bottom"/>
            <w:tcBorders>
              <w:top w:val="single" w:sz="8" w:color="auto"/>
            </w:tcBorders>
            <w:shd w:val="clear" w:color="auto" w:fill="000000"/>
          </w:tcPr>
          <w:p>
            <w:pPr>
              <w:spacing w:after="0" w:line="20" w:lineRule="exact"/>
              <w:rPr>
                <w:sz w:val="1"/>
                <w:szCs w:val="1"/>
                <w:color w:val="auto"/>
              </w:rPr>
            </w:pPr>
          </w:p>
        </w:tc>
        <w:tc>
          <w:tcPr>
            <w:tcW w:w="1020" w:type="dxa"/>
            <w:vAlign w:val="bottom"/>
            <w:tcBorders>
              <w:top w:val="single" w:sz="8" w:color="auto"/>
            </w:tcBorders>
            <w:shd w:val="clear" w:color="auto" w:fill="000000"/>
          </w:tcPr>
          <w:p>
            <w:pPr>
              <w:spacing w:after="0" w:line="20" w:lineRule="exact"/>
              <w:rPr>
                <w:sz w:val="1"/>
                <w:szCs w:val="1"/>
                <w:color w:val="auto"/>
              </w:rPr>
            </w:pPr>
          </w:p>
        </w:tc>
        <w:tc>
          <w:tcPr>
            <w:tcW w:w="160" w:type="dxa"/>
            <w:vAlign w:val="bottom"/>
            <w:tcBorders>
              <w:top w:val="single" w:sz="8" w:color="EEEEEE"/>
            </w:tcBorders>
            <w:shd w:val="clear" w:color="auto" w:fill="EEEEEE"/>
          </w:tcPr>
          <w:p>
            <w:pPr>
              <w:spacing w:after="0" w:line="20" w:lineRule="exact"/>
              <w:rPr>
                <w:sz w:val="1"/>
                <w:szCs w:val="1"/>
                <w:color w:val="auto"/>
              </w:rPr>
            </w:pPr>
          </w:p>
        </w:tc>
        <w:tc>
          <w:tcPr>
            <w:tcW w:w="120" w:type="dxa"/>
            <w:vAlign w:val="bottom"/>
            <w:tcBorders>
              <w:top w:val="single" w:sz="8" w:color="EEEEEE"/>
            </w:tcBorders>
            <w:shd w:val="clear" w:color="auto" w:fill="EEEEEE"/>
          </w:tcPr>
          <w:p>
            <w:pPr>
              <w:spacing w:after="0" w:line="20" w:lineRule="exact"/>
              <w:rPr>
                <w:sz w:val="1"/>
                <w:szCs w:val="1"/>
                <w:color w:val="auto"/>
              </w:rPr>
            </w:pPr>
          </w:p>
        </w:tc>
        <w:tc>
          <w:tcPr>
            <w:tcW w:w="220" w:type="dxa"/>
            <w:vAlign w:val="bottom"/>
            <w:tcBorders>
              <w:top w:val="single" w:sz="8" w:color="auto"/>
            </w:tcBorders>
            <w:shd w:val="clear" w:color="auto" w:fill="000000"/>
          </w:tcPr>
          <w:p>
            <w:pPr>
              <w:spacing w:after="0" w:line="20" w:lineRule="exact"/>
              <w:rPr>
                <w:sz w:val="1"/>
                <w:szCs w:val="1"/>
                <w:color w:val="auto"/>
              </w:rPr>
            </w:pPr>
          </w:p>
        </w:tc>
        <w:tc>
          <w:tcPr>
            <w:tcW w:w="92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EEEEEE"/>
            </w:tcBorders>
            <w:shd w:val="clear" w:color="auto" w:fill="EEEEEE"/>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5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accompanying notes are an integral part of the financial statements.</w:t>
      </w:r>
    </w:p>
    <w:p>
      <w:pPr>
        <w:spacing w:after="0" w:line="200" w:lineRule="exact"/>
        <w:rPr>
          <w:sz w:val="20"/>
          <w:szCs w:val="20"/>
          <w:color w:val="auto"/>
        </w:rPr>
      </w:pPr>
    </w:p>
    <w:p>
      <w:pPr>
        <w:spacing w:after="0" w:line="32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246620" cy="8890"/>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634" w:right="239" w:bottom="1440" w:gutter="0" w:footer="0" w:header="0"/>
        </w:sectPr>
      </w:pPr>
    </w:p>
    <w:bookmarkStart w:id="58" w:name="page59"/>
    <w:bookmarkEnd w:id="58"/>
    <w:p>
      <w:pPr>
        <w:jc w:val="center"/>
        <w:spacing w:after="0"/>
        <w:rPr>
          <w:sz w:val="20"/>
          <w:szCs w:val="20"/>
          <w:color w:val="auto"/>
        </w:rPr>
      </w:pPr>
      <w:r>
        <w:rPr>
          <w:rFonts w:ascii="Arial" w:cs="Arial" w:eastAsia="Arial" w:hAnsi="Arial"/>
          <w:sz w:val="18"/>
          <w:szCs w:val="18"/>
          <w:b w:val="1"/>
          <w:bCs w:val="1"/>
          <w:color w:val="auto"/>
        </w:rPr>
        <w:t>OPTIMIZERx CORPORATION</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OPTIMIZER SYSTEMS, LLC</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 DEVELOPMENT STAGE COMPANY)</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STATEMENTS OF CASH FLOWS (UNAUDITED)</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FOR THE NINE MONTHS ENDED SEPTEMBER 30, 2008 and 2007</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FOR THE PERIOD FROM JANUARY 31, 2006 (INCEPTION) TO SEPTEMBER 30, 2008</w:t>
      </w:r>
    </w:p>
    <w:p>
      <w:pPr>
        <w:spacing w:after="0" w:line="200" w:lineRule="exact"/>
        <w:rPr>
          <w:sz w:val="20"/>
          <w:szCs w:val="20"/>
          <w:color w:val="auto"/>
        </w:rPr>
      </w:pPr>
    </w:p>
    <w:p>
      <w:pPr>
        <w:spacing w:after="0" w:line="331"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20" w:type="dxa"/>
            <w:vAlign w:val="bottom"/>
          </w:tcPr>
          <w:p>
            <w:pPr>
              <w:spacing w:after="0"/>
              <w:rPr>
                <w:sz w:val="18"/>
                <w:szCs w:val="18"/>
                <w:color w:val="auto"/>
              </w:rPr>
            </w:pPr>
          </w:p>
        </w:tc>
        <w:tc>
          <w:tcPr>
            <w:tcW w:w="6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500" w:type="dxa"/>
            <w:vAlign w:val="bottom"/>
            <w:gridSpan w:val="2"/>
          </w:tcPr>
          <w:p>
            <w:pPr>
              <w:jc w:val="center"/>
              <w:ind w:right="280"/>
              <w:spacing w:after="0"/>
              <w:rPr>
                <w:sz w:val="20"/>
                <w:szCs w:val="20"/>
                <w:color w:val="auto"/>
              </w:rPr>
            </w:pPr>
            <w:r>
              <w:rPr>
                <w:rFonts w:ascii="Arial" w:cs="Arial" w:eastAsia="Arial" w:hAnsi="Arial"/>
                <w:sz w:val="18"/>
                <w:szCs w:val="18"/>
                <w:b w:val="1"/>
                <w:bCs w:val="1"/>
                <w:color w:val="auto"/>
                <w:w w:val="93"/>
              </w:rPr>
              <w:t>Period from</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500" w:type="dxa"/>
            <w:vAlign w:val="bottom"/>
            <w:gridSpan w:val="2"/>
          </w:tcPr>
          <w:p>
            <w:pPr>
              <w:jc w:val="center"/>
              <w:ind w:right="300"/>
              <w:spacing w:after="0"/>
              <w:rPr>
                <w:sz w:val="20"/>
                <w:szCs w:val="20"/>
                <w:color w:val="auto"/>
              </w:rPr>
            </w:pPr>
            <w:r>
              <w:rPr>
                <w:rFonts w:ascii="Arial" w:cs="Arial" w:eastAsia="Arial" w:hAnsi="Arial"/>
                <w:sz w:val="18"/>
                <w:szCs w:val="18"/>
                <w:b w:val="1"/>
                <w:bCs w:val="1"/>
                <w:color w:val="auto"/>
                <w:w w:val="92"/>
              </w:rPr>
              <w:t>Nine Months</w:t>
            </w: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500" w:type="dxa"/>
            <w:vAlign w:val="bottom"/>
            <w:gridSpan w:val="2"/>
          </w:tcPr>
          <w:p>
            <w:pPr>
              <w:jc w:val="center"/>
              <w:ind w:right="300"/>
              <w:spacing w:after="0"/>
              <w:rPr>
                <w:sz w:val="20"/>
                <w:szCs w:val="20"/>
                <w:color w:val="auto"/>
              </w:rPr>
            </w:pPr>
            <w:r>
              <w:rPr>
                <w:rFonts w:ascii="Arial" w:cs="Arial" w:eastAsia="Arial" w:hAnsi="Arial"/>
                <w:sz w:val="18"/>
                <w:szCs w:val="18"/>
                <w:b w:val="1"/>
                <w:bCs w:val="1"/>
                <w:color w:val="auto"/>
                <w:w w:val="92"/>
              </w:rPr>
              <w:t>Nine Months</w:t>
            </w: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500" w:type="dxa"/>
            <w:vAlign w:val="bottom"/>
            <w:gridSpan w:val="2"/>
          </w:tcPr>
          <w:p>
            <w:pPr>
              <w:jc w:val="center"/>
              <w:ind w:right="280"/>
              <w:spacing w:after="0"/>
              <w:rPr>
                <w:sz w:val="20"/>
                <w:szCs w:val="20"/>
                <w:color w:val="auto"/>
              </w:rPr>
            </w:pPr>
            <w:r>
              <w:rPr>
                <w:rFonts w:ascii="Arial" w:cs="Arial" w:eastAsia="Arial" w:hAnsi="Arial"/>
                <w:sz w:val="18"/>
                <w:szCs w:val="18"/>
                <w:b w:val="1"/>
                <w:bCs w:val="1"/>
                <w:color w:val="auto"/>
                <w:w w:val="90"/>
              </w:rPr>
              <w:t>January 31,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500" w:type="dxa"/>
            <w:vAlign w:val="bottom"/>
            <w:gridSpan w:val="2"/>
          </w:tcPr>
          <w:p>
            <w:pPr>
              <w:jc w:val="center"/>
              <w:ind w:right="320"/>
              <w:spacing w:after="0"/>
              <w:rPr>
                <w:sz w:val="20"/>
                <w:szCs w:val="20"/>
                <w:color w:val="auto"/>
              </w:rPr>
            </w:pPr>
            <w:r>
              <w:rPr>
                <w:rFonts w:ascii="Arial" w:cs="Arial" w:eastAsia="Arial" w:hAnsi="Arial"/>
                <w:sz w:val="18"/>
                <w:szCs w:val="18"/>
                <w:b w:val="1"/>
                <w:bCs w:val="1"/>
                <w:color w:val="auto"/>
                <w:w w:val="90"/>
              </w:rPr>
              <w:t>Ended</w:t>
            </w: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500" w:type="dxa"/>
            <w:vAlign w:val="bottom"/>
            <w:gridSpan w:val="2"/>
          </w:tcPr>
          <w:p>
            <w:pPr>
              <w:jc w:val="center"/>
              <w:ind w:right="280"/>
              <w:spacing w:after="0"/>
              <w:rPr>
                <w:sz w:val="20"/>
                <w:szCs w:val="20"/>
                <w:color w:val="auto"/>
              </w:rPr>
            </w:pPr>
            <w:r>
              <w:rPr>
                <w:rFonts w:ascii="Arial" w:cs="Arial" w:eastAsia="Arial" w:hAnsi="Arial"/>
                <w:sz w:val="18"/>
                <w:szCs w:val="18"/>
                <w:b w:val="1"/>
                <w:bCs w:val="1"/>
                <w:color w:val="auto"/>
                <w:w w:val="90"/>
              </w:rPr>
              <w:t>Ended</w:t>
            </w:r>
          </w:p>
        </w:tc>
        <w:tc>
          <w:tcPr>
            <w:tcW w:w="80" w:type="dxa"/>
            <w:vAlign w:val="bottom"/>
          </w:tcPr>
          <w:p>
            <w:pPr>
              <w:spacing w:after="0"/>
              <w:rPr>
                <w:sz w:val="18"/>
                <w:szCs w:val="18"/>
                <w:color w:val="auto"/>
              </w:rPr>
            </w:pPr>
          </w:p>
        </w:tc>
        <w:tc>
          <w:tcPr>
            <w:tcW w:w="1640" w:type="dxa"/>
            <w:vAlign w:val="bottom"/>
            <w:gridSpan w:val="3"/>
          </w:tcPr>
          <w:p>
            <w:pPr>
              <w:jc w:val="center"/>
              <w:ind w:right="140"/>
              <w:spacing w:after="0"/>
              <w:rPr>
                <w:sz w:val="20"/>
                <w:szCs w:val="20"/>
                <w:color w:val="auto"/>
              </w:rPr>
            </w:pPr>
            <w:r>
              <w:rPr>
                <w:rFonts w:ascii="Arial" w:cs="Arial" w:eastAsia="Arial" w:hAnsi="Arial"/>
                <w:sz w:val="18"/>
                <w:szCs w:val="18"/>
                <w:b w:val="1"/>
                <w:bCs w:val="1"/>
                <w:color w:val="auto"/>
                <w:w w:val="89"/>
              </w:rPr>
              <w:t>2006(inception) to</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500" w:type="dxa"/>
            <w:vAlign w:val="bottom"/>
            <w:gridSpan w:val="2"/>
          </w:tcPr>
          <w:p>
            <w:pPr>
              <w:jc w:val="center"/>
              <w:ind w:right="320"/>
              <w:spacing w:after="0"/>
              <w:rPr>
                <w:sz w:val="20"/>
                <w:szCs w:val="20"/>
                <w:color w:val="auto"/>
              </w:rPr>
            </w:pPr>
            <w:r>
              <w:rPr>
                <w:rFonts w:ascii="Arial" w:cs="Arial" w:eastAsia="Arial" w:hAnsi="Arial"/>
                <w:sz w:val="18"/>
                <w:szCs w:val="18"/>
                <w:b w:val="1"/>
                <w:bCs w:val="1"/>
                <w:color w:val="auto"/>
                <w:w w:val="89"/>
              </w:rPr>
              <w:t>September 30,</w:t>
            </w: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500" w:type="dxa"/>
            <w:vAlign w:val="bottom"/>
            <w:gridSpan w:val="2"/>
          </w:tcPr>
          <w:p>
            <w:pPr>
              <w:jc w:val="center"/>
              <w:ind w:right="280"/>
              <w:spacing w:after="0"/>
              <w:rPr>
                <w:sz w:val="20"/>
                <w:szCs w:val="20"/>
                <w:color w:val="auto"/>
              </w:rPr>
            </w:pPr>
            <w:r>
              <w:rPr>
                <w:rFonts w:ascii="Arial" w:cs="Arial" w:eastAsia="Arial" w:hAnsi="Arial"/>
                <w:sz w:val="18"/>
                <w:szCs w:val="18"/>
                <w:b w:val="1"/>
                <w:bCs w:val="1"/>
                <w:color w:val="auto"/>
                <w:w w:val="89"/>
              </w:rPr>
              <w:t>September 30,</w:t>
            </w: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500" w:type="dxa"/>
            <w:vAlign w:val="bottom"/>
            <w:gridSpan w:val="2"/>
          </w:tcPr>
          <w:p>
            <w:pPr>
              <w:jc w:val="center"/>
              <w:ind w:right="280"/>
              <w:spacing w:after="0"/>
              <w:rPr>
                <w:sz w:val="20"/>
                <w:szCs w:val="20"/>
                <w:color w:val="auto"/>
              </w:rPr>
            </w:pPr>
            <w:r>
              <w:rPr>
                <w:rFonts w:ascii="Arial" w:cs="Arial" w:eastAsia="Arial" w:hAnsi="Arial"/>
                <w:sz w:val="18"/>
                <w:szCs w:val="18"/>
                <w:b w:val="1"/>
                <w:bCs w:val="1"/>
                <w:color w:val="auto"/>
                <w:w w:val="89"/>
              </w:rPr>
              <w:t>September 30,</w:t>
            </w:r>
          </w:p>
        </w:tc>
        <w:tc>
          <w:tcPr>
            <w:tcW w:w="0" w:type="dxa"/>
            <w:vAlign w:val="bottom"/>
          </w:tcPr>
          <w:p>
            <w:pPr>
              <w:spacing w:after="0"/>
              <w:rPr>
                <w:sz w:val="1"/>
                <w:szCs w:val="1"/>
                <w:color w:val="auto"/>
              </w:rPr>
            </w:pPr>
          </w:p>
        </w:tc>
      </w:tr>
      <w:tr>
        <w:trPr>
          <w:trHeight w:val="241"/>
        </w:trPr>
        <w:tc>
          <w:tcPr>
            <w:tcW w:w="20" w:type="dxa"/>
            <w:vAlign w:val="bottom"/>
          </w:tcPr>
          <w:p>
            <w:pPr>
              <w:spacing w:after="0"/>
              <w:rPr>
                <w:sz w:val="20"/>
                <w:szCs w:val="20"/>
                <w:color w:val="auto"/>
              </w:rPr>
            </w:pPr>
          </w:p>
        </w:tc>
        <w:tc>
          <w:tcPr>
            <w:tcW w:w="61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1360" w:type="dxa"/>
            <w:vAlign w:val="bottom"/>
            <w:tcBorders>
              <w:bottom w:val="single" w:sz="8" w:color="auto"/>
            </w:tcBorders>
          </w:tcPr>
          <w:p>
            <w:pPr>
              <w:jc w:val="center"/>
              <w:ind w:right="70"/>
              <w:spacing w:after="0"/>
              <w:rPr>
                <w:sz w:val="20"/>
                <w:szCs w:val="20"/>
                <w:color w:val="auto"/>
              </w:rPr>
            </w:pPr>
            <w:r>
              <w:rPr>
                <w:rFonts w:ascii="Arial" w:cs="Arial" w:eastAsia="Arial" w:hAnsi="Arial"/>
                <w:sz w:val="18"/>
                <w:szCs w:val="18"/>
                <w:b w:val="1"/>
                <w:bCs w:val="1"/>
                <w:color w:val="auto"/>
                <w:w w:val="89"/>
              </w:rPr>
              <w:t>2008</w:t>
            </w:r>
          </w:p>
        </w:tc>
        <w:tc>
          <w:tcPr>
            <w:tcW w:w="1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360" w:type="dxa"/>
            <w:vAlign w:val="bottom"/>
            <w:tcBorders>
              <w:bottom w:val="single" w:sz="8" w:color="auto"/>
            </w:tcBorders>
          </w:tcPr>
          <w:p>
            <w:pPr>
              <w:jc w:val="center"/>
              <w:ind w:right="70"/>
              <w:spacing w:after="0"/>
              <w:rPr>
                <w:sz w:val="20"/>
                <w:szCs w:val="20"/>
                <w:color w:val="auto"/>
              </w:rPr>
            </w:pPr>
            <w:r>
              <w:rPr>
                <w:rFonts w:ascii="Arial" w:cs="Arial" w:eastAsia="Arial" w:hAnsi="Arial"/>
                <w:sz w:val="18"/>
                <w:szCs w:val="18"/>
                <w:b w:val="1"/>
                <w:bCs w:val="1"/>
                <w:color w:val="auto"/>
                <w:w w:val="89"/>
              </w:rPr>
              <w:t>2007</w:t>
            </w:r>
          </w:p>
        </w:tc>
        <w:tc>
          <w:tcPr>
            <w:tcW w:w="1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1380" w:type="dxa"/>
            <w:vAlign w:val="bottom"/>
            <w:tcBorders>
              <w:bottom w:val="single" w:sz="8" w:color="auto"/>
            </w:tcBorders>
          </w:tcPr>
          <w:p>
            <w:pPr>
              <w:jc w:val="center"/>
              <w:ind w:right="90"/>
              <w:spacing w:after="0"/>
              <w:rPr>
                <w:sz w:val="20"/>
                <w:szCs w:val="20"/>
                <w:color w:val="auto"/>
              </w:rPr>
            </w:pPr>
            <w:r>
              <w:rPr>
                <w:rFonts w:ascii="Arial" w:cs="Arial" w:eastAsia="Arial" w:hAnsi="Arial"/>
                <w:sz w:val="18"/>
                <w:szCs w:val="18"/>
                <w:b w:val="1"/>
                <w:bCs w:val="1"/>
                <w:color w:val="auto"/>
                <w:w w:val="89"/>
              </w:rPr>
              <w:t>2008</w:t>
            </w:r>
          </w:p>
        </w:tc>
        <w:tc>
          <w:tcPr>
            <w:tcW w:w="1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120" w:type="dxa"/>
            <w:vAlign w:val="bottom"/>
            <w:shd w:val="clear" w:color="auto" w:fill="EEEEEE"/>
          </w:tcPr>
          <w:p>
            <w:pPr>
              <w:spacing w:after="0"/>
              <w:rPr>
                <w:sz w:val="20"/>
                <w:szCs w:val="20"/>
                <w:color w:val="auto"/>
              </w:rPr>
            </w:pPr>
            <w:r>
              <w:rPr>
                <w:rFonts w:ascii="Arial" w:cs="Arial" w:eastAsia="Arial" w:hAnsi="Arial"/>
                <w:sz w:val="18"/>
                <w:szCs w:val="18"/>
                <w:b w:val="1"/>
                <w:bCs w:val="1"/>
                <w:color w:val="auto"/>
              </w:rPr>
              <w:t>Cash Flows from Operating Activities:</w:t>
            </w:r>
          </w:p>
        </w:tc>
        <w:tc>
          <w:tcPr>
            <w:tcW w:w="220" w:type="dxa"/>
            <w:vAlign w:val="bottom"/>
            <w:shd w:val="clear" w:color="auto" w:fill="EEEEEE"/>
          </w:tcPr>
          <w:p>
            <w:pPr>
              <w:spacing w:after="0"/>
              <w:rPr>
                <w:sz w:val="18"/>
                <w:szCs w:val="18"/>
                <w:color w:val="auto"/>
              </w:rPr>
            </w:pPr>
          </w:p>
        </w:tc>
        <w:tc>
          <w:tcPr>
            <w:tcW w:w="140" w:type="dxa"/>
            <w:vAlign w:val="bottom"/>
            <w:shd w:val="clear" w:color="auto" w:fill="EEEEEE"/>
          </w:tcPr>
          <w:p>
            <w:pPr>
              <w:spacing w:after="0"/>
              <w:rPr>
                <w:sz w:val="18"/>
                <w:szCs w:val="18"/>
                <w:color w:val="auto"/>
              </w:rPr>
            </w:pPr>
          </w:p>
        </w:tc>
        <w:tc>
          <w:tcPr>
            <w:tcW w:w="1360" w:type="dxa"/>
            <w:vAlign w:val="bottom"/>
            <w:shd w:val="clear" w:color="auto" w:fill="EEEEEE"/>
          </w:tcPr>
          <w:p>
            <w:pPr>
              <w:spacing w:after="0"/>
              <w:rPr>
                <w:sz w:val="18"/>
                <w:szCs w:val="18"/>
                <w:color w:val="auto"/>
              </w:rPr>
            </w:pPr>
          </w:p>
        </w:tc>
        <w:tc>
          <w:tcPr>
            <w:tcW w:w="140" w:type="dxa"/>
            <w:vAlign w:val="bottom"/>
            <w:shd w:val="clear" w:color="auto" w:fill="EEEEEE"/>
          </w:tcPr>
          <w:p>
            <w:pPr>
              <w:spacing w:after="0"/>
              <w:rPr>
                <w:sz w:val="18"/>
                <w:szCs w:val="18"/>
                <w:color w:val="auto"/>
              </w:rPr>
            </w:pPr>
          </w:p>
        </w:tc>
        <w:tc>
          <w:tcPr>
            <w:tcW w:w="80" w:type="dxa"/>
            <w:vAlign w:val="bottom"/>
            <w:shd w:val="clear" w:color="auto" w:fill="EEEEEE"/>
          </w:tcPr>
          <w:p>
            <w:pPr>
              <w:spacing w:after="0"/>
              <w:rPr>
                <w:sz w:val="18"/>
                <w:szCs w:val="18"/>
                <w:color w:val="auto"/>
              </w:rPr>
            </w:pPr>
          </w:p>
        </w:tc>
        <w:tc>
          <w:tcPr>
            <w:tcW w:w="120" w:type="dxa"/>
            <w:vAlign w:val="bottom"/>
            <w:shd w:val="clear" w:color="auto" w:fill="EEEEEE"/>
          </w:tcPr>
          <w:p>
            <w:pPr>
              <w:spacing w:after="0"/>
              <w:rPr>
                <w:sz w:val="18"/>
                <w:szCs w:val="18"/>
                <w:color w:val="auto"/>
              </w:rPr>
            </w:pPr>
          </w:p>
        </w:tc>
        <w:tc>
          <w:tcPr>
            <w:tcW w:w="1360" w:type="dxa"/>
            <w:vAlign w:val="bottom"/>
            <w:shd w:val="clear" w:color="auto" w:fill="EEEEEE"/>
          </w:tcPr>
          <w:p>
            <w:pPr>
              <w:spacing w:after="0"/>
              <w:rPr>
                <w:sz w:val="18"/>
                <w:szCs w:val="18"/>
                <w:color w:val="auto"/>
              </w:rPr>
            </w:pPr>
          </w:p>
        </w:tc>
        <w:tc>
          <w:tcPr>
            <w:tcW w:w="140" w:type="dxa"/>
            <w:vAlign w:val="bottom"/>
            <w:shd w:val="clear" w:color="auto" w:fill="EEEEEE"/>
          </w:tcPr>
          <w:p>
            <w:pPr>
              <w:spacing w:after="0"/>
              <w:rPr>
                <w:sz w:val="18"/>
                <w:szCs w:val="18"/>
                <w:color w:val="auto"/>
              </w:rPr>
            </w:pPr>
          </w:p>
        </w:tc>
        <w:tc>
          <w:tcPr>
            <w:tcW w:w="80" w:type="dxa"/>
            <w:vAlign w:val="bottom"/>
            <w:shd w:val="clear" w:color="auto" w:fill="EEEEEE"/>
          </w:tcPr>
          <w:p>
            <w:pPr>
              <w:spacing w:after="0"/>
              <w:rPr>
                <w:sz w:val="18"/>
                <w:szCs w:val="18"/>
                <w:color w:val="auto"/>
              </w:rPr>
            </w:pPr>
          </w:p>
        </w:tc>
        <w:tc>
          <w:tcPr>
            <w:tcW w:w="140" w:type="dxa"/>
            <w:vAlign w:val="bottom"/>
            <w:shd w:val="clear" w:color="auto" w:fill="EEEEEE"/>
          </w:tcPr>
          <w:p>
            <w:pPr>
              <w:spacing w:after="0"/>
              <w:rPr>
                <w:sz w:val="18"/>
                <w:szCs w:val="18"/>
                <w:color w:val="auto"/>
              </w:rPr>
            </w:pPr>
          </w:p>
        </w:tc>
        <w:tc>
          <w:tcPr>
            <w:tcW w:w="1380" w:type="dxa"/>
            <w:vAlign w:val="bottom"/>
            <w:shd w:val="clear" w:color="auto" w:fill="EEEEEE"/>
          </w:tcPr>
          <w:p>
            <w:pPr>
              <w:spacing w:after="0"/>
              <w:rPr>
                <w:sz w:val="18"/>
                <w:szCs w:val="18"/>
                <w:color w:val="auto"/>
              </w:rPr>
            </w:pPr>
          </w:p>
        </w:tc>
        <w:tc>
          <w:tcPr>
            <w:tcW w:w="120" w:type="dxa"/>
            <w:vAlign w:val="bottom"/>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120" w:type="dxa"/>
            <w:vAlign w:val="bottom"/>
          </w:tcPr>
          <w:p>
            <w:pPr>
              <w:ind w:left="160"/>
              <w:spacing w:after="0"/>
              <w:rPr>
                <w:sz w:val="20"/>
                <w:szCs w:val="20"/>
                <w:color w:val="auto"/>
              </w:rPr>
            </w:pPr>
            <w:r>
              <w:rPr>
                <w:rFonts w:ascii="Arial" w:cs="Arial" w:eastAsia="Arial" w:hAnsi="Arial"/>
                <w:sz w:val="18"/>
                <w:szCs w:val="18"/>
                <w:color w:val="auto"/>
              </w:rPr>
              <w:t>Net Loss for the period</w:t>
            </w:r>
          </w:p>
        </w:tc>
        <w:tc>
          <w:tcPr>
            <w:tcW w:w="3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500" w:type="dxa"/>
            <w:vAlign w:val="bottom"/>
            <w:gridSpan w:val="2"/>
          </w:tcPr>
          <w:p>
            <w:pPr>
              <w:jc w:val="right"/>
              <w:ind w:right="80"/>
              <w:spacing w:after="0"/>
              <w:rPr>
                <w:sz w:val="20"/>
                <w:szCs w:val="20"/>
                <w:color w:val="auto"/>
              </w:rPr>
            </w:pPr>
            <w:r>
              <w:rPr>
                <w:rFonts w:ascii="Arial" w:cs="Arial" w:eastAsia="Arial" w:hAnsi="Arial"/>
                <w:sz w:val="18"/>
                <w:szCs w:val="18"/>
                <w:color w:val="auto"/>
              </w:rPr>
              <w:t>(902,958)</w:t>
            </w:r>
          </w:p>
        </w:tc>
        <w:tc>
          <w:tcPr>
            <w:tcW w:w="200" w:type="dxa"/>
            <w:vAlign w:val="bottom"/>
            <w:gridSpan w:val="2"/>
          </w:tcPr>
          <w:p>
            <w:pPr>
              <w:jc w:val="right"/>
              <w:ind w:right="40"/>
              <w:spacing w:after="0"/>
              <w:rPr>
                <w:sz w:val="20"/>
                <w:szCs w:val="20"/>
                <w:color w:val="auto"/>
              </w:rPr>
            </w:pPr>
            <w:r>
              <w:rPr>
                <w:rFonts w:ascii="Arial" w:cs="Arial" w:eastAsia="Arial" w:hAnsi="Arial"/>
                <w:sz w:val="18"/>
                <w:szCs w:val="18"/>
                <w:color w:val="auto"/>
              </w:rPr>
              <w:t>$</w:t>
            </w:r>
          </w:p>
        </w:tc>
        <w:tc>
          <w:tcPr>
            <w:tcW w:w="1500" w:type="dxa"/>
            <w:vAlign w:val="bottom"/>
            <w:gridSpan w:val="2"/>
          </w:tcPr>
          <w:p>
            <w:pPr>
              <w:jc w:val="right"/>
              <w:ind w:right="80"/>
              <w:spacing w:after="0"/>
              <w:rPr>
                <w:sz w:val="20"/>
                <w:szCs w:val="20"/>
                <w:color w:val="auto"/>
              </w:rPr>
            </w:pPr>
            <w:r>
              <w:rPr>
                <w:rFonts w:ascii="Arial" w:cs="Arial" w:eastAsia="Arial" w:hAnsi="Arial"/>
                <w:sz w:val="18"/>
                <w:szCs w:val="18"/>
                <w:color w:val="auto"/>
              </w:rPr>
              <w:t>(176,931)</w:t>
            </w:r>
          </w:p>
        </w:tc>
        <w:tc>
          <w:tcPr>
            <w:tcW w:w="2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500" w:type="dxa"/>
            <w:vAlign w:val="bottom"/>
            <w:gridSpan w:val="2"/>
          </w:tcPr>
          <w:p>
            <w:pPr>
              <w:jc w:val="right"/>
              <w:ind w:right="60"/>
              <w:spacing w:after="0"/>
              <w:rPr>
                <w:sz w:val="20"/>
                <w:szCs w:val="20"/>
                <w:color w:val="auto"/>
              </w:rPr>
            </w:pPr>
            <w:r>
              <w:rPr>
                <w:rFonts w:ascii="Arial" w:cs="Arial" w:eastAsia="Arial" w:hAnsi="Arial"/>
                <w:sz w:val="18"/>
                <w:szCs w:val="18"/>
                <w:color w:val="auto"/>
              </w:rPr>
              <w:t>(1,297,885)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120" w:type="dxa"/>
            <w:vAlign w:val="bottom"/>
            <w:shd w:val="clear" w:color="auto" w:fill="EEEEEE"/>
          </w:tcPr>
          <w:p>
            <w:pPr>
              <w:ind w:left="160"/>
              <w:spacing w:after="0"/>
              <w:rPr>
                <w:sz w:val="20"/>
                <w:szCs w:val="20"/>
                <w:color w:val="auto"/>
              </w:rPr>
            </w:pPr>
            <w:r>
              <w:rPr>
                <w:rFonts w:ascii="Arial" w:cs="Arial" w:eastAsia="Arial" w:hAnsi="Arial"/>
                <w:sz w:val="18"/>
                <w:szCs w:val="18"/>
                <w:color w:val="auto"/>
              </w:rPr>
              <w:t>Stock options issued for compensation</w:t>
            </w:r>
          </w:p>
        </w:tc>
        <w:tc>
          <w:tcPr>
            <w:tcW w:w="220" w:type="dxa"/>
            <w:vAlign w:val="bottom"/>
            <w:shd w:val="clear" w:color="auto" w:fill="EEEEEE"/>
          </w:tcPr>
          <w:p>
            <w:pPr>
              <w:spacing w:after="0"/>
              <w:rPr>
                <w:sz w:val="18"/>
                <w:szCs w:val="18"/>
                <w:color w:val="auto"/>
              </w:rPr>
            </w:pPr>
          </w:p>
        </w:tc>
        <w:tc>
          <w:tcPr>
            <w:tcW w:w="140" w:type="dxa"/>
            <w:vAlign w:val="bottom"/>
            <w:shd w:val="clear" w:color="auto" w:fill="EEEEEE"/>
          </w:tcPr>
          <w:p>
            <w:pPr>
              <w:spacing w:after="0"/>
              <w:rPr>
                <w:sz w:val="18"/>
                <w:szCs w:val="18"/>
                <w:color w:val="auto"/>
              </w:rPr>
            </w:pPr>
          </w:p>
        </w:tc>
        <w:tc>
          <w:tcPr>
            <w:tcW w:w="1360" w:type="dxa"/>
            <w:vAlign w:val="bottom"/>
            <w:shd w:val="clear" w:color="auto" w:fill="EEEEEE"/>
          </w:tcPr>
          <w:p>
            <w:pPr>
              <w:jc w:val="right"/>
              <w:spacing w:after="0"/>
              <w:rPr>
                <w:sz w:val="20"/>
                <w:szCs w:val="20"/>
                <w:color w:val="auto"/>
              </w:rPr>
            </w:pPr>
            <w:r>
              <w:rPr>
                <w:rFonts w:ascii="Arial" w:cs="Arial" w:eastAsia="Arial" w:hAnsi="Arial"/>
                <w:sz w:val="18"/>
                <w:szCs w:val="18"/>
                <w:color w:val="auto"/>
              </w:rPr>
              <w:t>333,004</w:t>
            </w:r>
          </w:p>
        </w:tc>
        <w:tc>
          <w:tcPr>
            <w:tcW w:w="140" w:type="dxa"/>
            <w:vAlign w:val="bottom"/>
            <w:shd w:val="clear" w:color="auto" w:fill="EEEEEE"/>
          </w:tcPr>
          <w:p>
            <w:pPr>
              <w:spacing w:after="0"/>
              <w:rPr>
                <w:sz w:val="18"/>
                <w:szCs w:val="18"/>
                <w:color w:val="auto"/>
              </w:rPr>
            </w:pPr>
          </w:p>
        </w:tc>
        <w:tc>
          <w:tcPr>
            <w:tcW w:w="80" w:type="dxa"/>
            <w:vAlign w:val="bottom"/>
            <w:shd w:val="clear" w:color="auto" w:fill="EEEEEE"/>
          </w:tcPr>
          <w:p>
            <w:pPr>
              <w:spacing w:after="0"/>
              <w:rPr>
                <w:sz w:val="18"/>
                <w:szCs w:val="18"/>
                <w:color w:val="auto"/>
              </w:rPr>
            </w:pPr>
          </w:p>
        </w:tc>
        <w:tc>
          <w:tcPr>
            <w:tcW w:w="120" w:type="dxa"/>
            <w:vAlign w:val="bottom"/>
            <w:shd w:val="clear" w:color="auto" w:fill="EEEEEE"/>
          </w:tcPr>
          <w:p>
            <w:pPr>
              <w:spacing w:after="0"/>
              <w:rPr>
                <w:sz w:val="18"/>
                <w:szCs w:val="18"/>
                <w:color w:val="auto"/>
              </w:rPr>
            </w:pPr>
          </w:p>
        </w:tc>
        <w:tc>
          <w:tcPr>
            <w:tcW w:w="1360" w:type="dxa"/>
            <w:vAlign w:val="bottom"/>
            <w:shd w:val="clear" w:color="auto" w:fill="EEEEEE"/>
          </w:tcPr>
          <w:p>
            <w:pPr>
              <w:jc w:val="right"/>
              <w:spacing w:after="0"/>
              <w:rPr>
                <w:sz w:val="20"/>
                <w:szCs w:val="20"/>
                <w:color w:val="auto"/>
              </w:rPr>
            </w:pPr>
            <w:r>
              <w:rPr>
                <w:rFonts w:ascii="Arial" w:cs="Arial" w:eastAsia="Arial" w:hAnsi="Arial"/>
                <w:sz w:val="18"/>
                <w:szCs w:val="18"/>
                <w:color w:val="auto"/>
              </w:rPr>
              <w:t>0</w:t>
            </w:r>
          </w:p>
        </w:tc>
        <w:tc>
          <w:tcPr>
            <w:tcW w:w="140" w:type="dxa"/>
            <w:vAlign w:val="bottom"/>
            <w:shd w:val="clear" w:color="auto" w:fill="EEEEEE"/>
          </w:tcPr>
          <w:p>
            <w:pPr>
              <w:spacing w:after="0"/>
              <w:rPr>
                <w:sz w:val="18"/>
                <w:szCs w:val="18"/>
                <w:color w:val="auto"/>
              </w:rPr>
            </w:pPr>
          </w:p>
        </w:tc>
        <w:tc>
          <w:tcPr>
            <w:tcW w:w="80" w:type="dxa"/>
            <w:vAlign w:val="bottom"/>
            <w:shd w:val="clear" w:color="auto" w:fill="EEEEEE"/>
          </w:tcPr>
          <w:p>
            <w:pPr>
              <w:spacing w:after="0"/>
              <w:rPr>
                <w:sz w:val="18"/>
                <w:szCs w:val="18"/>
                <w:color w:val="auto"/>
              </w:rPr>
            </w:pPr>
          </w:p>
        </w:tc>
        <w:tc>
          <w:tcPr>
            <w:tcW w:w="140" w:type="dxa"/>
            <w:vAlign w:val="bottom"/>
            <w:shd w:val="clear" w:color="auto" w:fill="EEEEEE"/>
          </w:tcPr>
          <w:p>
            <w:pPr>
              <w:spacing w:after="0"/>
              <w:rPr>
                <w:sz w:val="18"/>
                <w:szCs w:val="18"/>
                <w:color w:val="auto"/>
              </w:rPr>
            </w:pPr>
          </w:p>
        </w:tc>
        <w:tc>
          <w:tcPr>
            <w:tcW w:w="1380" w:type="dxa"/>
            <w:vAlign w:val="bottom"/>
            <w:shd w:val="clear" w:color="auto" w:fill="EEEEEE"/>
          </w:tcPr>
          <w:p>
            <w:pPr>
              <w:jc w:val="right"/>
              <w:spacing w:after="0"/>
              <w:rPr>
                <w:sz w:val="20"/>
                <w:szCs w:val="20"/>
                <w:color w:val="auto"/>
              </w:rPr>
            </w:pPr>
            <w:r>
              <w:rPr>
                <w:rFonts w:ascii="Arial" w:cs="Arial" w:eastAsia="Arial" w:hAnsi="Arial"/>
                <w:sz w:val="18"/>
                <w:szCs w:val="18"/>
                <w:color w:val="auto"/>
              </w:rPr>
              <w:t>333,004</w:t>
            </w:r>
          </w:p>
        </w:tc>
        <w:tc>
          <w:tcPr>
            <w:tcW w:w="120" w:type="dxa"/>
            <w:vAlign w:val="bottom"/>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6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3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120" w:type="dxa"/>
            <w:vAlign w:val="bottom"/>
            <w:shd w:val="clear" w:color="auto" w:fill="EEEEEE"/>
          </w:tcPr>
          <w:p>
            <w:pPr>
              <w:spacing w:after="0"/>
              <w:rPr>
                <w:sz w:val="20"/>
                <w:szCs w:val="20"/>
                <w:color w:val="auto"/>
              </w:rPr>
            </w:pPr>
            <w:r>
              <w:rPr>
                <w:rFonts w:ascii="Arial" w:cs="Arial" w:eastAsia="Arial" w:hAnsi="Arial"/>
                <w:sz w:val="18"/>
                <w:szCs w:val="18"/>
                <w:b w:val="1"/>
                <w:bCs w:val="1"/>
                <w:color w:val="auto"/>
                <w:w w:val="92"/>
              </w:rPr>
              <w:t>Adjustments to Reconcile Net Loss to Net Cash Used in Operating Activities:</w:t>
            </w:r>
          </w:p>
        </w:tc>
        <w:tc>
          <w:tcPr>
            <w:tcW w:w="220" w:type="dxa"/>
            <w:vAlign w:val="bottom"/>
            <w:shd w:val="clear" w:color="auto" w:fill="EEEEEE"/>
          </w:tcPr>
          <w:p>
            <w:pPr>
              <w:spacing w:after="0"/>
              <w:rPr>
                <w:sz w:val="18"/>
                <w:szCs w:val="18"/>
                <w:color w:val="auto"/>
              </w:rPr>
            </w:pPr>
          </w:p>
        </w:tc>
        <w:tc>
          <w:tcPr>
            <w:tcW w:w="140" w:type="dxa"/>
            <w:vAlign w:val="bottom"/>
            <w:shd w:val="clear" w:color="auto" w:fill="EEEEEE"/>
          </w:tcPr>
          <w:p>
            <w:pPr>
              <w:spacing w:after="0"/>
              <w:rPr>
                <w:sz w:val="18"/>
                <w:szCs w:val="18"/>
                <w:color w:val="auto"/>
              </w:rPr>
            </w:pPr>
          </w:p>
        </w:tc>
        <w:tc>
          <w:tcPr>
            <w:tcW w:w="1360" w:type="dxa"/>
            <w:vAlign w:val="bottom"/>
            <w:shd w:val="clear" w:color="auto" w:fill="EEEEEE"/>
          </w:tcPr>
          <w:p>
            <w:pPr>
              <w:spacing w:after="0"/>
              <w:rPr>
                <w:sz w:val="18"/>
                <w:szCs w:val="18"/>
                <w:color w:val="auto"/>
              </w:rPr>
            </w:pPr>
          </w:p>
        </w:tc>
        <w:tc>
          <w:tcPr>
            <w:tcW w:w="140" w:type="dxa"/>
            <w:vAlign w:val="bottom"/>
            <w:shd w:val="clear" w:color="auto" w:fill="EEEEEE"/>
          </w:tcPr>
          <w:p>
            <w:pPr>
              <w:spacing w:after="0"/>
              <w:rPr>
                <w:sz w:val="18"/>
                <w:szCs w:val="18"/>
                <w:color w:val="auto"/>
              </w:rPr>
            </w:pPr>
          </w:p>
        </w:tc>
        <w:tc>
          <w:tcPr>
            <w:tcW w:w="80" w:type="dxa"/>
            <w:vAlign w:val="bottom"/>
            <w:shd w:val="clear" w:color="auto" w:fill="EEEEEE"/>
          </w:tcPr>
          <w:p>
            <w:pPr>
              <w:spacing w:after="0"/>
              <w:rPr>
                <w:sz w:val="18"/>
                <w:szCs w:val="18"/>
                <w:color w:val="auto"/>
              </w:rPr>
            </w:pPr>
          </w:p>
        </w:tc>
        <w:tc>
          <w:tcPr>
            <w:tcW w:w="120" w:type="dxa"/>
            <w:vAlign w:val="bottom"/>
            <w:shd w:val="clear" w:color="auto" w:fill="EEEEEE"/>
          </w:tcPr>
          <w:p>
            <w:pPr>
              <w:spacing w:after="0"/>
              <w:rPr>
                <w:sz w:val="18"/>
                <w:szCs w:val="18"/>
                <w:color w:val="auto"/>
              </w:rPr>
            </w:pPr>
          </w:p>
        </w:tc>
        <w:tc>
          <w:tcPr>
            <w:tcW w:w="1360" w:type="dxa"/>
            <w:vAlign w:val="bottom"/>
            <w:shd w:val="clear" w:color="auto" w:fill="EEEEEE"/>
          </w:tcPr>
          <w:p>
            <w:pPr>
              <w:spacing w:after="0"/>
              <w:rPr>
                <w:sz w:val="18"/>
                <w:szCs w:val="18"/>
                <w:color w:val="auto"/>
              </w:rPr>
            </w:pPr>
          </w:p>
        </w:tc>
        <w:tc>
          <w:tcPr>
            <w:tcW w:w="140" w:type="dxa"/>
            <w:vAlign w:val="bottom"/>
            <w:shd w:val="clear" w:color="auto" w:fill="EEEEEE"/>
          </w:tcPr>
          <w:p>
            <w:pPr>
              <w:spacing w:after="0"/>
              <w:rPr>
                <w:sz w:val="18"/>
                <w:szCs w:val="18"/>
                <w:color w:val="auto"/>
              </w:rPr>
            </w:pPr>
          </w:p>
        </w:tc>
        <w:tc>
          <w:tcPr>
            <w:tcW w:w="80" w:type="dxa"/>
            <w:vAlign w:val="bottom"/>
            <w:shd w:val="clear" w:color="auto" w:fill="EEEEEE"/>
          </w:tcPr>
          <w:p>
            <w:pPr>
              <w:spacing w:after="0"/>
              <w:rPr>
                <w:sz w:val="18"/>
                <w:szCs w:val="18"/>
                <w:color w:val="auto"/>
              </w:rPr>
            </w:pPr>
          </w:p>
        </w:tc>
        <w:tc>
          <w:tcPr>
            <w:tcW w:w="140" w:type="dxa"/>
            <w:vAlign w:val="bottom"/>
            <w:shd w:val="clear" w:color="auto" w:fill="EEEEEE"/>
          </w:tcPr>
          <w:p>
            <w:pPr>
              <w:spacing w:after="0"/>
              <w:rPr>
                <w:sz w:val="18"/>
                <w:szCs w:val="18"/>
                <w:color w:val="auto"/>
              </w:rPr>
            </w:pPr>
          </w:p>
        </w:tc>
        <w:tc>
          <w:tcPr>
            <w:tcW w:w="1380" w:type="dxa"/>
            <w:vAlign w:val="bottom"/>
            <w:shd w:val="clear" w:color="auto" w:fill="EEEEEE"/>
          </w:tcPr>
          <w:p>
            <w:pPr>
              <w:spacing w:after="0"/>
              <w:rPr>
                <w:sz w:val="18"/>
                <w:szCs w:val="18"/>
                <w:color w:val="auto"/>
              </w:rPr>
            </w:pPr>
          </w:p>
        </w:tc>
        <w:tc>
          <w:tcPr>
            <w:tcW w:w="120" w:type="dxa"/>
            <w:vAlign w:val="bottom"/>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120" w:type="dxa"/>
            <w:vAlign w:val="bottom"/>
          </w:tcPr>
          <w:p>
            <w:pPr>
              <w:ind w:left="160"/>
              <w:spacing w:after="0"/>
              <w:rPr>
                <w:sz w:val="20"/>
                <w:szCs w:val="20"/>
                <w:color w:val="auto"/>
              </w:rPr>
            </w:pPr>
            <w:r>
              <w:rPr>
                <w:rFonts w:ascii="Arial" w:cs="Arial" w:eastAsia="Arial" w:hAnsi="Arial"/>
                <w:sz w:val="18"/>
                <w:szCs w:val="18"/>
                <w:color w:val="auto"/>
              </w:rPr>
              <w:t>Depreciation and amortization expense</w:t>
            </w: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27,802</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0</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380" w:type="dxa"/>
            <w:vAlign w:val="bottom"/>
          </w:tcPr>
          <w:p>
            <w:pPr>
              <w:jc w:val="right"/>
              <w:spacing w:after="0"/>
              <w:rPr>
                <w:sz w:val="20"/>
                <w:szCs w:val="20"/>
                <w:color w:val="auto"/>
              </w:rPr>
            </w:pPr>
            <w:r>
              <w:rPr>
                <w:rFonts w:ascii="Arial" w:cs="Arial" w:eastAsia="Arial" w:hAnsi="Arial"/>
                <w:sz w:val="18"/>
                <w:szCs w:val="18"/>
                <w:color w:val="auto"/>
              </w:rPr>
              <w:t>30,662</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120" w:type="dxa"/>
            <w:vAlign w:val="bottom"/>
            <w:shd w:val="clear" w:color="auto" w:fill="EEEEEE"/>
          </w:tcPr>
          <w:p>
            <w:pPr>
              <w:spacing w:after="0"/>
              <w:rPr>
                <w:sz w:val="20"/>
                <w:szCs w:val="20"/>
                <w:color w:val="auto"/>
              </w:rPr>
            </w:pPr>
            <w:r>
              <w:rPr>
                <w:rFonts w:ascii="Arial" w:cs="Arial" w:eastAsia="Arial" w:hAnsi="Arial"/>
                <w:sz w:val="18"/>
                <w:szCs w:val="18"/>
                <w:b w:val="1"/>
                <w:bCs w:val="1"/>
                <w:color w:val="auto"/>
              </w:rPr>
              <w:t>Changes in Assets and Liabilities</w:t>
            </w:r>
          </w:p>
        </w:tc>
        <w:tc>
          <w:tcPr>
            <w:tcW w:w="220" w:type="dxa"/>
            <w:vAlign w:val="bottom"/>
            <w:shd w:val="clear" w:color="auto" w:fill="EEEEEE"/>
          </w:tcPr>
          <w:p>
            <w:pPr>
              <w:spacing w:after="0"/>
              <w:rPr>
                <w:sz w:val="18"/>
                <w:szCs w:val="18"/>
                <w:color w:val="auto"/>
              </w:rPr>
            </w:pPr>
          </w:p>
        </w:tc>
        <w:tc>
          <w:tcPr>
            <w:tcW w:w="140" w:type="dxa"/>
            <w:vAlign w:val="bottom"/>
            <w:shd w:val="clear" w:color="auto" w:fill="EEEEEE"/>
          </w:tcPr>
          <w:p>
            <w:pPr>
              <w:spacing w:after="0"/>
              <w:rPr>
                <w:sz w:val="18"/>
                <w:szCs w:val="18"/>
                <w:color w:val="auto"/>
              </w:rPr>
            </w:pPr>
          </w:p>
        </w:tc>
        <w:tc>
          <w:tcPr>
            <w:tcW w:w="1360" w:type="dxa"/>
            <w:vAlign w:val="bottom"/>
            <w:shd w:val="clear" w:color="auto" w:fill="EEEEEE"/>
          </w:tcPr>
          <w:p>
            <w:pPr>
              <w:spacing w:after="0"/>
              <w:rPr>
                <w:sz w:val="18"/>
                <w:szCs w:val="18"/>
                <w:color w:val="auto"/>
              </w:rPr>
            </w:pPr>
          </w:p>
        </w:tc>
        <w:tc>
          <w:tcPr>
            <w:tcW w:w="140" w:type="dxa"/>
            <w:vAlign w:val="bottom"/>
            <w:shd w:val="clear" w:color="auto" w:fill="EEEEEE"/>
          </w:tcPr>
          <w:p>
            <w:pPr>
              <w:spacing w:after="0"/>
              <w:rPr>
                <w:sz w:val="18"/>
                <w:szCs w:val="18"/>
                <w:color w:val="auto"/>
              </w:rPr>
            </w:pPr>
          </w:p>
        </w:tc>
        <w:tc>
          <w:tcPr>
            <w:tcW w:w="80" w:type="dxa"/>
            <w:vAlign w:val="bottom"/>
            <w:shd w:val="clear" w:color="auto" w:fill="EEEEEE"/>
          </w:tcPr>
          <w:p>
            <w:pPr>
              <w:spacing w:after="0"/>
              <w:rPr>
                <w:sz w:val="18"/>
                <w:szCs w:val="18"/>
                <w:color w:val="auto"/>
              </w:rPr>
            </w:pPr>
          </w:p>
        </w:tc>
        <w:tc>
          <w:tcPr>
            <w:tcW w:w="120" w:type="dxa"/>
            <w:vAlign w:val="bottom"/>
            <w:shd w:val="clear" w:color="auto" w:fill="EEEEEE"/>
          </w:tcPr>
          <w:p>
            <w:pPr>
              <w:spacing w:after="0"/>
              <w:rPr>
                <w:sz w:val="18"/>
                <w:szCs w:val="18"/>
                <w:color w:val="auto"/>
              </w:rPr>
            </w:pPr>
          </w:p>
        </w:tc>
        <w:tc>
          <w:tcPr>
            <w:tcW w:w="1360" w:type="dxa"/>
            <w:vAlign w:val="bottom"/>
            <w:shd w:val="clear" w:color="auto" w:fill="EEEEEE"/>
          </w:tcPr>
          <w:p>
            <w:pPr>
              <w:spacing w:after="0"/>
              <w:rPr>
                <w:sz w:val="18"/>
                <w:szCs w:val="18"/>
                <w:color w:val="auto"/>
              </w:rPr>
            </w:pPr>
          </w:p>
        </w:tc>
        <w:tc>
          <w:tcPr>
            <w:tcW w:w="140" w:type="dxa"/>
            <w:vAlign w:val="bottom"/>
            <w:shd w:val="clear" w:color="auto" w:fill="EEEEEE"/>
          </w:tcPr>
          <w:p>
            <w:pPr>
              <w:spacing w:after="0"/>
              <w:rPr>
                <w:sz w:val="18"/>
                <w:szCs w:val="18"/>
                <w:color w:val="auto"/>
              </w:rPr>
            </w:pPr>
          </w:p>
        </w:tc>
        <w:tc>
          <w:tcPr>
            <w:tcW w:w="80" w:type="dxa"/>
            <w:vAlign w:val="bottom"/>
            <w:shd w:val="clear" w:color="auto" w:fill="EEEEEE"/>
          </w:tcPr>
          <w:p>
            <w:pPr>
              <w:spacing w:after="0"/>
              <w:rPr>
                <w:sz w:val="18"/>
                <w:szCs w:val="18"/>
                <w:color w:val="auto"/>
              </w:rPr>
            </w:pPr>
          </w:p>
        </w:tc>
        <w:tc>
          <w:tcPr>
            <w:tcW w:w="140" w:type="dxa"/>
            <w:vAlign w:val="bottom"/>
            <w:shd w:val="clear" w:color="auto" w:fill="EEEEEE"/>
          </w:tcPr>
          <w:p>
            <w:pPr>
              <w:spacing w:after="0"/>
              <w:rPr>
                <w:sz w:val="18"/>
                <w:szCs w:val="18"/>
                <w:color w:val="auto"/>
              </w:rPr>
            </w:pPr>
          </w:p>
        </w:tc>
        <w:tc>
          <w:tcPr>
            <w:tcW w:w="1380" w:type="dxa"/>
            <w:vAlign w:val="bottom"/>
            <w:shd w:val="clear" w:color="auto" w:fill="EEEEEE"/>
          </w:tcPr>
          <w:p>
            <w:pPr>
              <w:spacing w:after="0"/>
              <w:rPr>
                <w:sz w:val="18"/>
                <w:szCs w:val="18"/>
                <w:color w:val="auto"/>
              </w:rPr>
            </w:pPr>
          </w:p>
        </w:tc>
        <w:tc>
          <w:tcPr>
            <w:tcW w:w="120" w:type="dxa"/>
            <w:vAlign w:val="bottom"/>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120" w:type="dxa"/>
            <w:vAlign w:val="bottom"/>
          </w:tcPr>
          <w:p>
            <w:pPr>
              <w:ind w:left="160"/>
              <w:spacing w:after="0"/>
              <w:rPr>
                <w:sz w:val="20"/>
                <w:szCs w:val="20"/>
                <w:color w:val="auto"/>
              </w:rPr>
            </w:pPr>
            <w:r>
              <w:rPr>
                <w:rFonts w:ascii="Arial" w:cs="Arial" w:eastAsia="Arial" w:hAnsi="Arial"/>
                <w:sz w:val="18"/>
                <w:szCs w:val="18"/>
                <w:color w:val="auto"/>
              </w:rPr>
              <w:t>Decrease in prepaid rent</w:t>
            </w: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2,000</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0</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380" w:type="dxa"/>
            <w:vAlign w:val="bottom"/>
          </w:tcPr>
          <w:p>
            <w:pPr>
              <w:jc w:val="right"/>
              <w:spacing w:after="0"/>
              <w:rPr>
                <w:sz w:val="20"/>
                <w:szCs w:val="20"/>
                <w:color w:val="auto"/>
              </w:rPr>
            </w:pPr>
            <w:r>
              <w:rPr>
                <w:rFonts w:ascii="Arial" w:cs="Arial" w:eastAsia="Arial" w:hAnsi="Arial"/>
                <w:sz w:val="18"/>
                <w:szCs w:val="18"/>
                <w:color w:val="auto"/>
              </w:rPr>
              <w:t>0</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120" w:type="dxa"/>
            <w:vAlign w:val="bottom"/>
            <w:shd w:val="clear" w:color="auto" w:fill="EEEEEE"/>
          </w:tcPr>
          <w:p>
            <w:pPr>
              <w:ind w:left="160"/>
              <w:spacing w:after="0"/>
              <w:rPr>
                <w:sz w:val="20"/>
                <w:szCs w:val="20"/>
                <w:color w:val="auto"/>
              </w:rPr>
            </w:pPr>
            <w:r>
              <w:rPr>
                <w:rFonts w:ascii="Arial" w:cs="Arial" w:eastAsia="Arial" w:hAnsi="Arial"/>
                <w:sz w:val="18"/>
                <w:szCs w:val="18"/>
                <w:color w:val="auto"/>
              </w:rPr>
              <w:t>Increase in accounts payable</w:t>
            </w:r>
          </w:p>
        </w:tc>
        <w:tc>
          <w:tcPr>
            <w:tcW w:w="220" w:type="dxa"/>
            <w:vAlign w:val="bottom"/>
            <w:shd w:val="clear" w:color="auto" w:fill="EEEEEE"/>
          </w:tcPr>
          <w:p>
            <w:pPr>
              <w:spacing w:after="0"/>
              <w:rPr>
                <w:sz w:val="18"/>
                <w:szCs w:val="18"/>
                <w:color w:val="auto"/>
              </w:rPr>
            </w:pPr>
          </w:p>
        </w:tc>
        <w:tc>
          <w:tcPr>
            <w:tcW w:w="140" w:type="dxa"/>
            <w:vAlign w:val="bottom"/>
            <w:shd w:val="clear" w:color="auto" w:fill="EEEEEE"/>
          </w:tcPr>
          <w:p>
            <w:pPr>
              <w:spacing w:after="0"/>
              <w:rPr>
                <w:sz w:val="18"/>
                <w:szCs w:val="18"/>
                <w:color w:val="auto"/>
              </w:rPr>
            </w:pPr>
          </w:p>
        </w:tc>
        <w:tc>
          <w:tcPr>
            <w:tcW w:w="1500" w:type="dxa"/>
            <w:vAlign w:val="bottom"/>
            <w:gridSpan w:val="2"/>
            <w:shd w:val="clear" w:color="auto" w:fill="EEEEEE"/>
          </w:tcPr>
          <w:p>
            <w:pPr>
              <w:jc w:val="right"/>
              <w:ind w:right="80"/>
              <w:spacing w:after="0"/>
              <w:rPr>
                <w:sz w:val="20"/>
                <w:szCs w:val="20"/>
                <w:color w:val="auto"/>
              </w:rPr>
            </w:pPr>
            <w:r>
              <w:rPr>
                <w:rFonts w:ascii="Arial" w:cs="Arial" w:eastAsia="Arial" w:hAnsi="Arial"/>
                <w:sz w:val="18"/>
                <w:szCs w:val="18"/>
                <w:color w:val="auto"/>
              </w:rPr>
              <w:t>(30,912)</w:t>
            </w:r>
          </w:p>
        </w:tc>
        <w:tc>
          <w:tcPr>
            <w:tcW w:w="80" w:type="dxa"/>
            <w:vAlign w:val="bottom"/>
            <w:shd w:val="clear" w:color="auto" w:fill="EEEEEE"/>
          </w:tcPr>
          <w:p>
            <w:pPr>
              <w:spacing w:after="0"/>
              <w:rPr>
                <w:sz w:val="18"/>
                <w:szCs w:val="18"/>
                <w:color w:val="auto"/>
              </w:rPr>
            </w:pPr>
          </w:p>
        </w:tc>
        <w:tc>
          <w:tcPr>
            <w:tcW w:w="120" w:type="dxa"/>
            <w:vAlign w:val="bottom"/>
            <w:shd w:val="clear" w:color="auto" w:fill="EEEEEE"/>
          </w:tcPr>
          <w:p>
            <w:pPr>
              <w:spacing w:after="0"/>
              <w:rPr>
                <w:sz w:val="18"/>
                <w:szCs w:val="18"/>
                <w:color w:val="auto"/>
              </w:rPr>
            </w:pPr>
          </w:p>
        </w:tc>
        <w:tc>
          <w:tcPr>
            <w:tcW w:w="1360" w:type="dxa"/>
            <w:vAlign w:val="bottom"/>
            <w:shd w:val="clear" w:color="auto" w:fill="EEEEEE"/>
          </w:tcPr>
          <w:p>
            <w:pPr>
              <w:jc w:val="right"/>
              <w:spacing w:after="0"/>
              <w:rPr>
                <w:sz w:val="20"/>
                <w:szCs w:val="20"/>
                <w:color w:val="auto"/>
              </w:rPr>
            </w:pPr>
            <w:r>
              <w:rPr>
                <w:rFonts w:ascii="Arial" w:cs="Arial" w:eastAsia="Arial" w:hAnsi="Arial"/>
                <w:sz w:val="18"/>
                <w:szCs w:val="18"/>
                <w:color w:val="auto"/>
              </w:rPr>
              <w:t>0</w:t>
            </w:r>
          </w:p>
        </w:tc>
        <w:tc>
          <w:tcPr>
            <w:tcW w:w="140" w:type="dxa"/>
            <w:vAlign w:val="bottom"/>
            <w:shd w:val="clear" w:color="auto" w:fill="EEEEEE"/>
          </w:tcPr>
          <w:p>
            <w:pPr>
              <w:spacing w:after="0"/>
              <w:rPr>
                <w:sz w:val="18"/>
                <w:szCs w:val="18"/>
                <w:color w:val="auto"/>
              </w:rPr>
            </w:pPr>
          </w:p>
        </w:tc>
        <w:tc>
          <w:tcPr>
            <w:tcW w:w="80" w:type="dxa"/>
            <w:vAlign w:val="bottom"/>
            <w:shd w:val="clear" w:color="auto" w:fill="EEEEEE"/>
          </w:tcPr>
          <w:p>
            <w:pPr>
              <w:spacing w:after="0"/>
              <w:rPr>
                <w:sz w:val="18"/>
                <w:szCs w:val="18"/>
                <w:color w:val="auto"/>
              </w:rPr>
            </w:pPr>
          </w:p>
        </w:tc>
        <w:tc>
          <w:tcPr>
            <w:tcW w:w="140" w:type="dxa"/>
            <w:vAlign w:val="bottom"/>
            <w:shd w:val="clear" w:color="auto" w:fill="EEEEEE"/>
          </w:tcPr>
          <w:p>
            <w:pPr>
              <w:spacing w:after="0"/>
              <w:rPr>
                <w:sz w:val="18"/>
                <w:szCs w:val="18"/>
                <w:color w:val="auto"/>
              </w:rPr>
            </w:pPr>
          </w:p>
        </w:tc>
        <w:tc>
          <w:tcPr>
            <w:tcW w:w="1380" w:type="dxa"/>
            <w:vAlign w:val="bottom"/>
            <w:shd w:val="clear" w:color="auto" w:fill="EEEEEE"/>
          </w:tcPr>
          <w:p>
            <w:pPr>
              <w:jc w:val="right"/>
              <w:spacing w:after="0"/>
              <w:rPr>
                <w:sz w:val="20"/>
                <w:szCs w:val="20"/>
                <w:color w:val="auto"/>
              </w:rPr>
            </w:pPr>
            <w:r>
              <w:rPr>
                <w:rFonts w:ascii="Arial" w:cs="Arial" w:eastAsia="Arial" w:hAnsi="Arial"/>
                <w:sz w:val="18"/>
                <w:szCs w:val="18"/>
                <w:color w:val="auto"/>
              </w:rPr>
              <w:t>11,303</w:t>
            </w:r>
          </w:p>
        </w:tc>
        <w:tc>
          <w:tcPr>
            <w:tcW w:w="120" w:type="dxa"/>
            <w:vAlign w:val="bottom"/>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120" w:type="dxa"/>
            <w:vAlign w:val="bottom"/>
          </w:tcPr>
          <w:p>
            <w:pPr>
              <w:ind w:left="160"/>
              <w:spacing w:after="0"/>
              <w:rPr>
                <w:sz w:val="20"/>
                <w:szCs w:val="20"/>
                <w:color w:val="auto"/>
              </w:rPr>
            </w:pPr>
            <w:r>
              <w:rPr>
                <w:rFonts w:ascii="Arial" w:cs="Arial" w:eastAsia="Arial" w:hAnsi="Arial"/>
                <w:sz w:val="18"/>
                <w:szCs w:val="18"/>
                <w:color w:val="auto"/>
              </w:rPr>
              <w:t>Increase (Decrease) in accrued expenses</w:t>
            </w: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500" w:type="dxa"/>
            <w:vAlign w:val="bottom"/>
            <w:gridSpan w:val="2"/>
          </w:tcPr>
          <w:p>
            <w:pPr>
              <w:jc w:val="right"/>
              <w:ind w:right="80"/>
              <w:spacing w:after="0"/>
              <w:rPr>
                <w:sz w:val="20"/>
                <w:szCs w:val="20"/>
                <w:color w:val="auto"/>
              </w:rPr>
            </w:pPr>
            <w:r>
              <w:rPr>
                <w:rFonts w:ascii="Arial" w:cs="Arial" w:eastAsia="Arial" w:hAnsi="Arial"/>
                <w:sz w:val="18"/>
                <w:szCs w:val="18"/>
                <w:color w:val="auto"/>
              </w:rPr>
              <w:t>(23,575)</w:t>
            </w: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0</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380" w:type="dxa"/>
            <w:vAlign w:val="bottom"/>
          </w:tcPr>
          <w:p>
            <w:pPr>
              <w:jc w:val="right"/>
              <w:spacing w:after="0"/>
              <w:rPr>
                <w:sz w:val="20"/>
                <w:szCs w:val="20"/>
                <w:color w:val="auto"/>
              </w:rPr>
            </w:pPr>
            <w:r>
              <w:rPr>
                <w:rFonts w:ascii="Arial" w:cs="Arial" w:eastAsia="Arial" w:hAnsi="Arial"/>
                <w:sz w:val="18"/>
                <w:szCs w:val="18"/>
                <w:color w:val="auto"/>
              </w:rPr>
              <w:t>0</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6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136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c>
          <w:tcPr>
            <w:tcW w:w="8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136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c>
          <w:tcPr>
            <w:tcW w:w="8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138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3"/>
        </w:trPr>
        <w:tc>
          <w:tcPr>
            <w:tcW w:w="20" w:type="dxa"/>
            <w:vAlign w:val="bottom"/>
            <w:vMerge w:val="continue"/>
          </w:tcPr>
          <w:p>
            <w:pPr>
              <w:spacing w:after="0"/>
              <w:rPr>
                <w:sz w:val="19"/>
                <w:szCs w:val="19"/>
                <w:color w:val="auto"/>
              </w:rPr>
            </w:pPr>
          </w:p>
        </w:tc>
        <w:tc>
          <w:tcPr>
            <w:tcW w:w="6120" w:type="dxa"/>
            <w:vAlign w:val="bottom"/>
            <w:shd w:val="clear" w:color="auto" w:fill="EEEEEE"/>
          </w:tcPr>
          <w:p>
            <w:pPr>
              <w:spacing w:after="0"/>
              <w:rPr>
                <w:sz w:val="20"/>
                <w:szCs w:val="20"/>
                <w:color w:val="auto"/>
              </w:rPr>
            </w:pPr>
            <w:r>
              <w:rPr>
                <w:rFonts w:ascii="Arial" w:cs="Arial" w:eastAsia="Arial" w:hAnsi="Arial"/>
                <w:sz w:val="18"/>
                <w:szCs w:val="18"/>
                <w:b w:val="1"/>
                <w:bCs w:val="1"/>
                <w:color w:val="auto"/>
              </w:rPr>
              <w:t>Net Cash Used in Operating Activities</w:t>
            </w:r>
          </w:p>
        </w:tc>
        <w:tc>
          <w:tcPr>
            <w:tcW w:w="220" w:type="dxa"/>
            <w:vAlign w:val="bottom"/>
            <w:shd w:val="clear" w:color="auto" w:fill="EEEEEE"/>
          </w:tcPr>
          <w:p>
            <w:pPr>
              <w:spacing w:after="0"/>
              <w:rPr>
                <w:sz w:val="19"/>
                <w:szCs w:val="19"/>
                <w:color w:val="auto"/>
              </w:rPr>
            </w:pPr>
          </w:p>
        </w:tc>
        <w:tc>
          <w:tcPr>
            <w:tcW w:w="140" w:type="dxa"/>
            <w:vAlign w:val="bottom"/>
            <w:shd w:val="clear" w:color="auto" w:fill="EEEEEE"/>
          </w:tcPr>
          <w:p>
            <w:pPr>
              <w:spacing w:after="0"/>
              <w:rPr>
                <w:sz w:val="19"/>
                <w:szCs w:val="19"/>
                <w:color w:val="auto"/>
              </w:rPr>
            </w:pPr>
          </w:p>
        </w:tc>
        <w:tc>
          <w:tcPr>
            <w:tcW w:w="1500" w:type="dxa"/>
            <w:vAlign w:val="bottom"/>
            <w:gridSpan w:val="2"/>
            <w:shd w:val="clear" w:color="auto" w:fill="EEEEEE"/>
          </w:tcPr>
          <w:p>
            <w:pPr>
              <w:jc w:val="right"/>
              <w:ind w:right="80"/>
              <w:spacing w:after="0"/>
              <w:rPr>
                <w:sz w:val="20"/>
                <w:szCs w:val="20"/>
                <w:color w:val="auto"/>
              </w:rPr>
            </w:pPr>
            <w:r>
              <w:rPr>
                <w:rFonts w:ascii="Arial" w:cs="Arial" w:eastAsia="Arial" w:hAnsi="Arial"/>
                <w:sz w:val="18"/>
                <w:szCs w:val="18"/>
                <w:color w:val="auto"/>
              </w:rPr>
              <w:t>(594,639)</w:t>
            </w:r>
          </w:p>
        </w:tc>
        <w:tc>
          <w:tcPr>
            <w:tcW w:w="80" w:type="dxa"/>
            <w:vAlign w:val="bottom"/>
            <w:shd w:val="clear" w:color="auto" w:fill="EEEEEE"/>
          </w:tcPr>
          <w:p>
            <w:pPr>
              <w:spacing w:after="0"/>
              <w:rPr>
                <w:sz w:val="19"/>
                <w:szCs w:val="19"/>
                <w:color w:val="auto"/>
              </w:rPr>
            </w:pPr>
          </w:p>
        </w:tc>
        <w:tc>
          <w:tcPr>
            <w:tcW w:w="120" w:type="dxa"/>
            <w:vAlign w:val="bottom"/>
            <w:shd w:val="clear" w:color="auto" w:fill="EEEEEE"/>
          </w:tcPr>
          <w:p>
            <w:pPr>
              <w:spacing w:after="0"/>
              <w:rPr>
                <w:sz w:val="19"/>
                <w:szCs w:val="19"/>
                <w:color w:val="auto"/>
              </w:rPr>
            </w:pPr>
          </w:p>
        </w:tc>
        <w:tc>
          <w:tcPr>
            <w:tcW w:w="1500" w:type="dxa"/>
            <w:vAlign w:val="bottom"/>
            <w:gridSpan w:val="2"/>
            <w:shd w:val="clear" w:color="auto" w:fill="EEEEEE"/>
          </w:tcPr>
          <w:p>
            <w:pPr>
              <w:jc w:val="right"/>
              <w:ind w:right="80"/>
              <w:spacing w:after="0"/>
              <w:rPr>
                <w:sz w:val="20"/>
                <w:szCs w:val="20"/>
                <w:color w:val="auto"/>
              </w:rPr>
            </w:pPr>
            <w:r>
              <w:rPr>
                <w:rFonts w:ascii="Arial" w:cs="Arial" w:eastAsia="Arial" w:hAnsi="Arial"/>
                <w:sz w:val="18"/>
                <w:szCs w:val="18"/>
                <w:color w:val="auto"/>
              </w:rPr>
              <w:t>(176,931)</w:t>
            </w:r>
          </w:p>
        </w:tc>
        <w:tc>
          <w:tcPr>
            <w:tcW w:w="80" w:type="dxa"/>
            <w:vAlign w:val="bottom"/>
            <w:shd w:val="clear" w:color="auto" w:fill="EEEEEE"/>
          </w:tcPr>
          <w:p>
            <w:pPr>
              <w:spacing w:after="0"/>
              <w:rPr>
                <w:sz w:val="19"/>
                <w:szCs w:val="19"/>
                <w:color w:val="auto"/>
              </w:rPr>
            </w:pPr>
          </w:p>
        </w:tc>
        <w:tc>
          <w:tcPr>
            <w:tcW w:w="140" w:type="dxa"/>
            <w:vAlign w:val="bottom"/>
            <w:shd w:val="clear" w:color="auto" w:fill="EEEEEE"/>
          </w:tcPr>
          <w:p>
            <w:pPr>
              <w:spacing w:after="0"/>
              <w:rPr>
                <w:sz w:val="19"/>
                <w:szCs w:val="19"/>
                <w:color w:val="auto"/>
              </w:rPr>
            </w:pPr>
          </w:p>
        </w:tc>
        <w:tc>
          <w:tcPr>
            <w:tcW w:w="1500" w:type="dxa"/>
            <w:vAlign w:val="bottom"/>
            <w:gridSpan w:val="2"/>
            <w:shd w:val="clear" w:color="auto" w:fill="EEEEEE"/>
          </w:tcPr>
          <w:p>
            <w:pPr>
              <w:jc w:val="right"/>
              <w:ind w:right="60"/>
              <w:spacing w:after="0"/>
              <w:rPr>
                <w:sz w:val="20"/>
                <w:szCs w:val="20"/>
                <w:color w:val="auto"/>
              </w:rPr>
            </w:pPr>
            <w:r>
              <w:rPr>
                <w:rFonts w:ascii="Arial" w:cs="Arial" w:eastAsia="Arial" w:hAnsi="Arial"/>
                <w:sz w:val="18"/>
                <w:szCs w:val="18"/>
                <w:color w:val="auto"/>
              </w:rPr>
              <w:t>(922,916)</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6120" w:type="dxa"/>
            <w:vAlign w:val="bottom"/>
            <w:tcBorders>
              <w:top w:val="single" w:sz="8" w:color="EEEEEE"/>
            </w:tcBorders>
          </w:tcPr>
          <w:p>
            <w:pPr>
              <w:spacing w:after="0"/>
              <w:rPr>
                <w:sz w:val="18"/>
                <w:szCs w:val="18"/>
                <w:color w:val="auto"/>
              </w:rPr>
            </w:pPr>
          </w:p>
        </w:tc>
        <w:tc>
          <w:tcPr>
            <w:tcW w:w="220" w:type="dxa"/>
            <w:vAlign w:val="bottom"/>
            <w:tcBorders>
              <w:top w:val="single" w:sz="8" w:color="EEEEEE"/>
            </w:tcBorders>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1360" w:type="dxa"/>
            <w:vAlign w:val="bottom"/>
            <w:tcBorders>
              <w:top w:val="single" w:sz="8" w:color="auto"/>
            </w:tcBorders>
          </w:tcPr>
          <w:p>
            <w:pPr>
              <w:spacing w:after="0"/>
              <w:rPr>
                <w:sz w:val="18"/>
                <w:szCs w:val="18"/>
                <w:color w:val="auto"/>
              </w:rPr>
            </w:pPr>
          </w:p>
        </w:tc>
        <w:tc>
          <w:tcPr>
            <w:tcW w:w="140" w:type="dxa"/>
            <w:vAlign w:val="bottom"/>
            <w:tcBorders>
              <w:top w:val="single" w:sz="8" w:color="EEEEEE"/>
            </w:tcBorders>
          </w:tcPr>
          <w:p>
            <w:pPr>
              <w:spacing w:after="0"/>
              <w:rPr>
                <w:sz w:val="18"/>
                <w:szCs w:val="18"/>
                <w:color w:val="auto"/>
              </w:rPr>
            </w:pPr>
          </w:p>
        </w:tc>
        <w:tc>
          <w:tcPr>
            <w:tcW w:w="80" w:type="dxa"/>
            <w:vAlign w:val="bottom"/>
            <w:tcBorders>
              <w:top w:val="single" w:sz="8" w:color="EEEEEE"/>
            </w:tcBorders>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1360" w:type="dxa"/>
            <w:vAlign w:val="bottom"/>
            <w:tcBorders>
              <w:top w:val="single" w:sz="8" w:color="auto"/>
            </w:tcBorders>
          </w:tcPr>
          <w:p>
            <w:pPr>
              <w:spacing w:after="0"/>
              <w:rPr>
                <w:sz w:val="18"/>
                <w:szCs w:val="18"/>
                <w:color w:val="auto"/>
              </w:rPr>
            </w:pPr>
          </w:p>
        </w:tc>
        <w:tc>
          <w:tcPr>
            <w:tcW w:w="140" w:type="dxa"/>
            <w:vAlign w:val="bottom"/>
            <w:tcBorders>
              <w:top w:val="single" w:sz="8" w:color="EEEEEE"/>
            </w:tcBorders>
          </w:tcPr>
          <w:p>
            <w:pPr>
              <w:spacing w:after="0"/>
              <w:rPr>
                <w:sz w:val="18"/>
                <w:szCs w:val="18"/>
                <w:color w:val="auto"/>
              </w:rPr>
            </w:pPr>
          </w:p>
        </w:tc>
        <w:tc>
          <w:tcPr>
            <w:tcW w:w="80" w:type="dxa"/>
            <w:vAlign w:val="bottom"/>
            <w:tcBorders>
              <w:top w:val="single" w:sz="8" w:color="EEEEEE"/>
            </w:tcBorders>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1380" w:type="dxa"/>
            <w:vAlign w:val="bottom"/>
            <w:tcBorders>
              <w:top w:val="single" w:sz="8" w:color="auto"/>
            </w:tcBorders>
          </w:tcPr>
          <w:p>
            <w:pPr>
              <w:spacing w:after="0"/>
              <w:rPr>
                <w:sz w:val="18"/>
                <w:szCs w:val="18"/>
                <w:color w:val="auto"/>
              </w:rPr>
            </w:pPr>
          </w:p>
        </w:tc>
        <w:tc>
          <w:tcPr>
            <w:tcW w:w="120" w:type="dxa"/>
            <w:vAlign w:val="bottom"/>
            <w:tcBorders>
              <w:top w:val="single" w:sz="8" w:color="EEEEEE"/>
            </w:tcBorders>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120" w:type="dxa"/>
            <w:vAlign w:val="bottom"/>
            <w:shd w:val="clear" w:color="auto" w:fill="EEEEEE"/>
          </w:tcPr>
          <w:p>
            <w:pPr>
              <w:spacing w:after="0"/>
              <w:rPr>
                <w:sz w:val="20"/>
                <w:szCs w:val="20"/>
                <w:color w:val="auto"/>
              </w:rPr>
            </w:pPr>
            <w:r>
              <w:rPr>
                <w:rFonts w:ascii="Arial" w:cs="Arial" w:eastAsia="Arial" w:hAnsi="Arial"/>
                <w:sz w:val="18"/>
                <w:szCs w:val="18"/>
                <w:b w:val="1"/>
                <w:bCs w:val="1"/>
                <w:color w:val="auto"/>
              </w:rPr>
              <w:t>Cash Flows from Investing Activities:</w:t>
            </w:r>
          </w:p>
        </w:tc>
        <w:tc>
          <w:tcPr>
            <w:tcW w:w="220" w:type="dxa"/>
            <w:vAlign w:val="bottom"/>
            <w:shd w:val="clear" w:color="auto" w:fill="EEEEEE"/>
          </w:tcPr>
          <w:p>
            <w:pPr>
              <w:spacing w:after="0"/>
              <w:rPr>
                <w:sz w:val="18"/>
                <w:szCs w:val="18"/>
                <w:color w:val="auto"/>
              </w:rPr>
            </w:pPr>
          </w:p>
        </w:tc>
        <w:tc>
          <w:tcPr>
            <w:tcW w:w="140" w:type="dxa"/>
            <w:vAlign w:val="bottom"/>
            <w:shd w:val="clear" w:color="auto" w:fill="EEEEEE"/>
          </w:tcPr>
          <w:p>
            <w:pPr>
              <w:spacing w:after="0"/>
              <w:rPr>
                <w:sz w:val="18"/>
                <w:szCs w:val="18"/>
                <w:color w:val="auto"/>
              </w:rPr>
            </w:pPr>
          </w:p>
        </w:tc>
        <w:tc>
          <w:tcPr>
            <w:tcW w:w="1360" w:type="dxa"/>
            <w:vAlign w:val="bottom"/>
            <w:shd w:val="clear" w:color="auto" w:fill="EEEEEE"/>
          </w:tcPr>
          <w:p>
            <w:pPr>
              <w:spacing w:after="0"/>
              <w:rPr>
                <w:sz w:val="18"/>
                <w:szCs w:val="18"/>
                <w:color w:val="auto"/>
              </w:rPr>
            </w:pPr>
          </w:p>
        </w:tc>
        <w:tc>
          <w:tcPr>
            <w:tcW w:w="140" w:type="dxa"/>
            <w:vAlign w:val="bottom"/>
            <w:shd w:val="clear" w:color="auto" w:fill="EEEEEE"/>
          </w:tcPr>
          <w:p>
            <w:pPr>
              <w:spacing w:after="0"/>
              <w:rPr>
                <w:sz w:val="18"/>
                <w:szCs w:val="18"/>
                <w:color w:val="auto"/>
              </w:rPr>
            </w:pPr>
          </w:p>
        </w:tc>
        <w:tc>
          <w:tcPr>
            <w:tcW w:w="80" w:type="dxa"/>
            <w:vAlign w:val="bottom"/>
            <w:shd w:val="clear" w:color="auto" w:fill="EEEEEE"/>
          </w:tcPr>
          <w:p>
            <w:pPr>
              <w:spacing w:after="0"/>
              <w:rPr>
                <w:sz w:val="18"/>
                <w:szCs w:val="18"/>
                <w:color w:val="auto"/>
              </w:rPr>
            </w:pPr>
          </w:p>
        </w:tc>
        <w:tc>
          <w:tcPr>
            <w:tcW w:w="120" w:type="dxa"/>
            <w:vAlign w:val="bottom"/>
            <w:shd w:val="clear" w:color="auto" w:fill="EEEEEE"/>
          </w:tcPr>
          <w:p>
            <w:pPr>
              <w:spacing w:after="0"/>
              <w:rPr>
                <w:sz w:val="18"/>
                <w:szCs w:val="18"/>
                <w:color w:val="auto"/>
              </w:rPr>
            </w:pPr>
          </w:p>
        </w:tc>
        <w:tc>
          <w:tcPr>
            <w:tcW w:w="1360" w:type="dxa"/>
            <w:vAlign w:val="bottom"/>
            <w:shd w:val="clear" w:color="auto" w:fill="EEEEEE"/>
          </w:tcPr>
          <w:p>
            <w:pPr>
              <w:spacing w:after="0"/>
              <w:rPr>
                <w:sz w:val="18"/>
                <w:szCs w:val="18"/>
                <w:color w:val="auto"/>
              </w:rPr>
            </w:pPr>
          </w:p>
        </w:tc>
        <w:tc>
          <w:tcPr>
            <w:tcW w:w="140" w:type="dxa"/>
            <w:vAlign w:val="bottom"/>
            <w:shd w:val="clear" w:color="auto" w:fill="EEEEEE"/>
          </w:tcPr>
          <w:p>
            <w:pPr>
              <w:spacing w:after="0"/>
              <w:rPr>
                <w:sz w:val="18"/>
                <w:szCs w:val="18"/>
                <w:color w:val="auto"/>
              </w:rPr>
            </w:pPr>
          </w:p>
        </w:tc>
        <w:tc>
          <w:tcPr>
            <w:tcW w:w="80" w:type="dxa"/>
            <w:vAlign w:val="bottom"/>
            <w:shd w:val="clear" w:color="auto" w:fill="EEEEEE"/>
          </w:tcPr>
          <w:p>
            <w:pPr>
              <w:spacing w:after="0"/>
              <w:rPr>
                <w:sz w:val="18"/>
                <w:szCs w:val="18"/>
                <w:color w:val="auto"/>
              </w:rPr>
            </w:pPr>
          </w:p>
        </w:tc>
        <w:tc>
          <w:tcPr>
            <w:tcW w:w="140" w:type="dxa"/>
            <w:vAlign w:val="bottom"/>
            <w:shd w:val="clear" w:color="auto" w:fill="EEEEEE"/>
          </w:tcPr>
          <w:p>
            <w:pPr>
              <w:spacing w:after="0"/>
              <w:rPr>
                <w:sz w:val="18"/>
                <w:szCs w:val="18"/>
                <w:color w:val="auto"/>
              </w:rPr>
            </w:pPr>
          </w:p>
        </w:tc>
        <w:tc>
          <w:tcPr>
            <w:tcW w:w="1380" w:type="dxa"/>
            <w:vAlign w:val="bottom"/>
            <w:shd w:val="clear" w:color="auto" w:fill="EEEEEE"/>
          </w:tcPr>
          <w:p>
            <w:pPr>
              <w:spacing w:after="0"/>
              <w:rPr>
                <w:sz w:val="18"/>
                <w:szCs w:val="18"/>
                <w:color w:val="auto"/>
              </w:rPr>
            </w:pPr>
          </w:p>
        </w:tc>
        <w:tc>
          <w:tcPr>
            <w:tcW w:w="120" w:type="dxa"/>
            <w:vAlign w:val="bottom"/>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120" w:type="dxa"/>
            <w:vAlign w:val="bottom"/>
          </w:tcPr>
          <w:p>
            <w:pPr>
              <w:ind w:left="160"/>
              <w:spacing w:after="0"/>
              <w:rPr>
                <w:sz w:val="20"/>
                <w:szCs w:val="20"/>
                <w:color w:val="auto"/>
              </w:rPr>
            </w:pPr>
            <w:r>
              <w:rPr>
                <w:rFonts w:ascii="Arial" w:cs="Arial" w:eastAsia="Arial" w:hAnsi="Arial"/>
                <w:sz w:val="18"/>
                <w:szCs w:val="18"/>
                <w:color w:val="auto"/>
              </w:rPr>
              <w:t>Acquisitions of property and equipment</w:t>
            </w: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500" w:type="dxa"/>
            <w:vAlign w:val="bottom"/>
            <w:gridSpan w:val="2"/>
          </w:tcPr>
          <w:p>
            <w:pPr>
              <w:jc w:val="right"/>
              <w:ind w:right="80"/>
              <w:spacing w:after="0"/>
              <w:rPr>
                <w:sz w:val="20"/>
                <w:szCs w:val="20"/>
                <w:color w:val="auto"/>
              </w:rPr>
            </w:pPr>
            <w:r>
              <w:rPr>
                <w:rFonts w:ascii="Arial" w:cs="Arial" w:eastAsia="Arial" w:hAnsi="Arial"/>
                <w:sz w:val="18"/>
                <w:szCs w:val="18"/>
                <w:color w:val="auto"/>
              </w:rPr>
              <w:t>(2,293)</w:t>
            </w: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0</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500" w:type="dxa"/>
            <w:vAlign w:val="bottom"/>
            <w:gridSpan w:val="2"/>
          </w:tcPr>
          <w:p>
            <w:pPr>
              <w:jc w:val="right"/>
              <w:ind w:right="60"/>
              <w:spacing w:after="0"/>
              <w:rPr>
                <w:sz w:val="20"/>
                <w:szCs w:val="20"/>
                <w:color w:val="auto"/>
              </w:rPr>
            </w:pPr>
            <w:r>
              <w:rPr>
                <w:rFonts w:ascii="Arial" w:cs="Arial" w:eastAsia="Arial" w:hAnsi="Arial"/>
                <w:sz w:val="18"/>
                <w:szCs w:val="18"/>
                <w:color w:val="auto"/>
              </w:rPr>
              <w:t>(8,560)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120" w:type="dxa"/>
            <w:vAlign w:val="bottom"/>
            <w:shd w:val="clear" w:color="auto" w:fill="EEEEEE"/>
          </w:tcPr>
          <w:p>
            <w:pPr>
              <w:ind w:left="160"/>
              <w:spacing w:after="0"/>
              <w:rPr>
                <w:sz w:val="20"/>
                <w:szCs w:val="20"/>
                <w:color w:val="auto"/>
              </w:rPr>
            </w:pPr>
            <w:r>
              <w:rPr>
                <w:rFonts w:ascii="Arial" w:cs="Arial" w:eastAsia="Arial" w:hAnsi="Arial"/>
                <w:sz w:val="18"/>
                <w:szCs w:val="18"/>
                <w:color w:val="auto"/>
              </w:rPr>
              <w:t>Website site development costs</w:t>
            </w:r>
          </w:p>
        </w:tc>
        <w:tc>
          <w:tcPr>
            <w:tcW w:w="220" w:type="dxa"/>
            <w:vAlign w:val="bottom"/>
            <w:shd w:val="clear" w:color="auto" w:fill="EEEEEE"/>
          </w:tcPr>
          <w:p>
            <w:pPr>
              <w:spacing w:after="0"/>
              <w:rPr>
                <w:sz w:val="18"/>
                <w:szCs w:val="18"/>
                <w:color w:val="auto"/>
              </w:rPr>
            </w:pPr>
          </w:p>
        </w:tc>
        <w:tc>
          <w:tcPr>
            <w:tcW w:w="140" w:type="dxa"/>
            <w:vAlign w:val="bottom"/>
            <w:shd w:val="clear" w:color="auto" w:fill="EEEEEE"/>
          </w:tcPr>
          <w:p>
            <w:pPr>
              <w:spacing w:after="0"/>
              <w:rPr>
                <w:sz w:val="18"/>
                <w:szCs w:val="18"/>
                <w:color w:val="auto"/>
              </w:rPr>
            </w:pPr>
          </w:p>
        </w:tc>
        <w:tc>
          <w:tcPr>
            <w:tcW w:w="1500" w:type="dxa"/>
            <w:vAlign w:val="bottom"/>
            <w:gridSpan w:val="2"/>
            <w:shd w:val="clear" w:color="auto" w:fill="EEEEEE"/>
          </w:tcPr>
          <w:p>
            <w:pPr>
              <w:jc w:val="right"/>
              <w:ind w:right="80"/>
              <w:spacing w:after="0"/>
              <w:rPr>
                <w:sz w:val="20"/>
                <w:szCs w:val="20"/>
                <w:color w:val="auto"/>
              </w:rPr>
            </w:pPr>
            <w:r>
              <w:rPr>
                <w:rFonts w:ascii="Arial" w:cs="Arial" w:eastAsia="Arial" w:hAnsi="Arial"/>
                <w:sz w:val="18"/>
                <w:szCs w:val="18"/>
                <w:color w:val="auto"/>
              </w:rPr>
              <w:t>(26,874)</w:t>
            </w:r>
          </w:p>
        </w:tc>
        <w:tc>
          <w:tcPr>
            <w:tcW w:w="80" w:type="dxa"/>
            <w:vAlign w:val="bottom"/>
            <w:shd w:val="clear" w:color="auto" w:fill="EEEEEE"/>
          </w:tcPr>
          <w:p>
            <w:pPr>
              <w:spacing w:after="0"/>
              <w:rPr>
                <w:sz w:val="18"/>
                <w:szCs w:val="18"/>
                <w:color w:val="auto"/>
              </w:rPr>
            </w:pPr>
          </w:p>
        </w:tc>
        <w:tc>
          <w:tcPr>
            <w:tcW w:w="120" w:type="dxa"/>
            <w:vAlign w:val="bottom"/>
            <w:shd w:val="clear" w:color="auto" w:fill="EEEEEE"/>
          </w:tcPr>
          <w:p>
            <w:pPr>
              <w:spacing w:after="0"/>
              <w:rPr>
                <w:sz w:val="18"/>
                <w:szCs w:val="18"/>
                <w:color w:val="auto"/>
              </w:rPr>
            </w:pPr>
          </w:p>
        </w:tc>
        <w:tc>
          <w:tcPr>
            <w:tcW w:w="1500" w:type="dxa"/>
            <w:vAlign w:val="bottom"/>
            <w:gridSpan w:val="2"/>
            <w:shd w:val="clear" w:color="auto" w:fill="EEEEEE"/>
          </w:tcPr>
          <w:p>
            <w:pPr>
              <w:jc w:val="right"/>
              <w:ind w:right="80"/>
              <w:spacing w:after="0"/>
              <w:rPr>
                <w:sz w:val="20"/>
                <w:szCs w:val="20"/>
                <w:color w:val="auto"/>
              </w:rPr>
            </w:pPr>
            <w:r>
              <w:rPr>
                <w:rFonts w:ascii="Arial" w:cs="Arial" w:eastAsia="Arial" w:hAnsi="Arial"/>
                <w:sz w:val="18"/>
                <w:szCs w:val="18"/>
                <w:color w:val="auto"/>
              </w:rPr>
              <w:t>(14,652)</w:t>
            </w:r>
          </w:p>
        </w:tc>
        <w:tc>
          <w:tcPr>
            <w:tcW w:w="80" w:type="dxa"/>
            <w:vAlign w:val="bottom"/>
            <w:shd w:val="clear" w:color="auto" w:fill="EEEEEE"/>
          </w:tcPr>
          <w:p>
            <w:pPr>
              <w:spacing w:after="0"/>
              <w:rPr>
                <w:sz w:val="18"/>
                <w:szCs w:val="18"/>
                <w:color w:val="auto"/>
              </w:rPr>
            </w:pPr>
          </w:p>
        </w:tc>
        <w:tc>
          <w:tcPr>
            <w:tcW w:w="140" w:type="dxa"/>
            <w:vAlign w:val="bottom"/>
            <w:shd w:val="clear" w:color="auto" w:fill="EEEEEE"/>
          </w:tcPr>
          <w:p>
            <w:pPr>
              <w:spacing w:after="0"/>
              <w:rPr>
                <w:sz w:val="18"/>
                <w:szCs w:val="18"/>
                <w:color w:val="auto"/>
              </w:rPr>
            </w:pPr>
          </w:p>
        </w:tc>
        <w:tc>
          <w:tcPr>
            <w:tcW w:w="1500" w:type="dxa"/>
            <w:vAlign w:val="bottom"/>
            <w:gridSpan w:val="2"/>
            <w:shd w:val="clear" w:color="auto" w:fill="EEEEEE"/>
          </w:tcPr>
          <w:p>
            <w:pPr>
              <w:jc w:val="right"/>
              <w:ind w:right="60"/>
              <w:spacing w:after="0"/>
              <w:rPr>
                <w:sz w:val="20"/>
                <w:szCs w:val="20"/>
                <w:color w:val="auto"/>
              </w:rPr>
            </w:pPr>
            <w:r>
              <w:rPr>
                <w:rFonts w:ascii="Arial" w:cs="Arial" w:eastAsia="Arial" w:hAnsi="Arial"/>
                <w:sz w:val="18"/>
                <w:szCs w:val="18"/>
                <w:color w:val="auto"/>
              </w:rPr>
              <w:t>(181,008)</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6120" w:type="dxa"/>
            <w:vAlign w:val="bottom"/>
            <w:shd w:val="clear" w:color="auto" w:fill="EEEEEE"/>
          </w:tcPr>
          <w:p>
            <w:pPr>
              <w:spacing w:after="0"/>
              <w:rPr>
                <w:sz w:val="2"/>
                <w:szCs w:val="2"/>
                <w:color w:val="auto"/>
              </w:rPr>
            </w:pPr>
          </w:p>
        </w:tc>
        <w:tc>
          <w:tcPr>
            <w:tcW w:w="220" w:type="dxa"/>
            <w:vAlign w:val="bottom"/>
            <w:shd w:val="clear" w:color="auto" w:fill="EEEEEE"/>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1360" w:type="dxa"/>
            <w:vAlign w:val="bottom"/>
            <w:shd w:val="clear" w:color="auto" w:fill="000000"/>
          </w:tcPr>
          <w:p>
            <w:pPr>
              <w:spacing w:after="0"/>
              <w:rPr>
                <w:sz w:val="2"/>
                <w:szCs w:val="2"/>
                <w:color w:val="auto"/>
              </w:rPr>
            </w:pPr>
          </w:p>
        </w:tc>
        <w:tc>
          <w:tcPr>
            <w:tcW w:w="140" w:type="dxa"/>
            <w:vAlign w:val="bottom"/>
            <w:shd w:val="clear" w:color="auto" w:fill="EEEEEE"/>
          </w:tcPr>
          <w:p>
            <w:pPr>
              <w:spacing w:after="0"/>
              <w:rPr>
                <w:sz w:val="2"/>
                <w:szCs w:val="2"/>
                <w:color w:val="auto"/>
              </w:rPr>
            </w:pPr>
          </w:p>
        </w:tc>
        <w:tc>
          <w:tcPr>
            <w:tcW w:w="80" w:type="dxa"/>
            <w:vAlign w:val="bottom"/>
            <w:shd w:val="clear" w:color="auto" w:fill="EEEEEE"/>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1360" w:type="dxa"/>
            <w:vAlign w:val="bottom"/>
            <w:shd w:val="clear" w:color="auto" w:fill="000000"/>
          </w:tcPr>
          <w:p>
            <w:pPr>
              <w:spacing w:after="0"/>
              <w:rPr>
                <w:sz w:val="2"/>
                <w:szCs w:val="2"/>
                <w:color w:val="auto"/>
              </w:rPr>
            </w:pPr>
          </w:p>
        </w:tc>
        <w:tc>
          <w:tcPr>
            <w:tcW w:w="140" w:type="dxa"/>
            <w:vAlign w:val="bottom"/>
            <w:shd w:val="clear" w:color="auto" w:fill="EEEEEE"/>
          </w:tcPr>
          <w:p>
            <w:pPr>
              <w:spacing w:after="0"/>
              <w:rPr>
                <w:sz w:val="2"/>
                <w:szCs w:val="2"/>
                <w:color w:val="auto"/>
              </w:rPr>
            </w:pPr>
          </w:p>
        </w:tc>
        <w:tc>
          <w:tcPr>
            <w:tcW w:w="80" w:type="dxa"/>
            <w:vAlign w:val="bottom"/>
            <w:shd w:val="clear" w:color="auto" w:fill="EEEEEE"/>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1380" w:type="dxa"/>
            <w:vAlign w:val="bottom"/>
            <w:shd w:val="clear" w:color="auto" w:fill="000000"/>
          </w:tcPr>
          <w:p>
            <w:pPr>
              <w:spacing w:after="0"/>
              <w:rPr>
                <w:sz w:val="2"/>
                <w:szCs w:val="2"/>
                <w:color w:val="auto"/>
              </w:rPr>
            </w:pPr>
          </w:p>
        </w:tc>
        <w:tc>
          <w:tcPr>
            <w:tcW w:w="120" w:type="dxa"/>
            <w:vAlign w:val="bottom"/>
            <w:shd w:val="clear" w:color="auto" w:fill="EEEEEE"/>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3"/>
        </w:trPr>
        <w:tc>
          <w:tcPr>
            <w:tcW w:w="20" w:type="dxa"/>
            <w:vAlign w:val="bottom"/>
            <w:vMerge w:val="continue"/>
          </w:tcPr>
          <w:p>
            <w:pPr>
              <w:spacing w:after="0"/>
              <w:rPr>
                <w:sz w:val="19"/>
                <w:szCs w:val="19"/>
                <w:color w:val="auto"/>
              </w:rPr>
            </w:pPr>
          </w:p>
        </w:tc>
        <w:tc>
          <w:tcPr>
            <w:tcW w:w="6120" w:type="dxa"/>
            <w:vAlign w:val="bottom"/>
          </w:tcPr>
          <w:p>
            <w:pPr>
              <w:spacing w:after="0"/>
              <w:rPr>
                <w:sz w:val="20"/>
                <w:szCs w:val="20"/>
                <w:color w:val="auto"/>
              </w:rPr>
            </w:pPr>
            <w:r>
              <w:rPr>
                <w:rFonts w:ascii="Arial" w:cs="Arial" w:eastAsia="Arial" w:hAnsi="Arial"/>
                <w:sz w:val="18"/>
                <w:szCs w:val="18"/>
                <w:b w:val="1"/>
                <w:bCs w:val="1"/>
                <w:color w:val="auto"/>
              </w:rPr>
              <w:t>Net Cash Used in Investing Activities</w:t>
            </w:r>
          </w:p>
        </w:tc>
        <w:tc>
          <w:tcPr>
            <w:tcW w:w="2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500" w:type="dxa"/>
            <w:vAlign w:val="bottom"/>
            <w:gridSpan w:val="2"/>
          </w:tcPr>
          <w:p>
            <w:pPr>
              <w:jc w:val="right"/>
              <w:ind w:right="80"/>
              <w:spacing w:after="0"/>
              <w:rPr>
                <w:sz w:val="20"/>
                <w:szCs w:val="20"/>
                <w:color w:val="auto"/>
              </w:rPr>
            </w:pPr>
            <w:r>
              <w:rPr>
                <w:rFonts w:ascii="Arial" w:cs="Arial" w:eastAsia="Arial" w:hAnsi="Arial"/>
                <w:sz w:val="18"/>
                <w:szCs w:val="18"/>
                <w:color w:val="auto"/>
              </w:rPr>
              <w:t>(29,167)</w:t>
            </w: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500" w:type="dxa"/>
            <w:vAlign w:val="bottom"/>
            <w:gridSpan w:val="2"/>
          </w:tcPr>
          <w:p>
            <w:pPr>
              <w:jc w:val="right"/>
              <w:ind w:right="80"/>
              <w:spacing w:after="0"/>
              <w:rPr>
                <w:sz w:val="20"/>
                <w:szCs w:val="20"/>
                <w:color w:val="auto"/>
              </w:rPr>
            </w:pPr>
            <w:r>
              <w:rPr>
                <w:rFonts w:ascii="Arial" w:cs="Arial" w:eastAsia="Arial" w:hAnsi="Arial"/>
                <w:sz w:val="18"/>
                <w:szCs w:val="18"/>
                <w:color w:val="auto"/>
              </w:rPr>
              <w:t>(14,652)</w:t>
            </w:r>
          </w:p>
        </w:tc>
        <w:tc>
          <w:tcPr>
            <w:tcW w:w="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500" w:type="dxa"/>
            <w:vAlign w:val="bottom"/>
            <w:gridSpan w:val="2"/>
          </w:tcPr>
          <w:p>
            <w:pPr>
              <w:jc w:val="right"/>
              <w:ind w:right="60"/>
              <w:spacing w:after="0"/>
              <w:rPr>
                <w:sz w:val="20"/>
                <w:szCs w:val="20"/>
                <w:color w:val="auto"/>
              </w:rPr>
            </w:pPr>
            <w:r>
              <w:rPr>
                <w:rFonts w:ascii="Arial" w:cs="Arial" w:eastAsia="Arial" w:hAnsi="Arial"/>
                <w:sz w:val="18"/>
                <w:szCs w:val="18"/>
                <w:color w:val="auto"/>
              </w:rPr>
              <w:t>(189,568)</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6120" w:type="dxa"/>
            <w:vAlign w:val="bottom"/>
            <w:shd w:val="clear" w:color="auto" w:fill="EEEEEE"/>
          </w:tcPr>
          <w:p>
            <w:pPr>
              <w:spacing w:after="0"/>
              <w:rPr>
                <w:sz w:val="18"/>
                <w:szCs w:val="18"/>
                <w:color w:val="auto"/>
              </w:rPr>
            </w:pPr>
          </w:p>
        </w:tc>
        <w:tc>
          <w:tcPr>
            <w:tcW w:w="220" w:type="dxa"/>
            <w:vAlign w:val="bottom"/>
            <w:shd w:val="clear" w:color="auto" w:fill="EEEEEE"/>
          </w:tcPr>
          <w:p>
            <w:pPr>
              <w:spacing w:after="0"/>
              <w:rPr>
                <w:sz w:val="18"/>
                <w:szCs w:val="18"/>
                <w:color w:val="auto"/>
              </w:rPr>
            </w:pPr>
          </w:p>
        </w:tc>
        <w:tc>
          <w:tcPr>
            <w:tcW w:w="140" w:type="dxa"/>
            <w:vAlign w:val="bottom"/>
            <w:tcBorders>
              <w:top w:val="single" w:sz="8" w:color="auto"/>
            </w:tcBorders>
            <w:shd w:val="clear" w:color="auto" w:fill="EEEEEE"/>
          </w:tcPr>
          <w:p>
            <w:pPr>
              <w:spacing w:after="0"/>
              <w:rPr>
                <w:sz w:val="18"/>
                <w:szCs w:val="18"/>
                <w:color w:val="auto"/>
              </w:rPr>
            </w:pPr>
          </w:p>
        </w:tc>
        <w:tc>
          <w:tcPr>
            <w:tcW w:w="1360" w:type="dxa"/>
            <w:vAlign w:val="bottom"/>
            <w:tcBorders>
              <w:top w:val="single" w:sz="8" w:color="auto"/>
            </w:tcBorders>
            <w:shd w:val="clear" w:color="auto" w:fill="EEEEEE"/>
          </w:tcPr>
          <w:p>
            <w:pPr>
              <w:spacing w:after="0"/>
              <w:rPr>
                <w:sz w:val="18"/>
                <w:szCs w:val="18"/>
                <w:color w:val="auto"/>
              </w:rPr>
            </w:pPr>
          </w:p>
        </w:tc>
        <w:tc>
          <w:tcPr>
            <w:tcW w:w="140" w:type="dxa"/>
            <w:vAlign w:val="bottom"/>
            <w:shd w:val="clear" w:color="auto" w:fill="EEEEEE"/>
          </w:tcPr>
          <w:p>
            <w:pPr>
              <w:spacing w:after="0"/>
              <w:rPr>
                <w:sz w:val="18"/>
                <w:szCs w:val="18"/>
                <w:color w:val="auto"/>
              </w:rPr>
            </w:pPr>
          </w:p>
        </w:tc>
        <w:tc>
          <w:tcPr>
            <w:tcW w:w="80" w:type="dxa"/>
            <w:vAlign w:val="bottom"/>
            <w:shd w:val="clear" w:color="auto" w:fill="EEEEEE"/>
          </w:tcPr>
          <w:p>
            <w:pPr>
              <w:spacing w:after="0"/>
              <w:rPr>
                <w:sz w:val="18"/>
                <w:szCs w:val="18"/>
                <w:color w:val="auto"/>
              </w:rPr>
            </w:pPr>
          </w:p>
        </w:tc>
        <w:tc>
          <w:tcPr>
            <w:tcW w:w="120" w:type="dxa"/>
            <w:vAlign w:val="bottom"/>
            <w:tcBorders>
              <w:top w:val="single" w:sz="8" w:color="auto"/>
            </w:tcBorders>
            <w:shd w:val="clear" w:color="auto" w:fill="EEEEEE"/>
          </w:tcPr>
          <w:p>
            <w:pPr>
              <w:spacing w:after="0"/>
              <w:rPr>
                <w:sz w:val="18"/>
                <w:szCs w:val="18"/>
                <w:color w:val="auto"/>
              </w:rPr>
            </w:pPr>
          </w:p>
        </w:tc>
        <w:tc>
          <w:tcPr>
            <w:tcW w:w="1360" w:type="dxa"/>
            <w:vAlign w:val="bottom"/>
            <w:tcBorders>
              <w:top w:val="single" w:sz="8" w:color="auto"/>
            </w:tcBorders>
            <w:shd w:val="clear" w:color="auto" w:fill="EEEEEE"/>
          </w:tcPr>
          <w:p>
            <w:pPr>
              <w:spacing w:after="0"/>
              <w:rPr>
                <w:sz w:val="18"/>
                <w:szCs w:val="18"/>
                <w:color w:val="auto"/>
              </w:rPr>
            </w:pPr>
          </w:p>
        </w:tc>
        <w:tc>
          <w:tcPr>
            <w:tcW w:w="140" w:type="dxa"/>
            <w:vAlign w:val="bottom"/>
            <w:shd w:val="clear" w:color="auto" w:fill="EEEEEE"/>
          </w:tcPr>
          <w:p>
            <w:pPr>
              <w:spacing w:after="0"/>
              <w:rPr>
                <w:sz w:val="18"/>
                <w:szCs w:val="18"/>
                <w:color w:val="auto"/>
              </w:rPr>
            </w:pPr>
          </w:p>
        </w:tc>
        <w:tc>
          <w:tcPr>
            <w:tcW w:w="80" w:type="dxa"/>
            <w:vAlign w:val="bottom"/>
            <w:shd w:val="clear" w:color="auto" w:fill="EEEEEE"/>
          </w:tcPr>
          <w:p>
            <w:pPr>
              <w:spacing w:after="0"/>
              <w:rPr>
                <w:sz w:val="18"/>
                <w:szCs w:val="18"/>
                <w:color w:val="auto"/>
              </w:rPr>
            </w:pPr>
          </w:p>
        </w:tc>
        <w:tc>
          <w:tcPr>
            <w:tcW w:w="140" w:type="dxa"/>
            <w:vAlign w:val="bottom"/>
            <w:tcBorders>
              <w:top w:val="single" w:sz="8" w:color="auto"/>
            </w:tcBorders>
            <w:shd w:val="clear" w:color="auto" w:fill="EEEEEE"/>
          </w:tcPr>
          <w:p>
            <w:pPr>
              <w:spacing w:after="0"/>
              <w:rPr>
                <w:sz w:val="18"/>
                <w:szCs w:val="18"/>
                <w:color w:val="auto"/>
              </w:rPr>
            </w:pPr>
          </w:p>
        </w:tc>
        <w:tc>
          <w:tcPr>
            <w:tcW w:w="1380" w:type="dxa"/>
            <w:vAlign w:val="bottom"/>
            <w:tcBorders>
              <w:top w:val="single" w:sz="8" w:color="auto"/>
            </w:tcBorders>
            <w:shd w:val="clear" w:color="auto" w:fill="EEEEEE"/>
          </w:tcPr>
          <w:p>
            <w:pPr>
              <w:spacing w:after="0"/>
              <w:rPr>
                <w:sz w:val="18"/>
                <w:szCs w:val="18"/>
                <w:color w:val="auto"/>
              </w:rPr>
            </w:pPr>
          </w:p>
        </w:tc>
        <w:tc>
          <w:tcPr>
            <w:tcW w:w="120" w:type="dxa"/>
            <w:vAlign w:val="bottom"/>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120" w:type="dxa"/>
            <w:vAlign w:val="bottom"/>
          </w:tcPr>
          <w:p>
            <w:pPr>
              <w:spacing w:after="0"/>
              <w:rPr>
                <w:sz w:val="20"/>
                <w:szCs w:val="20"/>
                <w:color w:val="auto"/>
              </w:rPr>
            </w:pPr>
            <w:r>
              <w:rPr>
                <w:rFonts w:ascii="Arial" w:cs="Arial" w:eastAsia="Arial" w:hAnsi="Arial"/>
                <w:sz w:val="18"/>
                <w:szCs w:val="18"/>
                <w:b w:val="1"/>
                <w:bCs w:val="1"/>
                <w:color w:val="auto"/>
              </w:rPr>
              <w:t>Cash Flows from Financing Activities:</w:t>
            </w: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3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120" w:type="dxa"/>
            <w:vAlign w:val="bottom"/>
            <w:shd w:val="clear" w:color="auto" w:fill="EEEEEE"/>
          </w:tcPr>
          <w:p>
            <w:pPr>
              <w:ind w:left="160"/>
              <w:spacing w:after="0"/>
              <w:rPr>
                <w:sz w:val="20"/>
                <w:szCs w:val="20"/>
                <w:color w:val="auto"/>
              </w:rPr>
            </w:pPr>
            <w:r>
              <w:rPr>
                <w:rFonts w:ascii="Arial" w:cs="Arial" w:eastAsia="Arial" w:hAnsi="Arial"/>
                <w:sz w:val="18"/>
                <w:szCs w:val="18"/>
                <w:color w:val="auto"/>
              </w:rPr>
              <w:t>Proceeds (Payments) on Notes Payable</w:t>
            </w:r>
          </w:p>
        </w:tc>
        <w:tc>
          <w:tcPr>
            <w:tcW w:w="220" w:type="dxa"/>
            <w:vAlign w:val="bottom"/>
            <w:shd w:val="clear" w:color="auto" w:fill="EEEEEE"/>
          </w:tcPr>
          <w:p>
            <w:pPr>
              <w:spacing w:after="0"/>
              <w:rPr>
                <w:sz w:val="18"/>
                <w:szCs w:val="18"/>
                <w:color w:val="auto"/>
              </w:rPr>
            </w:pPr>
          </w:p>
        </w:tc>
        <w:tc>
          <w:tcPr>
            <w:tcW w:w="140" w:type="dxa"/>
            <w:vAlign w:val="bottom"/>
            <w:shd w:val="clear" w:color="auto" w:fill="EEEEEE"/>
          </w:tcPr>
          <w:p>
            <w:pPr>
              <w:spacing w:after="0"/>
              <w:rPr>
                <w:sz w:val="18"/>
                <w:szCs w:val="18"/>
                <w:color w:val="auto"/>
              </w:rPr>
            </w:pPr>
          </w:p>
        </w:tc>
        <w:tc>
          <w:tcPr>
            <w:tcW w:w="1500" w:type="dxa"/>
            <w:vAlign w:val="bottom"/>
            <w:gridSpan w:val="2"/>
            <w:shd w:val="clear" w:color="auto" w:fill="EEEEEE"/>
          </w:tcPr>
          <w:p>
            <w:pPr>
              <w:jc w:val="right"/>
              <w:ind w:right="80"/>
              <w:spacing w:after="0"/>
              <w:rPr>
                <w:sz w:val="20"/>
                <w:szCs w:val="20"/>
                <w:color w:val="auto"/>
              </w:rPr>
            </w:pPr>
            <w:r>
              <w:rPr>
                <w:rFonts w:ascii="Arial" w:cs="Arial" w:eastAsia="Arial" w:hAnsi="Arial"/>
                <w:sz w:val="18"/>
                <w:szCs w:val="18"/>
                <w:color w:val="auto"/>
              </w:rPr>
              <w:t>(324,094)</w:t>
            </w:r>
          </w:p>
        </w:tc>
        <w:tc>
          <w:tcPr>
            <w:tcW w:w="80" w:type="dxa"/>
            <w:vAlign w:val="bottom"/>
            <w:shd w:val="clear" w:color="auto" w:fill="EEEEEE"/>
          </w:tcPr>
          <w:p>
            <w:pPr>
              <w:spacing w:after="0"/>
              <w:rPr>
                <w:sz w:val="18"/>
                <w:szCs w:val="18"/>
                <w:color w:val="auto"/>
              </w:rPr>
            </w:pPr>
          </w:p>
        </w:tc>
        <w:tc>
          <w:tcPr>
            <w:tcW w:w="120" w:type="dxa"/>
            <w:vAlign w:val="bottom"/>
            <w:shd w:val="clear" w:color="auto" w:fill="EEEEEE"/>
          </w:tcPr>
          <w:p>
            <w:pPr>
              <w:spacing w:after="0"/>
              <w:rPr>
                <w:sz w:val="18"/>
                <w:szCs w:val="18"/>
                <w:color w:val="auto"/>
              </w:rPr>
            </w:pPr>
          </w:p>
        </w:tc>
        <w:tc>
          <w:tcPr>
            <w:tcW w:w="1360" w:type="dxa"/>
            <w:vAlign w:val="bottom"/>
            <w:shd w:val="clear" w:color="auto" w:fill="EEEEEE"/>
          </w:tcPr>
          <w:p>
            <w:pPr>
              <w:jc w:val="right"/>
              <w:spacing w:after="0"/>
              <w:rPr>
                <w:sz w:val="20"/>
                <w:szCs w:val="20"/>
                <w:color w:val="auto"/>
              </w:rPr>
            </w:pPr>
            <w:r>
              <w:rPr>
                <w:rFonts w:ascii="Arial" w:cs="Arial" w:eastAsia="Arial" w:hAnsi="Arial"/>
                <w:sz w:val="18"/>
                <w:szCs w:val="18"/>
                <w:color w:val="auto"/>
              </w:rPr>
              <w:t>129,300</w:t>
            </w:r>
          </w:p>
        </w:tc>
        <w:tc>
          <w:tcPr>
            <w:tcW w:w="140" w:type="dxa"/>
            <w:vAlign w:val="bottom"/>
            <w:shd w:val="clear" w:color="auto" w:fill="EEEEEE"/>
          </w:tcPr>
          <w:p>
            <w:pPr>
              <w:spacing w:after="0"/>
              <w:rPr>
                <w:sz w:val="18"/>
                <w:szCs w:val="18"/>
                <w:color w:val="auto"/>
              </w:rPr>
            </w:pPr>
          </w:p>
        </w:tc>
        <w:tc>
          <w:tcPr>
            <w:tcW w:w="80" w:type="dxa"/>
            <w:vAlign w:val="bottom"/>
            <w:shd w:val="clear" w:color="auto" w:fill="EEEEEE"/>
          </w:tcPr>
          <w:p>
            <w:pPr>
              <w:spacing w:after="0"/>
              <w:rPr>
                <w:sz w:val="18"/>
                <w:szCs w:val="18"/>
                <w:color w:val="auto"/>
              </w:rPr>
            </w:pPr>
          </w:p>
        </w:tc>
        <w:tc>
          <w:tcPr>
            <w:tcW w:w="140" w:type="dxa"/>
            <w:vAlign w:val="bottom"/>
            <w:shd w:val="clear" w:color="auto" w:fill="EEEEEE"/>
          </w:tcPr>
          <w:p>
            <w:pPr>
              <w:spacing w:after="0"/>
              <w:rPr>
                <w:sz w:val="18"/>
                <w:szCs w:val="18"/>
                <w:color w:val="auto"/>
              </w:rPr>
            </w:pPr>
          </w:p>
        </w:tc>
        <w:tc>
          <w:tcPr>
            <w:tcW w:w="1380" w:type="dxa"/>
            <w:vAlign w:val="bottom"/>
            <w:shd w:val="clear" w:color="auto" w:fill="EEEEEE"/>
          </w:tcPr>
          <w:p>
            <w:pPr>
              <w:jc w:val="right"/>
              <w:spacing w:after="0"/>
              <w:rPr>
                <w:sz w:val="20"/>
                <w:szCs w:val="20"/>
                <w:color w:val="auto"/>
              </w:rPr>
            </w:pPr>
            <w:r>
              <w:rPr>
                <w:rFonts w:ascii="Arial" w:cs="Arial" w:eastAsia="Arial" w:hAnsi="Arial"/>
                <w:sz w:val="18"/>
                <w:szCs w:val="18"/>
                <w:color w:val="auto"/>
              </w:rPr>
              <w:t>0</w:t>
            </w:r>
          </w:p>
        </w:tc>
        <w:tc>
          <w:tcPr>
            <w:tcW w:w="120" w:type="dxa"/>
            <w:vAlign w:val="bottom"/>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120" w:type="dxa"/>
            <w:vAlign w:val="bottom"/>
          </w:tcPr>
          <w:p>
            <w:pPr>
              <w:ind w:left="160"/>
              <w:spacing w:after="0"/>
              <w:rPr>
                <w:sz w:val="20"/>
                <w:szCs w:val="20"/>
                <w:color w:val="auto"/>
              </w:rPr>
            </w:pPr>
            <w:r>
              <w:rPr>
                <w:rFonts w:ascii="Arial" w:cs="Arial" w:eastAsia="Arial" w:hAnsi="Arial"/>
                <w:sz w:val="18"/>
                <w:szCs w:val="18"/>
                <w:color w:val="auto"/>
              </w:rPr>
              <w:t>Sale of Common Stock</w:t>
            </w: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6,350</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0</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380" w:type="dxa"/>
            <w:vAlign w:val="bottom"/>
          </w:tcPr>
          <w:p>
            <w:pPr>
              <w:jc w:val="right"/>
              <w:spacing w:after="0"/>
              <w:rPr>
                <w:sz w:val="20"/>
                <w:szCs w:val="20"/>
                <w:color w:val="auto"/>
              </w:rPr>
            </w:pPr>
            <w:r>
              <w:rPr>
                <w:rFonts w:ascii="Arial" w:cs="Arial" w:eastAsia="Arial" w:hAnsi="Arial"/>
                <w:sz w:val="18"/>
                <w:szCs w:val="18"/>
                <w:color w:val="auto"/>
              </w:rPr>
              <w:t>16,650</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120" w:type="dxa"/>
            <w:vAlign w:val="bottom"/>
            <w:shd w:val="clear" w:color="auto" w:fill="EEEEEE"/>
          </w:tcPr>
          <w:p>
            <w:pPr>
              <w:ind w:left="160"/>
              <w:spacing w:after="0"/>
              <w:rPr>
                <w:sz w:val="20"/>
                <w:szCs w:val="20"/>
                <w:color w:val="auto"/>
              </w:rPr>
            </w:pPr>
            <w:r>
              <w:rPr>
                <w:rFonts w:ascii="Arial" w:cs="Arial" w:eastAsia="Arial" w:hAnsi="Arial"/>
                <w:sz w:val="18"/>
                <w:szCs w:val="18"/>
                <w:color w:val="auto"/>
              </w:rPr>
              <w:t>Issuance of Preferred Stock</w:t>
            </w:r>
          </w:p>
        </w:tc>
        <w:tc>
          <w:tcPr>
            <w:tcW w:w="220" w:type="dxa"/>
            <w:vAlign w:val="bottom"/>
            <w:shd w:val="clear" w:color="auto" w:fill="EEEEEE"/>
          </w:tcPr>
          <w:p>
            <w:pPr>
              <w:spacing w:after="0"/>
              <w:rPr>
                <w:sz w:val="18"/>
                <w:szCs w:val="18"/>
                <w:color w:val="auto"/>
              </w:rPr>
            </w:pPr>
          </w:p>
        </w:tc>
        <w:tc>
          <w:tcPr>
            <w:tcW w:w="140" w:type="dxa"/>
            <w:vAlign w:val="bottom"/>
            <w:shd w:val="clear" w:color="auto" w:fill="EEEEEE"/>
          </w:tcPr>
          <w:p>
            <w:pPr>
              <w:spacing w:after="0"/>
              <w:rPr>
                <w:sz w:val="18"/>
                <w:szCs w:val="18"/>
                <w:color w:val="auto"/>
              </w:rPr>
            </w:pPr>
          </w:p>
        </w:tc>
        <w:tc>
          <w:tcPr>
            <w:tcW w:w="1360" w:type="dxa"/>
            <w:vAlign w:val="bottom"/>
            <w:shd w:val="clear" w:color="auto" w:fill="EEEEEE"/>
          </w:tcPr>
          <w:p>
            <w:pPr>
              <w:jc w:val="right"/>
              <w:spacing w:after="0"/>
              <w:rPr>
                <w:sz w:val="20"/>
                <w:szCs w:val="20"/>
                <w:color w:val="auto"/>
              </w:rPr>
            </w:pPr>
            <w:r>
              <w:rPr>
                <w:rFonts w:ascii="Arial" w:cs="Arial" w:eastAsia="Arial" w:hAnsi="Arial"/>
                <w:sz w:val="18"/>
                <w:szCs w:val="18"/>
                <w:color w:val="auto"/>
              </w:rPr>
              <w:t>0</w:t>
            </w:r>
          </w:p>
        </w:tc>
        <w:tc>
          <w:tcPr>
            <w:tcW w:w="140" w:type="dxa"/>
            <w:vAlign w:val="bottom"/>
            <w:shd w:val="clear" w:color="auto" w:fill="EEEEEE"/>
          </w:tcPr>
          <w:p>
            <w:pPr>
              <w:spacing w:after="0"/>
              <w:rPr>
                <w:sz w:val="18"/>
                <w:szCs w:val="18"/>
                <w:color w:val="auto"/>
              </w:rPr>
            </w:pPr>
          </w:p>
        </w:tc>
        <w:tc>
          <w:tcPr>
            <w:tcW w:w="80" w:type="dxa"/>
            <w:vAlign w:val="bottom"/>
            <w:shd w:val="clear" w:color="auto" w:fill="EEEEEE"/>
          </w:tcPr>
          <w:p>
            <w:pPr>
              <w:spacing w:after="0"/>
              <w:rPr>
                <w:sz w:val="18"/>
                <w:szCs w:val="18"/>
                <w:color w:val="auto"/>
              </w:rPr>
            </w:pPr>
          </w:p>
        </w:tc>
        <w:tc>
          <w:tcPr>
            <w:tcW w:w="120" w:type="dxa"/>
            <w:vAlign w:val="bottom"/>
            <w:shd w:val="clear" w:color="auto" w:fill="EEEEEE"/>
          </w:tcPr>
          <w:p>
            <w:pPr>
              <w:spacing w:after="0"/>
              <w:rPr>
                <w:sz w:val="18"/>
                <w:szCs w:val="18"/>
                <w:color w:val="auto"/>
              </w:rPr>
            </w:pPr>
          </w:p>
        </w:tc>
        <w:tc>
          <w:tcPr>
            <w:tcW w:w="1360" w:type="dxa"/>
            <w:vAlign w:val="bottom"/>
            <w:shd w:val="clear" w:color="auto" w:fill="EEEEEE"/>
          </w:tcPr>
          <w:p>
            <w:pPr>
              <w:jc w:val="right"/>
              <w:spacing w:after="0"/>
              <w:rPr>
                <w:sz w:val="20"/>
                <w:szCs w:val="20"/>
                <w:color w:val="auto"/>
              </w:rPr>
            </w:pPr>
            <w:r>
              <w:rPr>
                <w:rFonts w:ascii="Arial" w:cs="Arial" w:eastAsia="Arial" w:hAnsi="Arial"/>
                <w:sz w:val="18"/>
                <w:szCs w:val="18"/>
                <w:color w:val="auto"/>
              </w:rPr>
              <w:t>0</w:t>
            </w:r>
          </w:p>
        </w:tc>
        <w:tc>
          <w:tcPr>
            <w:tcW w:w="140" w:type="dxa"/>
            <w:vAlign w:val="bottom"/>
            <w:shd w:val="clear" w:color="auto" w:fill="EEEEEE"/>
          </w:tcPr>
          <w:p>
            <w:pPr>
              <w:spacing w:after="0"/>
              <w:rPr>
                <w:sz w:val="18"/>
                <w:szCs w:val="18"/>
                <w:color w:val="auto"/>
              </w:rPr>
            </w:pPr>
          </w:p>
        </w:tc>
        <w:tc>
          <w:tcPr>
            <w:tcW w:w="80" w:type="dxa"/>
            <w:vAlign w:val="bottom"/>
            <w:shd w:val="clear" w:color="auto" w:fill="EEEEEE"/>
          </w:tcPr>
          <w:p>
            <w:pPr>
              <w:spacing w:after="0"/>
              <w:rPr>
                <w:sz w:val="18"/>
                <w:szCs w:val="18"/>
                <w:color w:val="auto"/>
              </w:rPr>
            </w:pPr>
          </w:p>
        </w:tc>
        <w:tc>
          <w:tcPr>
            <w:tcW w:w="140" w:type="dxa"/>
            <w:vAlign w:val="bottom"/>
            <w:shd w:val="clear" w:color="auto" w:fill="EEEEEE"/>
          </w:tcPr>
          <w:p>
            <w:pPr>
              <w:spacing w:after="0"/>
              <w:rPr>
                <w:sz w:val="18"/>
                <w:szCs w:val="18"/>
                <w:color w:val="auto"/>
              </w:rPr>
            </w:pPr>
          </w:p>
        </w:tc>
        <w:tc>
          <w:tcPr>
            <w:tcW w:w="1380" w:type="dxa"/>
            <w:vAlign w:val="bottom"/>
            <w:shd w:val="clear" w:color="auto" w:fill="EEEEEE"/>
          </w:tcPr>
          <w:p>
            <w:pPr>
              <w:jc w:val="right"/>
              <w:spacing w:after="0"/>
              <w:rPr>
                <w:sz w:val="20"/>
                <w:szCs w:val="20"/>
                <w:color w:val="auto"/>
              </w:rPr>
            </w:pPr>
            <w:r>
              <w:rPr>
                <w:rFonts w:ascii="Arial" w:cs="Arial" w:eastAsia="Arial" w:hAnsi="Arial"/>
                <w:sz w:val="18"/>
                <w:szCs w:val="18"/>
                <w:color w:val="auto"/>
              </w:rPr>
              <w:t>0</w:t>
            </w:r>
          </w:p>
        </w:tc>
        <w:tc>
          <w:tcPr>
            <w:tcW w:w="120" w:type="dxa"/>
            <w:vAlign w:val="bottom"/>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6120" w:type="dxa"/>
            <w:vAlign w:val="bottom"/>
          </w:tcPr>
          <w:p>
            <w:pPr>
              <w:ind w:left="160"/>
              <w:spacing w:after="0"/>
              <w:rPr>
                <w:sz w:val="20"/>
                <w:szCs w:val="20"/>
                <w:color w:val="auto"/>
              </w:rPr>
            </w:pPr>
            <w:r>
              <w:rPr>
                <w:rFonts w:ascii="Arial" w:cs="Arial" w:eastAsia="Arial" w:hAnsi="Arial"/>
                <w:sz w:val="18"/>
                <w:szCs w:val="18"/>
                <w:color w:val="auto"/>
              </w:rPr>
              <w:t>Paid in Capital</w:t>
            </w:r>
          </w:p>
        </w:tc>
        <w:tc>
          <w:tcPr>
            <w:tcW w:w="220" w:type="dxa"/>
            <w:vAlign w:val="bottom"/>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3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3,613,640</w:t>
            </w: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3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71,519</w:t>
            </w: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3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3,903,350</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6120" w:type="dxa"/>
            <w:vAlign w:val="bottom"/>
            <w:tcBorders>
              <w:bottom w:val="single" w:sz="8" w:color="EEEEEE"/>
            </w:tcBorders>
            <w:shd w:val="clear" w:color="auto" w:fill="EEEEEE"/>
          </w:tcPr>
          <w:p>
            <w:pPr>
              <w:spacing w:after="0"/>
              <w:rPr>
                <w:sz w:val="20"/>
                <w:szCs w:val="20"/>
                <w:color w:val="auto"/>
              </w:rPr>
            </w:pPr>
            <w:r>
              <w:rPr>
                <w:rFonts w:ascii="Arial" w:cs="Arial" w:eastAsia="Arial" w:hAnsi="Arial"/>
                <w:sz w:val="18"/>
                <w:szCs w:val="18"/>
                <w:b w:val="1"/>
                <w:bCs w:val="1"/>
                <w:color w:val="auto"/>
              </w:rPr>
              <w:t>Net Cash Provided by Financing Activities</w:t>
            </w:r>
          </w:p>
        </w:tc>
        <w:tc>
          <w:tcPr>
            <w:tcW w:w="220" w:type="dxa"/>
            <w:vAlign w:val="bottom"/>
            <w:tcBorders>
              <w:bottom w:val="single" w:sz="8" w:color="EEEEEE"/>
            </w:tcBorders>
            <w:shd w:val="clear" w:color="auto" w:fill="EEEEEE"/>
          </w:tcPr>
          <w:p>
            <w:pPr>
              <w:spacing w:after="0"/>
              <w:rPr>
                <w:sz w:val="19"/>
                <w:szCs w:val="19"/>
                <w:color w:val="auto"/>
              </w:rPr>
            </w:pPr>
          </w:p>
        </w:tc>
        <w:tc>
          <w:tcPr>
            <w:tcW w:w="140" w:type="dxa"/>
            <w:vAlign w:val="bottom"/>
            <w:tcBorders>
              <w:bottom w:val="single" w:sz="8" w:color="auto"/>
            </w:tcBorders>
            <w:shd w:val="clear" w:color="auto" w:fill="EEEEEE"/>
          </w:tcPr>
          <w:p>
            <w:pPr>
              <w:spacing w:after="0"/>
              <w:rPr>
                <w:sz w:val="19"/>
                <w:szCs w:val="19"/>
                <w:color w:val="auto"/>
              </w:rPr>
            </w:pPr>
          </w:p>
        </w:tc>
        <w:tc>
          <w:tcPr>
            <w:tcW w:w="1360" w:type="dxa"/>
            <w:vAlign w:val="bottom"/>
            <w:tcBorders>
              <w:bottom w:val="single" w:sz="8" w:color="auto"/>
            </w:tcBorders>
            <w:shd w:val="clear" w:color="auto" w:fill="EEEEEE"/>
          </w:tcPr>
          <w:p>
            <w:pPr>
              <w:jc w:val="right"/>
              <w:spacing w:after="0"/>
              <w:rPr>
                <w:sz w:val="20"/>
                <w:szCs w:val="20"/>
                <w:color w:val="auto"/>
              </w:rPr>
            </w:pPr>
            <w:r>
              <w:rPr>
                <w:rFonts w:ascii="Arial" w:cs="Arial" w:eastAsia="Arial" w:hAnsi="Arial"/>
                <w:sz w:val="18"/>
                <w:szCs w:val="18"/>
                <w:color w:val="auto"/>
              </w:rPr>
              <w:t>3,295,896</w:t>
            </w:r>
          </w:p>
        </w:tc>
        <w:tc>
          <w:tcPr>
            <w:tcW w:w="140" w:type="dxa"/>
            <w:vAlign w:val="bottom"/>
            <w:tcBorders>
              <w:bottom w:val="single" w:sz="8" w:color="EEEEEE"/>
            </w:tcBorders>
            <w:shd w:val="clear" w:color="auto" w:fill="EEEEEE"/>
          </w:tcPr>
          <w:p>
            <w:pPr>
              <w:spacing w:after="0"/>
              <w:rPr>
                <w:sz w:val="19"/>
                <w:szCs w:val="19"/>
                <w:color w:val="auto"/>
              </w:rPr>
            </w:pPr>
          </w:p>
        </w:tc>
        <w:tc>
          <w:tcPr>
            <w:tcW w:w="80" w:type="dxa"/>
            <w:vAlign w:val="bottom"/>
            <w:tcBorders>
              <w:bottom w:val="single" w:sz="8" w:color="EEEEEE"/>
            </w:tcBorders>
            <w:shd w:val="clear" w:color="auto" w:fill="EEEEEE"/>
          </w:tcPr>
          <w:p>
            <w:pPr>
              <w:spacing w:after="0"/>
              <w:rPr>
                <w:sz w:val="19"/>
                <w:szCs w:val="19"/>
                <w:color w:val="auto"/>
              </w:rPr>
            </w:pPr>
          </w:p>
        </w:tc>
        <w:tc>
          <w:tcPr>
            <w:tcW w:w="120" w:type="dxa"/>
            <w:vAlign w:val="bottom"/>
            <w:tcBorders>
              <w:bottom w:val="single" w:sz="8" w:color="auto"/>
            </w:tcBorders>
            <w:shd w:val="clear" w:color="auto" w:fill="EEEEEE"/>
          </w:tcPr>
          <w:p>
            <w:pPr>
              <w:spacing w:after="0"/>
              <w:rPr>
                <w:sz w:val="19"/>
                <w:szCs w:val="19"/>
                <w:color w:val="auto"/>
              </w:rPr>
            </w:pPr>
          </w:p>
        </w:tc>
        <w:tc>
          <w:tcPr>
            <w:tcW w:w="1360" w:type="dxa"/>
            <w:vAlign w:val="bottom"/>
            <w:tcBorders>
              <w:bottom w:val="single" w:sz="8" w:color="auto"/>
            </w:tcBorders>
            <w:shd w:val="clear" w:color="auto" w:fill="EEEEEE"/>
          </w:tcPr>
          <w:p>
            <w:pPr>
              <w:jc w:val="right"/>
              <w:spacing w:after="0"/>
              <w:rPr>
                <w:sz w:val="20"/>
                <w:szCs w:val="20"/>
                <w:color w:val="auto"/>
              </w:rPr>
            </w:pPr>
            <w:r>
              <w:rPr>
                <w:rFonts w:ascii="Arial" w:cs="Arial" w:eastAsia="Arial" w:hAnsi="Arial"/>
                <w:sz w:val="18"/>
                <w:szCs w:val="18"/>
                <w:color w:val="auto"/>
              </w:rPr>
              <w:t>200,819</w:t>
            </w:r>
          </w:p>
        </w:tc>
        <w:tc>
          <w:tcPr>
            <w:tcW w:w="140" w:type="dxa"/>
            <w:vAlign w:val="bottom"/>
            <w:tcBorders>
              <w:bottom w:val="single" w:sz="8" w:color="EEEEEE"/>
            </w:tcBorders>
            <w:shd w:val="clear" w:color="auto" w:fill="EEEEEE"/>
          </w:tcPr>
          <w:p>
            <w:pPr>
              <w:spacing w:after="0"/>
              <w:rPr>
                <w:sz w:val="19"/>
                <w:szCs w:val="19"/>
                <w:color w:val="auto"/>
              </w:rPr>
            </w:pPr>
          </w:p>
        </w:tc>
        <w:tc>
          <w:tcPr>
            <w:tcW w:w="80" w:type="dxa"/>
            <w:vAlign w:val="bottom"/>
            <w:tcBorders>
              <w:bottom w:val="single" w:sz="8" w:color="EEEEEE"/>
            </w:tcBorders>
            <w:shd w:val="clear" w:color="auto" w:fill="EEEEEE"/>
          </w:tcPr>
          <w:p>
            <w:pPr>
              <w:spacing w:after="0"/>
              <w:rPr>
                <w:sz w:val="19"/>
                <w:szCs w:val="19"/>
                <w:color w:val="auto"/>
              </w:rPr>
            </w:pPr>
          </w:p>
        </w:tc>
        <w:tc>
          <w:tcPr>
            <w:tcW w:w="140" w:type="dxa"/>
            <w:vAlign w:val="bottom"/>
            <w:tcBorders>
              <w:bottom w:val="single" w:sz="8" w:color="auto"/>
            </w:tcBorders>
            <w:shd w:val="clear" w:color="auto" w:fill="EEEEEE"/>
          </w:tcPr>
          <w:p>
            <w:pPr>
              <w:spacing w:after="0"/>
              <w:rPr>
                <w:sz w:val="19"/>
                <w:szCs w:val="19"/>
                <w:color w:val="auto"/>
              </w:rPr>
            </w:pPr>
          </w:p>
        </w:tc>
        <w:tc>
          <w:tcPr>
            <w:tcW w:w="1380" w:type="dxa"/>
            <w:vAlign w:val="bottom"/>
            <w:tcBorders>
              <w:bottom w:val="single" w:sz="8" w:color="auto"/>
            </w:tcBorders>
            <w:shd w:val="clear" w:color="auto" w:fill="EEEEEE"/>
          </w:tcPr>
          <w:p>
            <w:pPr>
              <w:jc w:val="right"/>
              <w:spacing w:after="0"/>
              <w:rPr>
                <w:sz w:val="20"/>
                <w:szCs w:val="20"/>
                <w:color w:val="auto"/>
              </w:rPr>
            </w:pPr>
            <w:r>
              <w:rPr>
                <w:rFonts w:ascii="Arial" w:cs="Arial" w:eastAsia="Arial" w:hAnsi="Arial"/>
                <w:sz w:val="18"/>
                <w:szCs w:val="18"/>
                <w:color w:val="auto"/>
              </w:rPr>
              <w:t>3,920,000</w:t>
            </w:r>
          </w:p>
        </w:tc>
        <w:tc>
          <w:tcPr>
            <w:tcW w:w="120" w:type="dxa"/>
            <w:vAlign w:val="bottom"/>
            <w:tcBorders>
              <w:bottom w:val="single" w:sz="8" w:color="EEEEEE"/>
            </w:tcBorders>
            <w:shd w:val="clear" w:color="auto" w:fill="EEEEEE"/>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6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3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120" w:type="dxa"/>
            <w:vAlign w:val="bottom"/>
            <w:shd w:val="clear" w:color="auto" w:fill="EEEEEE"/>
          </w:tcPr>
          <w:p>
            <w:pPr>
              <w:spacing w:after="0"/>
              <w:rPr>
                <w:sz w:val="20"/>
                <w:szCs w:val="20"/>
                <w:color w:val="auto"/>
              </w:rPr>
            </w:pPr>
            <w:r>
              <w:rPr>
                <w:rFonts w:ascii="Arial" w:cs="Arial" w:eastAsia="Arial" w:hAnsi="Arial"/>
                <w:sz w:val="18"/>
                <w:szCs w:val="18"/>
                <w:b w:val="1"/>
                <w:bCs w:val="1"/>
                <w:color w:val="auto"/>
              </w:rPr>
              <w:t>Net Increase in Cash and Cash Equivalents</w:t>
            </w:r>
          </w:p>
        </w:tc>
        <w:tc>
          <w:tcPr>
            <w:tcW w:w="220" w:type="dxa"/>
            <w:vAlign w:val="bottom"/>
            <w:shd w:val="clear" w:color="auto" w:fill="EEEEEE"/>
          </w:tcPr>
          <w:p>
            <w:pPr>
              <w:spacing w:after="0"/>
              <w:rPr>
                <w:sz w:val="18"/>
                <w:szCs w:val="18"/>
                <w:color w:val="auto"/>
              </w:rPr>
            </w:pPr>
          </w:p>
        </w:tc>
        <w:tc>
          <w:tcPr>
            <w:tcW w:w="140" w:type="dxa"/>
            <w:vAlign w:val="bottom"/>
            <w:shd w:val="clear" w:color="auto" w:fill="EEEEEE"/>
          </w:tcPr>
          <w:p>
            <w:pPr>
              <w:spacing w:after="0"/>
              <w:rPr>
                <w:sz w:val="18"/>
                <w:szCs w:val="18"/>
                <w:color w:val="auto"/>
              </w:rPr>
            </w:pPr>
          </w:p>
        </w:tc>
        <w:tc>
          <w:tcPr>
            <w:tcW w:w="1360" w:type="dxa"/>
            <w:vAlign w:val="bottom"/>
            <w:shd w:val="clear" w:color="auto" w:fill="EEEEEE"/>
          </w:tcPr>
          <w:p>
            <w:pPr>
              <w:jc w:val="right"/>
              <w:spacing w:after="0"/>
              <w:rPr>
                <w:sz w:val="20"/>
                <w:szCs w:val="20"/>
                <w:color w:val="auto"/>
              </w:rPr>
            </w:pPr>
            <w:r>
              <w:rPr>
                <w:rFonts w:ascii="Arial" w:cs="Arial" w:eastAsia="Arial" w:hAnsi="Arial"/>
                <w:sz w:val="18"/>
                <w:szCs w:val="18"/>
                <w:color w:val="auto"/>
              </w:rPr>
              <w:t>2,672,090</w:t>
            </w:r>
          </w:p>
        </w:tc>
        <w:tc>
          <w:tcPr>
            <w:tcW w:w="140" w:type="dxa"/>
            <w:vAlign w:val="bottom"/>
            <w:shd w:val="clear" w:color="auto" w:fill="EEEEEE"/>
          </w:tcPr>
          <w:p>
            <w:pPr>
              <w:spacing w:after="0"/>
              <w:rPr>
                <w:sz w:val="18"/>
                <w:szCs w:val="18"/>
                <w:color w:val="auto"/>
              </w:rPr>
            </w:pPr>
          </w:p>
        </w:tc>
        <w:tc>
          <w:tcPr>
            <w:tcW w:w="80" w:type="dxa"/>
            <w:vAlign w:val="bottom"/>
            <w:shd w:val="clear" w:color="auto" w:fill="EEEEEE"/>
          </w:tcPr>
          <w:p>
            <w:pPr>
              <w:spacing w:after="0"/>
              <w:rPr>
                <w:sz w:val="18"/>
                <w:szCs w:val="18"/>
                <w:color w:val="auto"/>
              </w:rPr>
            </w:pPr>
          </w:p>
        </w:tc>
        <w:tc>
          <w:tcPr>
            <w:tcW w:w="120" w:type="dxa"/>
            <w:vAlign w:val="bottom"/>
            <w:shd w:val="clear" w:color="auto" w:fill="EEEEEE"/>
          </w:tcPr>
          <w:p>
            <w:pPr>
              <w:spacing w:after="0"/>
              <w:rPr>
                <w:sz w:val="18"/>
                <w:szCs w:val="18"/>
                <w:color w:val="auto"/>
              </w:rPr>
            </w:pPr>
          </w:p>
        </w:tc>
        <w:tc>
          <w:tcPr>
            <w:tcW w:w="1360" w:type="dxa"/>
            <w:vAlign w:val="bottom"/>
            <w:shd w:val="clear" w:color="auto" w:fill="EEEEEE"/>
          </w:tcPr>
          <w:p>
            <w:pPr>
              <w:jc w:val="right"/>
              <w:spacing w:after="0"/>
              <w:rPr>
                <w:sz w:val="20"/>
                <w:szCs w:val="20"/>
                <w:color w:val="auto"/>
              </w:rPr>
            </w:pPr>
            <w:r>
              <w:rPr>
                <w:rFonts w:ascii="Arial" w:cs="Arial" w:eastAsia="Arial" w:hAnsi="Arial"/>
                <w:sz w:val="18"/>
                <w:szCs w:val="18"/>
                <w:color w:val="auto"/>
              </w:rPr>
              <w:t>9,236</w:t>
            </w:r>
          </w:p>
        </w:tc>
        <w:tc>
          <w:tcPr>
            <w:tcW w:w="140" w:type="dxa"/>
            <w:vAlign w:val="bottom"/>
            <w:shd w:val="clear" w:color="auto" w:fill="EEEEEE"/>
          </w:tcPr>
          <w:p>
            <w:pPr>
              <w:spacing w:after="0"/>
              <w:rPr>
                <w:sz w:val="18"/>
                <w:szCs w:val="18"/>
                <w:color w:val="auto"/>
              </w:rPr>
            </w:pPr>
          </w:p>
        </w:tc>
        <w:tc>
          <w:tcPr>
            <w:tcW w:w="80" w:type="dxa"/>
            <w:vAlign w:val="bottom"/>
            <w:shd w:val="clear" w:color="auto" w:fill="EEEEEE"/>
          </w:tcPr>
          <w:p>
            <w:pPr>
              <w:spacing w:after="0"/>
              <w:rPr>
                <w:sz w:val="18"/>
                <w:szCs w:val="18"/>
                <w:color w:val="auto"/>
              </w:rPr>
            </w:pPr>
          </w:p>
        </w:tc>
        <w:tc>
          <w:tcPr>
            <w:tcW w:w="140" w:type="dxa"/>
            <w:vAlign w:val="bottom"/>
            <w:shd w:val="clear" w:color="auto" w:fill="EEEEEE"/>
          </w:tcPr>
          <w:p>
            <w:pPr>
              <w:spacing w:after="0"/>
              <w:rPr>
                <w:sz w:val="18"/>
                <w:szCs w:val="18"/>
                <w:color w:val="auto"/>
              </w:rPr>
            </w:pPr>
          </w:p>
        </w:tc>
        <w:tc>
          <w:tcPr>
            <w:tcW w:w="1380" w:type="dxa"/>
            <w:vAlign w:val="bottom"/>
            <w:shd w:val="clear" w:color="auto" w:fill="EEEEEE"/>
          </w:tcPr>
          <w:p>
            <w:pPr>
              <w:jc w:val="right"/>
              <w:spacing w:after="0"/>
              <w:rPr>
                <w:sz w:val="20"/>
                <w:szCs w:val="20"/>
                <w:color w:val="auto"/>
              </w:rPr>
            </w:pPr>
            <w:r>
              <w:rPr>
                <w:rFonts w:ascii="Arial" w:cs="Arial" w:eastAsia="Arial" w:hAnsi="Arial"/>
                <w:sz w:val="18"/>
                <w:szCs w:val="18"/>
                <w:color w:val="auto"/>
              </w:rPr>
              <w:t>2,807,516</w:t>
            </w:r>
          </w:p>
        </w:tc>
        <w:tc>
          <w:tcPr>
            <w:tcW w:w="120" w:type="dxa"/>
            <w:vAlign w:val="bottom"/>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6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3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vMerge w:val="continue"/>
          </w:tcPr>
          <w:p>
            <w:pPr>
              <w:spacing w:after="0"/>
              <w:rPr>
                <w:sz w:val="19"/>
                <w:szCs w:val="19"/>
                <w:color w:val="auto"/>
              </w:rPr>
            </w:pPr>
          </w:p>
        </w:tc>
        <w:tc>
          <w:tcPr>
            <w:tcW w:w="6120" w:type="dxa"/>
            <w:vAlign w:val="bottom"/>
            <w:tcBorders>
              <w:bottom w:val="single" w:sz="8" w:color="EEEEEE"/>
            </w:tcBorders>
            <w:shd w:val="clear" w:color="auto" w:fill="EEEEEE"/>
          </w:tcPr>
          <w:p>
            <w:pPr>
              <w:spacing w:after="0"/>
              <w:rPr>
                <w:sz w:val="20"/>
                <w:szCs w:val="20"/>
                <w:color w:val="auto"/>
              </w:rPr>
            </w:pPr>
            <w:r>
              <w:rPr>
                <w:rFonts w:ascii="Arial" w:cs="Arial" w:eastAsia="Arial" w:hAnsi="Arial"/>
                <w:sz w:val="18"/>
                <w:szCs w:val="18"/>
                <w:b w:val="1"/>
                <w:bCs w:val="1"/>
                <w:color w:val="auto"/>
              </w:rPr>
              <w:t>Cash and Cash Equivalents – Beginning</w:t>
            </w:r>
          </w:p>
        </w:tc>
        <w:tc>
          <w:tcPr>
            <w:tcW w:w="220" w:type="dxa"/>
            <w:vAlign w:val="bottom"/>
            <w:tcBorders>
              <w:bottom w:val="single" w:sz="8" w:color="EEEEEE"/>
            </w:tcBorders>
            <w:shd w:val="clear" w:color="auto" w:fill="EEEEEE"/>
          </w:tcPr>
          <w:p>
            <w:pPr>
              <w:spacing w:after="0"/>
              <w:rPr>
                <w:sz w:val="19"/>
                <w:szCs w:val="19"/>
                <w:color w:val="auto"/>
              </w:rPr>
            </w:pPr>
          </w:p>
        </w:tc>
        <w:tc>
          <w:tcPr>
            <w:tcW w:w="140" w:type="dxa"/>
            <w:vAlign w:val="bottom"/>
            <w:tcBorders>
              <w:bottom w:val="single" w:sz="8" w:color="auto"/>
            </w:tcBorders>
            <w:shd w:val="clear" w:color="auto" w:fill="EEEEEE"/>
          </w:tcPr>
          <w:p>
            <w:pPr>
              <w:spacing w:after="0"/>
              <w:rPr>
                <w:sz w:val="19"/>
                <w:szCs w:val="19"/>
                <w:color w:val="auto"/>
              </w:rPr>
            </w:pPr>
          </w:p>
        </w:tc>
        <w:tc>
          <w:tcPr>
            <w:tcW w:w="1360" w:type="dxa"/>
            <w:vAlign w:val="bottom"/>
            <w:tcBorders>
              <w:bottom w:val="single" w:sz="8" w:color="auto"/>
            </w:tcBorders>
            <w:shd w:val="clear" w:color="auto" w:fill="EEEEEE"/>
          </w:tcPr>
          <w:p>
            <w:pPr>
              <w:jc w:val="right"/>
              <w:spacing w:after="0"/>
              <w:rPr>
                <w:sz w:val="20"/>
                <w:szCs w:val="20"/>
                <w:color w:val="auto"/>
              </w:rPr>
            </w:pPr>
            <w:r>
              <w:rPr>
                <w:rFonts w:ascii="Arial" w:cs="Arial" w:eastAsia="Arial" w:hAnsi="Arial"/>
                <w:sz w:val="18"/>
                <w:szCs w:val="18"/>
                <w:color w:val="auto"/>
              </w:rPr>
              <w:t>135,430</w:t>
            </w:r>
          </w:p>
        </w:tc>
        <w:tc>
          <w:tcPr>
            <w:tcW w:w="140" w:type="dxa"/>
            <w:vAlign w:val="bottom"/>
            <w:tcBorders>
              <w:bottom w:val="single" w:sz="8" w:color="EEEEEE"/>
            </w:tcBorders>
            <w:shd w:val="clear" w:color="auto" w:fill="EEEEEE"/>
          </w:tcPr>
          <w:p>
            <w:pPr>
              <w:spacing w:after="0"/>
              <w:rPr>
                <w:sz w:val="19"/>
                <w:szCs w:val="19"/>
                <w:color w:val="auto"/>
              </w:rPr>
            </w:pPr>
          </w:p>
        </w:tc>
        <w:tc>
          <w:tcPr>
            <w:tcW w:w="80" w:type="dxa"/>
            <w:vAlign w:val="bottom"/>
            <w:tcBorders>
              <w:bottom w:val="single" w:sz="8" w:color="EEEEEE"/>
            </w:tcBorders>
            <w:shd w:val="clear" w:color="auto" w:fill="EEEEEE"/>
          </w:tcPr>
          <w:p>
            <w:pPr>
              <w:spacing w:after="0"/>
              <w:rPr>
                <w:sz w:val="19"/>
                <w:szCs w:val="19"/>
                <w:color w:val="auto"/>
              </w:rPr>
            </w:pPr>
          </w:p>
        </w:tc>
        <w:tc>
          <w:tcPr>
            <w:tcW w:w="120" w:type="dxa"/>
            <w:vAlign w:val="bottom"/>
            <w:tcBorders>
              <w:bottom w:val="single" w:sz="8" w:color="auto"/>
            </w:tcBorders>
            <w:shd w:val="clear" w:color="auto" w:fill="EEEEEE"/>
          </w:tcPr>
          <w:p>
            <w:pPr>
              <w:spacing w:after="0"/>
              <w:rPr>
                <w:sz w:val="19"/>
                <w:szCs w:val="19"/>
                <w:color w:val="auto"/>
              </w:rPr>
            </w:pPr>
          </w:p>
        </w:tc>
        <w:tc>
          <w:tcPr>
            <w:tcW w:w="1360" w:type="dxa"/>
            <w:vAlign w:val="bottom"/>
            <w:tcBorders>
              <w:bottom w:val="single" w:sz="8" w:color="auto"/>
            </w:tcBorders>
            <w:shd w:val="clear" w:color="auto" w:fill="EEEEEE"/>
          </w:tcPr>
          <w:p>
            <w:pPr>
              <w:jc w:val="right"/>
              <w:spacing w:after="0"/>
              <w:rPr>
                <w:sz w:val="20"/>
                <w:szCs w:val="20"/>
                <w:color w:val="auto"/>
              </w:rPr>
            </w:pPr>
            <w:r>
              <w:rPr>
                <w:rFonts w:ascii="Arial" w:cs="Arial" w:eastAsia="Arial" w:hAnsi="Arial"/>
                <w:sz w:val="18"/>
                <w:szCs w:val="18"/>
                <w:color w:val="auto"/>
              </w:rPr>
              <w:t>14,643</w:t>
            </w:r>
          </w:p>
        </w:tc>
        <w:tc>
          <w:tcPr>
            <w:tcW w:w="140" w:type="dxa"/>
            <w:vAlign w:val="bottom"/>
            <w:tcBorders>
              <w:bottom w:val="single" w:sz="8" w:color="EEEEEE"/>
            </w:tcBorders>
            <w:shd w:val="clear" w:color="auto" w:fill="EEEEEE"/>
          </w:tcPr>
          <w:p>
            <w:pPr>
              <w:spacing w:after="0"/>
              <w:rPr>
                <w:sz w:val="19"/>
                <w:szCs w:val="19"/>
                <w:color w:val="auto"/>
              </w:rPr>
            </w:pPr>
          </w:p>
        </w:tc>
        <w:tc>
          <w:tcPr>
            <w:tcW w:w="80" w:type="dxa"/>
            <w:vAlign w:val="bottom"/>
            <w:tcBorders>
              <w:bottom w:val="single" w:sz="8" w:color="EEEEEE"/>
            </w:tcBorders>
            <w:shd w:val="clear" w:color="auto" w:fill="EEEEEE"/>
          </w:tcPr>
          <w:p>
            <w:pPr>
              <w:spacing w:after="0"/>
              <w:rPr>
                <w:sz w:val="19"/>
                <w:szCs w:val="19"/>
                <w:color w:val="auto"/>
              </w:rPr>
            </w:pPr>
          </w:p>
        </w:tc>
        <w:tc>
          <w:tcPr>
            <w:tcW w:w="140" w:type="dxa"/>
            <w:vAlign w:val="bottom"/>
            <w:tcBorders>
              <w:bottom w:val="single" w:sz="8" w:color="auto"/>
            </w:tcBorders>
            <w:shd w:val="clear" w:color="auto" w:fill="EEEEEE"/>
          </w:tcPr>
          <w:p>
            <w:pPr>
              <w:spacing w:after="0"/>
              <w:rPr>
                <w:sz w:val="19"/>
                <w:szCs w:val="19"/>
                <w:color w:val="auto"/>
              </w:rPr>
            </w:pPr>
          </w:p>
        </w:tc>
        <w:tc>
          <w:tcPr>
            <w:tcW w:w="1380" w:type="dxa"/>
            <w:vAlign w:val="bottom"/>
            <w:tcBorders>
              <w:bottom w:val="single" w:sz="8" w:color="auto"/>
            </w:tcBorders>
            <w:shd w:val="clear" w:color="auto" w:fill="EEEEEE"/>
          </w:tcPr>
          <w:p>
            <w:pPr>
              <w:jc w:val="right"/>
              <w:spacing w:after="0"/>
              <w:rPr>
                <w:sz w:val="20"/>
                <w:szCs w:val="20"/>
                <w:color w:val="auto"/>
              </w:rPr>
            </w:pPr>
            <w:r>
              <w:rPr>
                <w:rFonts w:ascii="Arial" w:cs="Arial" w:eastAsia="Arial" w:hAnsi="Arial"/>
                <w:sz w:val="18"/>
                <w:szCs w:val="18"/>
                <w:color w:val="auto"/>
              </w:rPr>
              <w:t>-0-</w:t>
            </w:r>
          </w:p>
        </w:tc>
        <w:tc>
          <w:tcPr>
            <w:tcW w:w="120" w:type="dxa"/>
            <w:vAlign w:val="bottom"/>
            <w:tcBorders>
              <w:bottom w:val="single" w:sz="8" w:color="EEEEEE"/>
            </w:tcBorders>
            <w:shd w:val="clear" w:color="auto" w:fill="EEEEEE"/>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6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3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57"/>
        </w:trPr>
        <w:tc>
          <w:tcPr>
            <w:tcW w:w="20" w:type="dxa"/>
            <w:vAlign w:val="bottom"/>
            <w:vMerge w:val="continue"/>
          </w:tcPr>
          <w:p>
            <w:pPr>
              <w:spacing w:after="0"/>
              <w:rPr>
                <w:sz w:val="22"/>
                <w:szCs w:val="22"/>
                <w:color w:val="auto"/>
              </w:rPr>
            </w:pPr>
          </w:p>
        </w:tc>
        <w:tc>
          <w:tcPr>
            <w:tcW w:w="6120" w:type="dxa"/>
            <w:vAlign w:val="bottom"/>
            <w:shd w:val="clear" w:color="auto" w:fill="EEEEEE"/>
          </w:tcPr>
          <w:p>
            <w:pPr>
              <w:spacing w:after="0"/>
              <w:rPr>
                <w:sz w:val="20"/>
                <w:szCs w:val="20"/>
                <w:color w:val="auto"/>
              </w:rPr>
            </w:pPr>
            <w:r>
              <w:rPr>
                <w:rFonts w:ascii="Arial" w:cs="Arial" w:eastAsia="Arial" w:hAnsi="Arial"/>
                <w:sz w:val="18"/>
                <w:szCs w:val="18"/>
                <w:b w:val="1"/>
                <w:bCs w:val="1"/>
                <w:color w:val="auto"/>
              </w:rPr>
              <w:t>Cash and Cash Equivalents – Ending</w:t>
            </w:r>
          </w:p>
        </w:tc>
        <w:tc>
          <w:tcPr>
            <w:tcW w:w="360" w:type="dxa"/>
            <w:vAlign w:val="bottom"/>
            <w:gridSpan w:val="2"/>
            <w:shd w:val="clear" w:color="auto" w:fill="EEEEEE"/>
          </w:tcPr>
          <w:p>
            <w:pPr>
              <w:jc w:val="right"/>
              <w:spacing w:after="0"/>
              <w:rPr>
                <w:sz w:val="20"/>
                <w:szCs w:val="20"/>
                <w:color w:val="auto"/>
              </w:rPr>
            </w:pPr>
            <w:r>
              <w:rPr>
                <w:rFonts w:ascii="Arial" w:cs="Arial" w:eastAsia="Arial" w:hAnsi="Arial"/>
                <w:sz w:val="18"/>
                <w:szCs w:val="18"/>
                <w:color w:val="auto"/>
              </w:rPr>
              <w:t>$</w:t>
            </w:r>
          </w:p>
        </w:tc>
        <w:tc>
          <w:tcPr>
            <w:tcW w:w="1360" w:type="dxa"/>
            <w:vAlign w:val="bottom"/>
            <w:shd w:val="clear" w:color="auto" w:fill="EEEEEE"/>
          </w:tcPr>
          <w:p>
            <w:pPr>
              <w:jc w:val="right"/>
              <w:spacing w:after="0"/>
              <w:rPr>
                <w:sz w:val="20"/>
                <w:szCs w:val="20"/>
                <w:color w:val="auto"/>
              </w:rPr>
            </w:pPr>
            <w:r>
              <w:rPr>
                <w:rFonts w:ascii="Arial" w:cs="Arial" w:eastAsia="Arial" w:hAnsi="Arial"/>
                <w:sz w:val="18"/>
                <w:szCs w:val="18"/>
                <w:color w:val="auto"/>
              </w:rPr>
              <w:t>2,807,520</w:t>
            </w:r>
          </w:p>
        </w:tc>
        <w:tc>
          <w:tcPr>
            <w:tcW w:w="140" w:type="dxa"/>
            <w:vAlign w:val="bottom"/>
            <w:shd w:val="clear" w:color="auto" w:fill="EEEEEE"/>
          </w:tcPr>
          <w:p>
            <w:pPr>
              <w:spacing w:after="0"/>
              <w:rPr>
                <w:sz w:val="22"/>
                <w:szCs w:val="22"/>
                <w:color w:val="auto"/>
              </w:rPr>
            </w:pPr>
          </w:p>
        </w:tc>
        <w:tc>
          <w:tcPr>
            <w:tcW w:w="200" w:type="dxa"/>
            <w:vAlign w:val="bottom"/>
            <w:gridSpan w:val="2"/>
            <w:shd w:val="clear" w:color="auto" w:fill="EEEEEE"/>
          </w:tcPr>
          <w:p>
            <w:pPr>
              <w:jc w:val="right"/>
              <w:ind w:right="40"/>
              <w:spacing w:after="0"/>
              <w:rPr>
                <w:sz w:val="20"/>
                <w:szCs w:val="20"/>
                <w:color w:val="auto"/>
              </w:rPr>
            </w:pPr>
            <w:r>
              <w:rPr>
                <w:rFonts w:ascii="Arial" w:cs="Arial" w:eastAsia="Arial" w:hAnsi="Arial"/>
                <w:sz w:val="18"/>
                <w:szCs w:val="18"/>
                <w:color w:val="auto"/>
              </w:rPr>
              <w:t>$</w:t>
            </w:r>
          </w:p>
        </w:tc>
        <w:tc>
          <w:tcPr>
            <w:tcW w:w="1360" w:type="dxa"/>
            <w:vAlign w:val="bottom"/>
            <w:shd w:val="clear" w:color="auto" w:fill="EEEEEE"/>
          </w:tcPr>
          <w:p>
            <w:pPr>
              <w:jc w:val="right"/>
              <w:spacing w:after="0"/>
              <w:rPr>
                <w:sz w:val="20"/>
                <w:szCs w:val="20"/>
                <w:color w:val="auto"/>
              </w:rPr>
            </w:pPr>
            <w:r>
              <w:rPr>
                <w:rFonts w:ascii="Arial" w:cs="Arial" w:eastAsia="Arial" w:hAnsi="Arial"/>
                <w:sz w:val="18"/>
                <w:szCs w:val="18"/>
                <w:color w:val="auto"/>
              </w:rPr>
              <w:t>23,879</w:t>
            </w:r>
          </w:p>
        </w:tc>
        <w:tc>
          <w:tcPr>
            <w:tcW w:w="140" w:type="dxa"/>
            <w:vAlign w:val="bottom"/>
            <w:shd w:val="clear" w:color="auto" w:fill="EEEEEE"/>
          </w:tcPr>
          <w:p>
            <w:pPr>
              <w:spacing w:after="0"/>
              <w:rPr>
                <w:sz w:val="22"/>
                <w:szCs w:val="22"/>
                <w:color w:val="auto"/>
              </w:rPr>
            </w:pPr>
          </w:p>
        </w:tc>
        <w:tc>
          <w:tcPr>
            <w:tcW w:w="220" w:type="dxa"/>
            <w:vAlign w:val="bottom"/>
            <w:gridSpan w:val="2"/>
            <w:shd w:val="clear" w:color="auto" w:fill="EEEEEE"/>
          </w:tcPr>
          <w:p>
            <w:pPr>
              <w:jc w:val="right"/>
              <w:spacing w:after="0"/>
              <w:rPr>
                <w:sz w:val="20"/>
                <w:szCs w:val="20"/>
                <w:color w:val="auto"/>
              </w:rPr>
            </w:pPr>
            <w:r>
              <w:rPr>
                <w:rFonts w:ascii="Arial" w:cs="Arial" w:eastAsia="Arial" w:hAnsi="Arial"/>
                <w:sz w:val="18"/>
                <w:szCs w:val="18"/>
                <w:color w:val="auto"/>
              </w:rPr>
              <w:t>$</w:t>
            </w:r>
          </w:p>
        </w:tc>
        <w:tc>
          <w:tcPr>
            <w:tcW w:w="1380" w:type="dxa"/>
            <w:vAlign w:val="bottom"/>
            <w:shd w:val="clear" w:color="auto" w:fill="EEEEEE"/>
          </w:tcPr>
          <w:p>
            <w:pPr>
              <w:jc w:val="right"/>
              <w:spacing w:after="0"/>
              <w:rPr>
                <w:sz w:val="20"/>
                <w:szCs w:val="20"/>
                <w:color w:val="auto"/>
              </w:rPr>
            </w:pPr>
            <w:r>
              <w:rPr>
                <w:rFonts w:ascii="Arial" w:cs="Arial" w:eastAsia="Arial" w:hAnsi="Arial"/>
                <w:sz w:val="18"/>
                <w:szCs w:val="18"/>
                <w:color w:val="auto"/>
              </w:rPr>
              <w:t>2,807,520</w:t>
            </w:r>
          </w:p>
        </w:tc>
        <w:tc>
          <w:tcPr>
            <w:tcW w:w="120" w:type="dxa"/>
            <w:vAlign w:val="bottom"/>
            <w:shd w:val="clear" w:color="auto" w:fill="EEEEEE"/>
          </w:tcPr>
          <w:p>
            <w:pPr>
              <w:spacing w:after="0"/>
              <w:rPr>
                <w:sz w:val="22"/>
                <w:szCs w:val="22"/>
                <w:color w:val="auto"/>
              </w:rPr>
            </w:pP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6120" w:type="dxa"/>
            <w:vAlign w:val="bottom"/>
            <w:tcBorders>
              <w:top w:val="single" w:sz="8" w:color="EEEEEE"/>
            </w:tcBorders>
          </w:tcPr>
          <w:p>
            <w:pPr>
              <w:spacing w:after="0"/>
              <w:rPr>
                <w:sz w:val="18"/>
                <w:szCs w:val="18"/>
                <w:color w:val="auto"/>
              </w:rPr>
            </w:pPr>
          </w:p>
        </w:tc>
        <w:tc>
          <w:tcPr>
            <w:tcW w:w="220" w:type="dxa"/>
            <w:vAlign w:val="bottom"/>
            <w:tcBorders>
              <w:top w:val="single" w:sz="8" w:color="EEEEEE"/>
            </w:tcBorders>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1360" w:type="dxa"/>
            <w:vAlign w:val="bottom"/>
            <w:tcBorders>
              <w:top w:val="single" w:sz="8" w:color="auto"/>
            </w:tcBorders>
          </w:tcPr>
          <w:p>
            <w:pPr>
              <w:spacing w:after="0"/>
              <w:rPr>
                <w:sz w:val="18"/>
                <w:szCs w:val="18"/>
                <w:color w:val="auto"/>
              </w:rPr>
            </w:pPr>
          </w:p>
        </w:tc>
        <w:tc>
          <w:tcPr>
            <w:tcW w:w="140" w:type="dxa"/>
            <w:vAlign w:val="bottom"/>
            <w:tcBorders>
              <w:top w:val="single" w:sz="8" w:color="EEEEEE"/>
            </w:tcBorders>
          </w:tcPr>
          <w:p>
            <w:pPr>
              <w:spacing w:after="0"/>
              <w:rPr>
                <w:sz w:val="18"/>
                <w:szCs w:val="18"/>
                <w:color w:val="auto"/>
              </w:rPr>
            </w:pPr>
          </w:p>
        </w:tc>
        <w:tc>
          <w:tcPr>
            <w:tcW w:w="80" w:type="dxa"/>
            <w:vAlign w:val="bottom"/>
            <w:tcBorders>
              <w:top w:val="single" w:sz="8" w:color="EEEEEE"/>
            </w:tcBorders>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1360" w:type="dxa"/>
            <w:vAlign w:val="bottom"/>
            <w:tcBorders>
              <w:top w:val="single" w:sz="8" w:color="auto"/>
            </w:tcBorders>
          </w:tcPr>
          <w:p>
            <w:pPr>
              <w:spacing w:after="0"/>
              <w:rPr>
                <w:sz w:val="18"/>
                <w:szCs w:val="18"/>
                <w:color w:val="auto"/>
              </w:rPr>
            </w:pPr>
          </w:p>
        </w:tc>
        <w:tc>
          <w:tcPr>
            <w:tcW w:w="140" w:type="dxa"/>
            <w:vAlign w:val="bottom"/>
            <w:tcBorders>
              <w:top w:val="single" w:sz="8" w:color="EEEEEE"/>
            </w:tcBorders>
          </w:tcPr>
          <w:p>
            <w:pPr>
              <w:spacing w:after="0"/>
              <w:rPr>
                <w:sz w:val="18"/>
                <w:szCs w:val="18"/>
                <w:color w:val="auto"/>
              </w:rPr>
            </w:pPr>
          </w:p>
        </w:tc>
        <w:tc>
          <w:tcPr>
            <w:tcW w:w="80" w:type="dxa"/>
            <w:vAlign w:val="bottom"/>
            <w:tcBorders>
              <w:top w:val="single" w:sz="8" w:color="EEEEEE"/>
            </w:tcBorders>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1380" w:type="dxa"/>
            <w:vAlign w:val="bottom"/>
            <w:tcBorders>
              <w:top w:val="single" w:sz="8" w:color="auto"/>
            </w:tcBorders>
          </w:tcPr>
          <w:p>
            <w:pPr>
              <w:spacing w:after="0"/>
              <w:rPr>
                <w:sz w:val="18"/>
                <w:szCs w:val="18"/>
                <w:color w:val="auto"/>
              </w:rPr>
            </w:pPr>
          </w:p>
        </w:tc>
        <w:tc>
          <w:tcPr>
            <w:tcW w:w="120" w:type="dxa"/>
            <w:vAlign w:val="bottom"/>
            <w:tcBorders>
              <w:top w:val="single" w:sz="8" w:color="EEEEEE"/>
            </w:tcBorders>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120" w:type="dxa"/>
            <w:vAlign w:val="bottom"/>
            <w:shd w:val="clear" w:color="auto" w:fill="EEEEEE"/>
          </w:tcPr>
          <w:p>
            <w:pPr>
              <w:spacing w:after="0"/>
              <w:rPr>
                <w:sz w:val="20"/>
                <w:szCs w:val="20"/>
                <w:color w:val="auto"/>
              </w:rPr>
            </w:pPr>
            <w:r>
              <w:rPr>
                <w:rFonts w:ascii="Arial" w:cs="Arial" w:eastAsia="Arial" w:hAnsi="Arial"/>
                <w:sz w:val="18"/>
                <w:szCs w:val="18"/>
                <w:b w:val="1"/>
                <w:bCs w:val="1"/>
                <w:color w:val="auto"/>
              </w:rPr>
              <w:t>Supplemental Cash Flow Information:</w:t>
            </w:r>
          </w:p>
        </w:tc>
        <w:tc>
          <w:tcPr>
            <w:tcW w:w="220" w:type="dxa"/>
            <w:vAlign w:val="bottom"/>
            <w:shd w:val="clear" w:color="auto" w:fill="EEEEEE"/>
          </w:tcPr>
          <w:p>
            <w:pPr>
              <w:spacing w:after="0"/>
              <w:rPr>
                <w:sz w:val="18"/>
                <w:szCs w:val="18"/>
                <w:color w:val="auto"/>
              </w:rPr>
            </w:pPr>
          </w:p>
        </w:tc>
        <w:tc>
          <w:tcPr>
            <w:tcW w:w="140" w:type="dxa"/>
            <w:vAlign w:val="bottom"/>
            <w:shd w:val="clear" w:color="auto" w:fill="EEEEEE"/>
          </w:tcPr>
          <w:p>
            <w:pPr>
              <w:spacing w:after="0"/>
              <w:rPr>
                <w:sz w:val="18"/>
                <w:szCs w:val="18"/>
                <w:color w:val="auto"/>
              </w:rPr>
            </w:pPr>
          </w:p>
        </w:tc>
        <w:tc>
          <w:tcPr>
            <w:tcW w:w="1360" w:type="dxa"/>
            <w:vAlign w:val="bottom"/>
            <w:shd w:val="clear" w:color="auto" w:fill="EEEEEE"/>
          </w:tcPr>
          <w:p>
            <w:pPr>
              <w:spacing w:after="0"/>
              <w:rPr>
                <w:sz w:val="18"/>
                <w:szCs w:val="18"/>
                <w:color w:val="auto"/>
              </w:rPr>
            </w:pPr>
          </w:p>
        </w:tc>
        <w:tc>
          <w:tcPr>
            <w:tcW w:w="140" w:type="dxa"/>
            <w:vAlign w:val="bottom"/>
            <w:shd w:val="clear" w:color="auto" w:fill="EEEEEE"/>
          </w:tcPr>
          <w:p>
            <w:pPr>
              <w:spacing w:after="0"/>
              <w:rPr>
                <w:sz w:val="18"/>
                <w:szCs w:val="18"/>
                <w:color w:val="auto"/>
              </w:rPr>
            </w:pPr>
          </w:p>
        </w:tc>
        <w:tc>
          <w:tcPr>
            <w:tcW w:w="80" w:type="dxa"/>
            <w:vAlign w:val="bottom"/>
            <w:shd w:val="clear" w:color="auto" w:fill="EEEEEE"/>
          </w:tcPr>
          <w:p>
            <w:pPr>
              <w:spacing w:after="0"/>
              <w:rPr>
                <w:sz w:val="18"/>
                <w:szCs w:val="18"/>
                <w:color w:val="auto"/>
              </w:rPr>
            </w:pPr>
          </w:p>
        </w:tc>
        <w:tc>
          <w:tcPr>
            <w:tcW w:w="120" w:type="dxa"/>
            <w:vAlign w:val="bottom"/>
            <w:shd w:val="clear" w:color="auto" w:fill="EEEEEE"/>
          </w:tcPr>
          <w:p>
            <w:pPr>
              <w:spacing w:after="0"/>
              <w:rPr>
                <w:sz w:val="18"/>
                <w:szCs w:val="18"/>
                <w:color w:val="auto"/>
              </w:rPr>
            </w:pPr>
          </w:p>
        </w:tc>
        <w:tc>
          <w:tcPr>
            <w:tcW w:w="1360" w:type="dxa"/>
            <w:vAlign w:val="bottom"/>
            <w:shd w:val="clear" w:color="auto" w:fill="EEEEEE"/>
          </w:tcPr>
          <w:p>
            <w:pPr>
              <w:spacing w:after="0"/>
              <w:rPr>
                <w:sz w:val="18"/>
                <w:szCs w:val="18"/>
                <w:color w:val="auto"/>
              </w:rPr>
            </w:pPr>
          </w:p>
        </w:tc>
        <w:tc>
          <w:tcPr>
            <w:tcW w:w="140" w:type="dxa"/>
            <w:vAlign w:val="bottom"/>
            <w:shd w:val="clear" w:color="auto" w:fill="EEEEEE"/>
          </w:tcPr>
          <w:p>
            <w:pPr>
              <w:spacing w:after="0"/>
              <w:rPr>
                <w:sz w:val="18"/>
                <w:szCs w:val="18"/>
                <w:color w:val="auto"/>
              </w:rPr>
            </w:pPr>
          </w:p>
        </w:tc>
        <w:tc>
          <w:tcPr>
            <w:tcW w:w="80" w:type="dxa"/>
            <w:vAlign w:val="bottom"/>
            <w:shd w:val="clear" w:color="auto" w:fill="EEEEEE"/>
          </w:tcPr>
          <w:p>
            <w:pPr>
              <w:spacing w:after="0"/>
              <w:rPr>
                <w:sz w:val="18"/>
                <w:szCs w:val="18"/>
                <w:color w:val="auto"/>
              </w:rPr>
            </w:pPr>
          </w:p>
        </w:tc>
        <w:tc>
          <w:tcPr>
            <w:tcW w:w="140" w:type="dxa"/>
            <w:vAlign w:val="bottom"/>
            <w:shd w:val="clear" w:color="auto" w:fill="EEEEEE"/>
          </w:tcPr>
          <w:p>
            <w:pPr>
              <w:spacing w:after="0"/>
              <w:rPr>
                <w:sz w:val="18"/>
                <w:szCs w:val="18"/>
                <w:color w:val="auto"/>
              </w:rPr>
            </w:pPr>
          </w:p>
        </w:tc>
        <w:tc>
          <w:tcPr>
            <w:tcW w:w="1380" w:type="dxa"/>
            <w:vAlign w:val="bottom"/>
            <w:shd w:val="clear" w:color="auto" w:fill="EEEEEE"/>
          </w:tcPr>
          <w:p>
            <w:pPr>
              <w:spacing w:after="0"/>
              <w:rPr>
                <w:sz w:val="18"/>
                <w:szCs w:val="18"/>
                <w:color w:val="auto"/>
              </w:rPr>
            </w:pPr>
          </w:p>
        </w:tc>
        <w:tc>
          <w:tcPr>
            <w:tcW w:w="120" w:type="dxa"/>
            <w:vAlign w:val="bottom"/>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120" w:type="dxa"/>
            <w:vAlign w:val="bottom"/>
          </w:tcPr>
          <w:p>
            <w:pPr>
              <w:ind w:left="160"/>
              <w:spacing w:after="0"/>
              <w:rPr>
                <w:sz w:val="20"/>
                <w:szCs w:val="20"/>
                <w:color w:val="auto"/>
              </w:rPr>
            </w:pPr>
            <w:r>
              <w:rPr>
                <w:rFonts w:ascii="Arial" w:cs="Arial" w:eastAsia="Arial" w:hAnsi="Arial"/>
                <w:sz w:val="18"/>
                <w:szCs w:val="18"/>
                <w:color w:val="auto"/>
              </w:rPr>
              <w:t>Cash Paid for Interest</w:t>
            </w:r>
          </w:p>
        </w:tc>
        <w:tc>
          <w:tcPr>
            <w:tcW w:w="3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360" w:type="dxa"/>
            <w:vAlign w:val="bottom"/>
          </w:tcPr>
          <w:p>
            <w:pPr>
              <w:jc w:val="right"/>
              <w:spacing w:after="0"/>
              <w:rPr>
                <w:sz w:val="20"/>
                <w:szCs w:val="20"/>
                <w:color w:val="auto"/>
              </w:rPr>
            </w:pPr>
            <w:r>
              <w:rPr>
                <w:rFonts w:ascii="Arial" w:cs="Arial" w:eastAsia="Arial" w:hAnsi="Arial"/>
                <w:sz w:val="18"/>
                <w:szCs w:val="18"/>
                <w:color w:val="auto"/>
              </w:rPr>
              <w:t>1,072</w:t>
            </w:r>
          </w:p>
        </w:tc>
        <w:tc>
          <w:tcPr>
            <w:tcW w:w="140" w:type="dxa"/>
            <w:vAlign w:val="bottom"/>
          </w:tcPr>
          <w:p>
            <w:pPr>
              <w:spacing w:after="0"/>
              <w:rPr>
                <w:sz w:val="18"/>
                <w:szCs w:val="18"/>
                <w:color w:val="auto"/>
              </w:rPr>
            </w:pPr>
          </w:p>
        </w:tc>
        <w:tc>
          <w:tcPr>
            <w:tcW w:w="200" w:type="dxa"/>
            <w:vAlign w:val="bottom"/>
            <w:gridSpan w:val="2"/>
          </w:tcPr>
          <w:p>
            <w:pPr>
              <w:jc w:val="right"/>
              <w:ind w:right="40"/>
              <w:spacing w:after="0"/>
              <w:rPr>
                <w:sz w:val="20"/>
                <w:szCs w:val="20"/>
                <w:color w:val="auto"/>
              </w:rPr>
            </w:pPr>
            <w:r>
              <w:rPr>
                <w:rFonts w:ascii="Arial" w:cs="Arial" w:eastAsia="Arial" w:hAnsi="Arial"/>
                <w:sz w:val="18"/>
                <w:szCs w:val="18"/>
                <w:color w:val="auto"/>
              </w:rPr>
              <w:t>$</w:t>
            </w:r>
          </w:p>
        </w:tc>
        <w:tc>
          <w:tcPr>
            <w:tcW w:w="1360" w:type="dxa"/>
            <w:vAlign w:val="bottom"/>
          </w:tcPr>
          <w:p>
            <w:pPr>
              <w:jc w:val="right"/>
              <w:spacing w:after="0"/>
              <w:rPr>
                <w:sz w:val="20"/>
                <w:szCs w:val="20"/>
                <w:color w:val="auto"/>
              </w:rPr>
            </w:pPr>
            <w:r>
              <w:rPr>
                <w:rFonts w:ascii="Arial" w:cs="Arial" w:eastAsia="Arial" w:hAnsi="Arial"/>
                <w:sz w:val="18"/>
                <w:szCs w:val="18"/>
                <w:color w:val="auto"/>
              </w:rPr>
              <w:t>0</w:t>
            </w:r>
          </w:p>
        </w:tc>
        <w:tc>
          <w:tcPr>
            <w:tcW w:w="140" w:type="dxa"/>
            <w:vAlign w:val="bottom"/>
          </w:tcPr>
          <w:p>
            <w:pPr>
              <w:spacing w:after="0"/>
              <w:rPr>
                <w:sz w:val="18"/>
                <w:szCs w:val="18"/>
                <w:color w:val="auto"/>
              </w:rPr>
            </w:pPr>
          </w:p>
        </w:tc>
        <w:tc>
          <w:tcPr>
            <w:tcW w:w="2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380" w:type="dxa"/>
            <w:vAlign w:val="bottom"/>
          </w:tcPr>
          <w:p>
            <w:pPr>
              <w:jc w:val="right"/>
              <w:spacing w:after="0"/>
              <w:rPr>
                <w:sz w:val="20"/>
                <w:szCs w:val="20"/>
                <w:color w:val="auto"/>
              </w:rPr>
            </w:pPr>
            <w:r>
              <w:rPr>
                <w:rFonts w:ascii="Arial" w:cs="Arial" w:eastAsia="Arial" w:hAnsi="Arial"/>
                <w:sz w:val="18"/>
                <w:szCs w:val="18"/>
                <w:color w:val="auto"/>
              </w:rPr>
              <w:t>5,525</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61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36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36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3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50"/>
        </w:trPr>
        <w:tc>
          <w:tcPr>
            <w:tcW w:w="20" w:type="dxa"/>
            <w:vAlign w:val="bottom"/>
          </w:tcPr>
          <w:p>
            <w:pPr>
              <w:spacing w:after="0"/>
              <w:rPr>
                <w:sz w:val="21"/>
                <w:szCs w:val="21"/>
                <w:color w:val="auto"/>
              </w:rPr>
            </w:pPr>
          </w:p>
        </w:tc>
        <w:tc>
          <w:tcPr>
            <w:tcW w:w="6120" w:type="dxa"/>
            <w:vAlign w:val="bottom"/>
            <w:shd w:val="clear" w:color="auto" w:fill="EEEEEE"/>
          </w:tcPr>
          <w:p>
            <w:pPr>
              <w:ind w:left="160"/>
              <w:spacing w:after="0"/>
              <w:rPr>
                <w:sz w:val="20"/>
                <w:szCs w:val="20"/>
                <w:color w:val="auto"/>
              </w:rPr>
            </w:pPr>
            <w:r>
              <w:rPr>
                <w:rFonts w:ascii="Arial" w:cs="Arial" w:eastAsia="Arial" w:hAnsi="Arial"/>
                <w:sz w:val="18"/>
                <w:szCs w:val="18"/>
                <w:color w:val="auto"/>
              </w:rPr>
              <w:t>Cash Paid for Income Taxes</w:t>
            </w:r>
          </w:p>
        </w:tc>
        <w:tc>
          <w:tcPr>
            <w:tcW w:w="360" w:type="dxa"/>
            <w:vAlign w:val="bottom"/>
            <w:gridSpan w:val="2"/>
            <w:shd w:val="clear" w:color="auto" w:fill="EEEEEE"/>
          </w:tcPr>
          <w:p>
            <w:pPr>
              <w:jc w:val="right"/>
              <w:spacing w:after="0"/>
              <w:rPr>
                <w:sz w:val="20"/>
                <w:szCs w:val="20"/>
                <w:color w:val="auto"/>
              </w:rPr>
            </w:pPr>
            <w:r>
              <w:rPr>
                <w:rFonts w:ascii="Arial" w:cs="Arial" w:eastAsia="Arial" w:hAnsi="Arial"/>
                <w:sz w:val="18"/>
                <w:szCs w:val="18"/>
                <w:color w:val="auto"/>
              </w:rPr>
              <w:t>$</w:t>
            </w:r>
          </w:p>
        </w:tc>
        <w:tc>
          <w:tcPr>
            <w:tcW w:w="1360" w:type="dxa"/>
            <w:vAlign w:val="bottom"/>
            <w:shd w:val="clear" w:color="auto" w:fill="EEEEEE"/>
          </w:tcPr>
          <w:p>
            <w:pPr>
              <w:jc w:val="right"/>
              <w:spacing w:after="0"/>
              <w:rPr>
                <w:sz w:val="20"/>
                <w:szCs w:val="20"/>
                <w:color w:val="auto"/>
              </w:rPr>
            </w:pPr>
            <w:r>
              <w:rPr>
                <w:rFonts w:ascii="Arial" w:cs="Arial" w:eastAsia="Arial" w:hAnsi="Arial"/>
                <w:sz w:val="18"/>
                <w:szCs w:val="18"/>
                <w:color w:val="auto"/>
              </w:rPr>
              <w:t>0</w:t>
            </w:r>
          </w:p>
        </w:tc>
        <w:tc>
          <w:tcPr>
            <w:tcW w:w="140" w:type="dxa"/>
            <w:vAlign w:val="bottom"/>
            <w:shd w:val="clear" w:color="auto" w:fill="EEEEEE"/>
          </w:tcPr>
          <w:p>
            <w:pPr>
              <w:spacing w:after="0"/>
              <w:rPr>
                <w:sz w:val="21"/>
                <w:szCs w:val="21"/>
                <w:color w:val="auto"/>
              </w:rPr>
            </w:pPr>
          </w:p>
        </w:tc>
        <w:tc>
          <w:tcPr>
            <w:tcW w:w="200" w:type="dxa"/>
            <w:vAlign w:val="bottom"/>
            <w:gridSpan w:val="2"/>
            <w:shd w:val="clear" w:color="auto" w:fill="EEEEEE"/>
          </w:tcPr>
          <w:p>
            <w:pPr>
              <w:jc w:val="right"/>
              <w:ind w:right="40"/>
              <w:spacing w:after="0"/>
              <w:rPr>
                <w:sz w:val="20"/>
                <w:szCs w:val="20"/>
                <w:color w:val="auto"/>
              </w:rPr>
            </w:pPr>
            <w:r>
              <w:rPr>
                <w:rFonts w:ascii="Arial" w:cs="Arial" w:eastAsia="Arial" w:hAnsi="Arial"/>
                <w:sz w:val="18"/>
                <w:szCs w:val="18"/>
                <w:color w:val="auto"/>
              </w:rPr>
              <w:t>$</w:t>
            </w:r>
          </w:p>
        </w:tc>
        <w:tc>
          <w:tcPr>
            <w:tcW w:w="1360" w:type="dxa"/>
            <w:vAlign w:val="bottom"/>
            <w:shd w:val="clear" w:color="auto" w:fill="EEEEEE"/>
          </w:tcPr>
          <w:p>
            <w:pPr>
              <w:jc w:val="right"/>
              <w:spacing w:after="0"/>
              <w:rPr>
                <w:sz w:val="20"/>
                <w:szCs w:val="20"/>
                <w:color w:val="auto"/>
              </w:rPr>
            </w:pPr>
            <w:r>
              <w:rPr>
                <w:rFonts w:ascii="Arial" w:cs="Arial" w:eastAsia="Arial" w:hAnsi="Arial"/>
                <w:sz w:val="18"/>
                <w:szCs w:val="18"/>
                <w:color w:val="auto"/>
              </w:rPr>
              <w:t>0</w:t>
            </w:r>
          </w:p>
        </w:tc>
        <w:tc>
          <w:tcPr>
            <w:tcW w:w="140" w:type="dxa"/>
            <w:vAlign w:val="bottom"/>
            <w:shd w:val="clear" w:color="auto" w:fill="EEEEEE"/>
          </w:tcPr>
          <w:p>
            <w:pPr>
              <w:spacing w:after="0"/>
              <w:rPr>
                <w:sz w:val="21"/>
                <w:szCs w:val="21"/>
                <w:color w:val="auto"/>
              </w:rPr>
            </w:pPr>
          </w:p>
        </w:tc>
        <w:tc>
          <w:tcPr>
            <w:tcW w:w="220" w:type="dxa"/>
            <w:vAlign w:val="bottom"/>
            <w:gridSpan w:val="2"/>
            <w:shd w:val="clear" w:color="auto" w:fill="EEEEEE"/>
          </w:tcPr>
          <w:p>
            <w:pPr>
              <w:jc w:val="right"/>
              <w:spacing w:after="0"/>
              <w:rPr>
                <w:sz w:val="20"/>
                <w:szCs w:val="20"/>
                <w:color w:val="auto"/>
              </w:rPr>
            </w:pPr>
            <w:r>
              <w:rPr>
                <w:rFonts w:ascii="Arial" w:cs="Arial" w:eastAsia="Arial" w:hAnsi="Arial"/>
                <w:sz w:val="18"/>
                <w:szCs w:val="18"/>
                <w:color w:val="auto"/>
              </w:rPr>
              <w:t>$</w:t>
            </w:r>
          </w:p>
        </w:tc>
        <w:tc>
          <w:tcPr>
            <w:tcW w:w="1380" w:type="dxa"/>
            <w:vAlign w:val="bottom"/>
            <w:shd w:val="clear" w:color="auto" w:fill="EEEEEE"/>
          </w:tcPr>
          <w:p>
            <w:pPr>
              <w:jc w:val="right"/>
              <w:spacing w:after="0"/>
              <w:rPr>
                <w:sz w:val="20"/>
                <w:szCs w:val="20"/>
                <w:color w:val="auto"/>
              </w:rPr>
            </w:pPr>
            <w:r>
              <w:rPr>
                <w:rFonts w:ascii="Arial" w:cs="Arial" w:eastAsia="Arial" w:hAnsi="Arial"/>
                <w:sz w:val="18"/>
                <w:szCs w:val="18"/>
                <w:color w:val="auto"/>
              </w:rPr>
              <w:t>-0-</w:t>
            </w:r>
          </w:p>
        </w:tc>
        <w:tc>
          <w:tcPr>
            <w:tcW w:w="120" w:type="dxa"/>
            <w:vAlign w:val="bottom"/>
            <w:shd w:val="clear" w:color="auto" w:fill="EEEEEE"/>
          </w:tcPr>
          <w:p>
            <w:pPr>
              <w:spacing w:after="0"/>
              <w:rPr>
                <w:sz w:val="21"/>
                <w:szCs w:val="21"/>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6120" w:type="dxa"/>
            <w:vAlign w:val="bottom"/>
            <w:tcBorders>
              <w:top w:val="single" w:sz="8" w:color="EEEEEE"/>
            </w:tcBorders>
          </w:tcPr>
          <w:p>
            <w:pPr>
              <w:spacing w:after="0"/>
              <w:rPr>
                <w:sz w:val="20"/>
                <w:szCs w:val="20"/>
                <w:color w:val="auto"/>
              </w:rPr>
            </w:pPr>
            <w:r>
              <w:rPr>
                <w:rFonts w:ascii="Arial" w:cs="Arial" w:eastAsia="Arial" w:hAnsi="Arial"/>
                <w:sz w:val="18"/>
                <w:szCs w:val="18"/>
                <w:b w:val="1"/>
                <w:bCs w:val="1"/>
                <w:color w:val="auto"/>
                <w:w w:val="98"/>
              </w:rPr>
              <w:t>Supplemental Disclosure of Noncash Investing and Financing Activities:</w:t>
            </w:r>
          </w:p>
        </w:tc>
        <w:tc>
          <w:tcPr>
            <w:tcW w:w="220" w:type="dxa"/>
            <w:vAlign w:val="bottom"/>
            <w:tcBorders>
              <w:top w:val="single" w:sz="8" w:color="EEEEEE"/>
            </w:tcBorders>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1360" w:type="dxa"/>
            <w:vAlign w:val="bottom"/>
            <w:tcBorders>
              <w:top w:val="single" w:sz="8" w:color="auto"/>
            </w:tcBorders>
          </w:tcPr>
          <w:p>
            <w:pPr>
              <w:spacing w:after="0"/>
              <w:rPr>
                <w:sz w:val="18"/>
                <w:szCs w:val="18"/>
                <w:color w:val="auto"/>
              </w:rPr>
            </w:pPr>
          </w:p>
        </w:tc>
        <w:tc>
          <w:tcPr>
            <w:tcW w:w="140" w:type="dxa"/>
            <w:vAlign w:val="bottom"/>
            <w:tcBorders>
              <w:top w:val="single" w:sz="8" w:color="EEEEEE"/>
            </w:tcBorders>
          </w:tcPr>
          <w:p>
            <w:pPr>
              <w:spacing w:after="0"/>
              <w:rPr>
                <w:sz w:val="18"/>
                <w:szCs w:val="18"/>
                <w:color w:val="auto"/>
              </w:rPr>
            </w:pPr>
          </w:p>
        </w:tc>
        <w:tc>
          <w:tcPr>
            <w:tcW w:w="80" w:type="dxa"/>
            <w:vAlign w:val="bottom"/>
            <w:tcBorders>
              <w:top w:val="single" w:sz="8" w:color="EEEEEE"/>
            </w:tcBorders>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1360" w:type="dxa"/>
            <w:vAlign w:val="bottom"/>
            <w:tcBorders>
              <w:top w:val="single" w:sz="8" w:color="auto"/>
            </w:tcBorders>
          </w:tcPr>
          <w:p>
            <w:pPr>
              <w:spacing w:after="0"/>
              <w:rPr>
                <w:sz w:val="18"/>
                <w:szCs w:val="18"/>
                <w:color w:val="auto"/>
              </w:rPr>
            </w:pPr>
          </w:p>
        </w:tc>
        <w:tc>
          <w:tcPr>
            <w:tcW w:w="140" w:type="dxa"/>
            <w:vAlign w:val="bottom"/>
            <w:tcBorders>
              <w:top w:val="single" w:sz="8" w:color="EEEEEE"/>
            </w:tcBorders>
          </w:tcPr>
          <w:p>
            <w:pPr>
              <w:spacing w:after="0"/>
              <w:rPr>
                <w:sz w:val="18"/>
                <w:szCs w:val="18"/>
                <w:color w:val="auto"/>
              </w:rPr>
            </w:pPr>
          </w:p>
        </w:tc>
        <w:tc>
          <w:tcPr>
            <w:tcW w:w="80" w:type="dxa"/>
            <w:vAlign w:val="bottom"/>
            <w:tcBorders>
              <w:top w:val="single" w:sz="8" w:color="EEEEEE"/>
            </w:tcBorders>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1380" w:type="dxa"/>
            <w:vAlign w:val="bottom"/>
            <w:tcBorders>
              <w:top w:val="single" w:sz="8" w:color="auto"/>
            </w:tcBorders>
          </w:tcPr>
          <w:p>
            <w:pPr>
              <w:spacing w:after="0"/>
              <w:rPr>
                <w:sz w:val="18"/>
                <w:szCs w:val="18"/>
                <w:color w:val="auto"/>
              </w:rPr>
            </w:pPr>
          </w:p>
        </w:tc>
        <w:tc>
          <w:tcPr>
            <w:tcW w:w="120" w:type="dxa"/>
            <w:vAlign w:val="bottom"/>
            <w:tcBorders>
              <w:top w:val="single" w:sz="8" w:color="EEEEEE"/>
            </w:tcBorders>
          </w:tcPr>
          <w:p>
            <w:pPr>
              <w:spacing w:after="0"/>
              <w:rPr>
                <w:sz w:val="18"/>
                <w:szCs w:val="18"/>
                <w:color w:val="auto"/>
              </w:rPr>
            </w:pP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6120" w:type="dxa"/>
            <w:vAlign w:val="bottom"/>
            <w:shd w:val="clear" w:color="auto" w:fill="EEEEEE"/>
          </w:tcPr>
          <w:p>
            <w:pPr>
              <w:ind w:left="160"/>
              <w:spacing w:after="0"/>
              <w:rPr>
                <w:sz w:val="20"/>
                <w:szCs w:val="20"/>
                <w:color w:val="auto"/>
              </w:rPr>
            </w:pPr>
            <w:r>
              <w:rPr>
                <w:rFonts w:ascii="Arial" w:cs="Arial" w:eastAsia="Arial" w:hAnsi="Arial"/>
                <w:sz w:val="18"/>
                <w:szCs w:val="18"/>
                <w:color w:val="auto"/>
              </w:rPr>
              <w:t>Distributions paid through issuance of notes payable-related party</w:t>
            </w:r>
          </w:p>
        </w:tc>
        <w:tc>
          <w:tcPr>
            <w:tcW w:w="220" w:type="dxa"/>
            <w:vAlign w:val="bottom"/>
            <w:shd w:val="clear" w:color="auto" w:fill="EEEEEE"/>
          </w:tcPr>
          <w:p>
            <w:pPr>
              <w:spacing w:after="0"/>
              <w:rPr>
                <w:sz w:val="20"/>
                <w:szCs w:val="20"/>
                <w:color w:val="auto"/>
              </w:rPr>
            </w:pPr>
          </w:p>
        </w:tc>
        <w:tc>
          <w:tcPr>
            <w:tcW w:w="140" w:type="dxa"/>
            <w:vAlign w:val="bottom"/>
            <w:shd w:val="clear" w:color="auto" w:fill="EEEEEE"/>
          </w:tcPr>
          <w:p>
            <w:pPr>
              <w:jc w:val="right"/>
              <w:spacing w:after="0"/>
              <w:rPr>
                <w:sz w:val="20"/>
                <w:szCs w:val="20"/>
                <w:color w:val="auto"/>
              </w:rPr>
            </w:pPr>
            <w:r>
              <w:rPr>
                <w:rFonts w:ascii="Arial" w:cs="Arial" w:eastAsia="Arial" w:hAnsi="Arial"/>
                <w:sz w:val="18"/>
                <w:szCs w:val="18"/>
                <w:color w:val="auto"/>
                <w:w w:val="79"/>
              </w:rPr>
              <w:t>$</w:t>
            </w:r>
          </w:p>
        </w:tc>
        <w:tc>
          <w:tcPr>
            <w:tcW w:w="1360" w:type="dxa"/>
            <w:vAlign w:val="bottom"/>
            <w:shd w:val="clear" w:color="auto" w:fill="EEEEEE"/>
          </w:tcPr>
          <w:p>
            <w:pPr>
              <w:jc w:val="right"/>
              <w:spacing w:after="0"/>
              <w:rPr>
                <w:sz w:val="20"/>
                <w:szCs w:val="20"/>
                <w:color w:val="auto"/>
              </w:rPr>
            </w:pPr>
            <w:r>
              <w:rPr>
                <w:rFonts w:ascii="Arial" w:cs="Arial" w:eastAsia="Arial" w:hAnsi="Arial"/>
                <w:sz w:val="18"/>
                <w:szCs w:val="18"/>
                <w:color w:val="auto"/>
              </w:rPr>
              <w:t>0</w:t>
            </w:r>
          </w:p>
        </w:tc>
        <w:tc>
          <w:tcPr>
            <w:tcW w:w="140" w:type="dxa"/>
            <w:vAlign w:val="bottom"/>
            <w:shd w:val="clear" w:color="auto" w:fill="EEEEEE"/>
          </w:tcPr>
          <w:p>
            <w:pPr>
              <w:spacing w:after="0"/>
              <w:rPr>
                <w:sz w:val="20"/>
                <w:szCs w:val="20"/>
                <w:color w:val="auto"/>
              </w:rPr>
            </w:pPr>
          </w:p>
        </w:tc>
        <w:tc>
          <w:tcPr>
            <w:tcW w:w="200" w:type="dxa"/>
            <w:vAlign w:val="bottom"/>
            <w:gridSpan w:val="2"/>
            <w:shd w:val="clear" w:color="auto" w:fill="EEEEEE"/>
          </w:tcPr>
          <w:p>
            <w:pPr>
              <w:jc w:val="right"/>
              <w:ind w:right="40"/>
              <w:spacing w:after="0"/>
              <w:rPr>
                <w:sz w:val="20"/>
                <w:szCs w:val="20"/>
                <w:color w:val="auto"/>
              </w:rPr>
            </w:pPr>
            <w:r>
              <w:rPr>
                <w:rFonts w:ascii="Arial" w:cs="Arial" w:eastAsia="Arial" w:hAnsi="Arial"/>
                <w:sz w:val="18"/>
                <w:szCs w:val="18"/>
                <w:color w:val="auto"/>
              </w:rPr>
              <w:t>$</w:t>
            </w:r>
          </w:p>
        </w:tc>
        <w:tc>
          <w:tcPr>
            <w:tcW w:w="1360" w:type="dxa"/>
            <w:vAlign w:val="bottom"/>
            <w:shd w:val="clear" w:color="auto" w:fill="EEEEEE"/>
          </w:tcPr>
          <w:p>
            <w:pPr>
              <w:jc w:val="right"/>
              <w:spacing w:after="0"/>
              <w:rPr>
                <w:sz w:val="20"/>
                <w:szCs w:val="20"/>
                <w:color w:val="auto"/>
              </w:rPr>
            </w:pPr>
            <w:r>
              <w:rPr>
                <w:rFonts w:ascii="Arial" w:cs="Arial" w:eastAsia="Arial" w:hAnsi="Arial"/>
                <w:sz w:val="18"/>
                <w:szCs w:val="18"/>
                <w:color w:val="auto"/>
              </w:rPr>
              <w:t>0</w:t>
            </w:r>
          </w:p>
        </w:tc>
        <w:tc>
          <w:tcPr>
            <w:tcW w:w="140" w:type="dxa"/>
            <w:vAlign w:val="bottom"/>
            <w:shd w:val="clear" w:color="auto" w:fill="EEEEEE"/>
          </w:tcPr>
          <w:p>
            <w:pPr>
              <w:spacing w:after="0"/>
              <w:rPr>
                <w:sz w:val="20"/>
                <w:szCs w:val="20"/>
                <w:color w:val="auto"/>
              </w:rPr>
            </w:pPr>
          </w:p>
        </w:tc>
        <w:tc>
          <w:tcPr>
            <w:tcW w:w="220" w:type="dxa"/>
            <w:vAlign w:val="bottom"/>
            <w:gridSpan w:val="2"/>
            <w:shd w:val="clear" w:color="auto" w:fill="EEEEEE"/>
          </w:tcPr>
          <w:p>
            <w:pPr>
              <w:jc w:val="right"/>
              <w:spacing w:after="0"/>
              <w:rPr>
                <w:sz w:val="20"/>
                <w:szCs w:val="20"/>
                <w:color w:val="auto"/>
              </w:rPr>
            </w:pPr>
            <w:r>
              <w:rPr>
                <w:rFonts w:ascii="Arial" w:cs="Arial" w:eastAsia="Arial" w:hAnsi="Arial"/>
                <w:sz w:val="18"/>
                <w:szCs w:val="18"/>
                <w:color w:val="auto"/>
              </w:rPr>
              <w:t>$</w:t>
            </w:r>
          </w:p>
        </w:tc>
        <w:tc>
          <w:tcPr>
            <w:tcW w:w="1380" w:type="dxa"/>
            <w:vAlign w:val="bottom"/>
            <w:shd w:val="clear" w:color="auto" w:fill="EEEEEE"/>
          </w:tcPr>
          <w:p>
            <w:pPr>
              <w:jc w:val="right"/>
              <w:spacing w:after="0"/>
              <w:rPr>
                <w:sz w:val="20"/>
                <w:szCs w:val="20"/>
                <w:color w:val="auto"/>
              </w:rPr>
            </w:pPr>
            <w:r>
              <w:rPr>
                <w:rFonts w:ascii="Arial" w:cs="Arial" w:eastAsia="Arial" w:hAnsi="Arial"/>
                <w:sz w:val="18"/>
                <w:szCs w:val="18"/>
                <w:color w:val="auto"/>
              </w:rPr>
              <w:t>253,750</w:t>
            </w:r>
          </w:p>
        </w:tc>
        <w:tc>
          <w:tcPr>
            <w:tcW w:w="120" w:type="dxa"/>
            <w:vAlign w:val="bottom"/>
            <w:shd w:val="clear" w:color="auto" w:fill="EEEEEE"/>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120" w:type="dxa"/>
            <w:vAlign w:val="bottom"/>
            <w:tcBorders>
              <w:top w:val="single" w:sz="8" w:color="EEEEEE"/>
            </w:tcBorders>
            <w:shd w:val="clear" w:color="auto" w:fill="EEEEEE"/>
          </w:tcPr>
          <w:p>
            <w:pPr>
              <w:spacing w:after="0" w:line="20" w:lineRule="exact"/>
              <w:rPr>
                <w:sz w:val="1"/>
                <w:szCs w:val="1"/>
                <w:color w:val="auto"/>
              </w:rPr>
            </w:pPr>
          </w:p>
        </w:tc>
        <w:tc>
          <w:tcPr>
            <w:tcW w:w="220" w:type="dxa"/>
            <w:vAlign w:val="bottom"/>
            <w:tcBorders>
              <w:top w:val="single" w:sz="8" w:color="EEEEEE"/>
            </w:tcBorders>
            <w:shd w:val="clear" w:color="auto" w:fill="EEEEEE"/>
          </w:tcPr>
          <w:p>
            <w:pPr>
              <w:spacing w:after="0" w:line="20" w:lineRule="exact"/>
              <w:rPr>
                <w:sz w:val="1"/>
                <w:szCs w:val="1"/>
                <w:color w:val="auto"/>
              </w:rPr>
            </w:pPr>
          </w:p>
        </w:tc>
        <w:tc>
          <w:tcPr>
            <w:tcW w:w="140" w:type="dxa"/>
            <w:vAlign w:val="bottom"/>
            <w:tcBorders>
              <w:top w:val="single" w:sz="8" w:color="auto"/>
            </w:tcBorders>
            <w:shd w:val="clear" w:color="auto" w:fill="000000"/>
          </w:tcPr>
          <w:p>
            <w:pPr>
              <w:spacing w:after="0" w:line="20" w:lineRule="exact"/>
              <w:rPr>
                <w:sz w:val="1"/>
                <w:szCs w:val="1"/>
                <w:color w:val="auto"/>
              </w:rPr>
            </w:pPr>
          </w:p>
        </w:tc>
        <w:tc>
          <w:tcPr>
            <w:tcW w:w="1360" w:type="dxa"/>
            <w:vAlign w:val="bottom"/>
            <w:tcBorders>
              <w:top w:val="single" w:sz="8" w:color="auto"/>
            </w:tcBorders>
            <w:shd w:val="clear" w:color="auto" w:fill="000000"/>
          </w:tcPr>
          <w:p>
            <w:pPr>
              <w:spacing w:after="0" w:line="20" w:lineRule="exact"/>
              <w:rPr>
                <w:sz w:val="1"/>
                <w:szCs w:val="1"/>
                <w:color w:val="auto"/>
              </w:rPr>
            </w:pPr>
          </w:p>
        </w:tc>
        <w:tc>
          <w:tcPr>
            <w:tcW w:w="140" w:type="dxa"/>
            <w:vAlign w:val="bottom"/>
            <w:tcBorders>
              <w:top w:val="single" w:sz="8" w:color="EEEEEE"/>
            </w:tcBorders>
            <w:shd w:val="clear" w:color="auto" w:fill="EEEEEE"/>
          </w:tcPr>
          <w:p>
            <w:pPr>
              <w:spacing w:after="0" w:line="20" w:lineRule="exact"/>
              <w:rPr>
                <w:sz w:val="1"/>
                <w:szCs w:val="1"/>
                <w:color w:val="auto"/>
              </w:rPr>
            </w:pPr>
          </w:p>
        </w:tc>
        <w:tc>
          <w:tcPr>
            <w:tcW w:w="80" w:type="dxa"/>
            <w:vAlign w:val="bottom"/>
            <w:tcBorders>
              <w:top w:val="single" w:sz="8" w:color="EEEEEE"/>
            </w:tcBorders>
            <w:shd w:val="clear" w:color="auto" w:fill="EEEEEE"/>
          </w:tcPr>
          <w:p>
            <w:pPr>
              <w:spacing w:after="0" w:line="20" w:lineRule="exact"/>
              <w:rPr>
                <w:sz w:val="1"/>
                <w:szCs w:val="1"/>
                <w:color w:val="auto"/>
              </w:rPr>
            </w:pPr>
          </w:p>
        </w:tc>
        <w:tc>
          <w:tcPr>
            <w:tcW w:w="120" w:type="dxa"/>
            <w:vAlign w:val="bottom"/>
            <w:tcBorders>
              <w:top w:val="single" w:sz="8" w:color="auto"/>
            </w:tcBorders>
            <w:shd w:val="clear" w:color="auto" w:fill="000000"/>
          </w:tcPr>
          <w:p>
            <w:pPr>
              <w:spacing w:after="0" w:line="20" w:lineRule="exact"/>
              <w:rPr>
                <w:sz w:val="1"/>
                <w:szCs w:val="1"/>
                <w:color w:val="auto"/>
              </w:rPr>
            </w:pPr>
          </w:p>
        </w:tc>
        <w:tc>
          <w:tcPr>
            <w:tcW w:w="1360" w:type="dxa"/>
            <w:vAlign w:val="bottom"/>
            <w:tcBorders>
              <w:top w:val="single" w:sz="8" w:color="auto"/>
            </w:tcBorders>
            <w:shd w:val="clear" w:color="auto" w:fill="000000"/>
          </w:tcPr>
          <w:p>
            <w:pPr>
              <w:spacing w:after="0" w:line="20" w:lineRule="exact"/>
              <w:rPr>
                <w:sz w:val="1"/>
                <w:szCs w:val="1"/>
                <w:color w:val="auto"/>
              </w:rPr>
            </w:pPr>
          </w:p>
        </w:tc>
        <w:tc>
          <w:tcPr>
            <w:tcW w:w="140" w:type="dxa"/>
            <w:vAlign w:val="bottom"/>
            <w:tcBorders>
              <w:top w:val="single" w:sz="8" w:color="EEEEEE"/>
            </w:tcBorders>
            <w:shd w:val="clear" w:color="auto" w:fill="EEEEEE"/>
          </w:tcPr>
          <w:p>
            <w:pPr>
              <w:spacing w:after="0" w:line="20" w:lineRule="exact"/>
              <w:rPr>
                <w:sz w:val="1"/>
                <w:szCs w:val="1"/>
                <w:color w:val="auto"/>
              </w:rPr>
            </w:pPr>
          </w:p>
        </w:tc>
        <w:tc>
          <w:tcPr>
            <w:tcW w:w="80" w:type="dxa"/>
            <w:vAlign w:val="bottom"/>
            <w:tcBorders>
              <w:top w:val="single" w:sz="8" w:color="EEEEEE"/>
            </w:tcBorders>
            <w:shd w:val="clear" w:color="auto" w:fill="EEEEEE"/>
          </w:tcPr>
          <w:p>
            <w:pPr>
              <w:spacing w:after="0" w:line="20" w:lineRule="exact"/>
              <w:rPr>
                <w:sz w:val="1"/>
                <w:szCs w:val="1"/>
                <w:color w:val="auto"/>
              </w:rPr>
            </w:pPr>
          </w:p>
        </w:tc>
        <w:tc>
          <w:tcPr>
            <w:tcW w:w="140" w:type="dxa"/>
            <w:vAlign w:val="bottom"/>
            <w:tcBorders>
              <w:top w:val="single" w:sz="8" w:color="auto"/>
            </w:tcBorders>
            <w:shd w:val="clear" w:color="auto" w:fill="000000"/>
          </w:tcPr>
          <w:p>
            <w:pPr>
              <w:spacing w:after="0" w:line="20" w:lineRule="exact"/>
              <w:rPr>
                <w:sz w:val="1"/>
                <w:szCs w:val="1"/>
                <w:color w:val="auto"/>
              </w:rPr>
            </w:pPr>
          </w:p>
        </w:tc>
        <w:tc>
          <w:tcPr>
            <w:tcW w:w="1380" w:type="dxa"/>
            <w:vAlign w:val="bottom"/>
            <w:tcBorders>
              <w:top w:val="single" w:sz="8" w:color="auto"/>
            </w:tcBorders>
            <w:shd w:val="clear" w:color="auto" w:fill="000000"/>
          </w:tcPr>
          <w:p>
            <w:pPr>
              <w:spacing w:after="0" w:line="20" w:lineRule="exact"/>
              <w:rPr>
                <w:sz w:val="1"/>
                <w:szCs w:val="1"/>
                <w:color w:val="auto"/>
              </w:rPr>
            </w:pPr>
          </w:p>
        </w:tc>
        <w:tc>
          <w:tcPr>
            <w:tcW w:w="120" w:type="dxa"/>
            <w:vAlign w:val="bottom"/>
            <w:tcBorders>
              <w:top w:val="single" w:sz="8" w:color="EEEEEE"/>
            </w:tcBorders>
            <w:shd w:val="clear" w:color="auto" w:fill="EEEEEE"/>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5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accompanying notes are an integral part of the financial statements.</w:t>
      </w:r>
    </w:p>
    <w:p>
      <w:pPr>
        <w:spacing w:after="0" w:line="200" w:lineRule="exact"/>
        <w:rPr>
          <w:sz w:val="20"/>
          <w:szCs w:val="20"/>
          <w:color w:val="auto"/>
        </w:rPr>
      </w:pPr>
    </w:p>
    <w:p>
      <w:pPr>
        <w:spacing w:after="0" w:line="32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246620" cy="8890"/>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634" w:right="239" w:bottom="1440" w:gutter="0" w:footer="0" w:header="0"/>
        </w:sectPr>
      </w:pPr>
    </w:p>
    <w:bookmarkStart w:id="59" w:name="page60"/>
    <w:bookmarkEnd w:id="59"/>
    <w:p>
      <w:pPr>
        <w:jc w:val="center"/>
        <w:spacing w:after="0"/>
        <w:rPr>
          <w:sz w:val="20"/>
          <w:szCs w:val="20"/>
          <w:color w:val="auto"/>
        </w:rPr>
      </w:pPr>
      <w:r>
        <w:rPr>
          <w:rFonts w:ascii="Arial" w:cs="Arial" w:eastAsia="Arial" w:hAnsi="Arial"/>
          <w:sz w:val="18"/>
          <w:szCs w:val="18"/>
          <w:b w:val="1"/>
          <w:bCs w:val="1"/>
          <w:color w:val="auto"/>
        </w:rPr>
        <w:t>OPTIMIZERx CORPORATION</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OPTIMIZER SYSTEMS, LLC</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 DEVELOPMENT STAGE COMPANY)</w:t>
      </w:r>
    </w:p>
    <w:p>
      <w:pPr>
        <w:spacing w:after="0" w:line="9"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NOTES TO FINANCIAL STATEMENTS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SEPTEMBER 30, 2008</w:t>
      </w:r>
    </w:p>
    <w:p>
      <w:pPr>
        <w:spacing w:after="0" w:line="261" w:lineRule="exact"/>
        <w:rPr>
          <w:sz w:val="20"/>
          <w:szCs w:val="20"/>
          <w:color w:val="auto"/>
        </w:rPr>
      </w:pPr>
    </w:p>
    <w:p>
      <w:pPr>
        <w:spacing w:after="0"/>
        <w:tabs>
          <w:tab w:leader="none" w:pos="720" w:val="left"/>
        </w:tabs>
        <w:rPr>
          <w:sz w:val="20"/>
          <w:szCs w:val="20"/>
          <w:color w:val="auto"/>
        </w:rPr>
      </w:pPr>
      <w:r>
        <w:rPr>
          <w:rFonts w:ascii="Arial" w:cs="Arial" w:eastAsia="Arial" w:hAnsi="Arial"/>
          <w:sz w:val="18"/>
          <w:szCs w:val="18"/>
          <w:b w:val="1"/>
          <w:bCs w:val="1"/>
          <w:color w:val="auto"/>
        </w:rPr>
        <w:t>Note 1:</w:t>
      </w:r>
      <w:r>
        <w:rPr>
          <w:sz w:val="20"/>
          <w:szCs w:val="20"/>
          <w:color w:val="auto"/>
        </w:rPr>
        <w:tab/>
      </w:r>
      <w:r>
        <w:rPr>
          <w:rFonts w:ascii="Arial" w:cs="Arial" w:eastAsia="Arial" w:hAnsi="Arial"/>
          <w:sz w:val="16"/>
          <w:szCs w:val="16"/>
          <w:b w:val="1"/>
          <w:bCs w:val="1"/>
          <w:u w:val="single" w:color="auto"/>
          <w:color w:val="auto"/>
        </w:rPr>
        <w:t>Nature of Operations</w:t>
      </w:r>
    </w:p>
    <w:p>
      <w:pPr>
        <w:spacing w:after="0" w:line="283" w:lineRule="exact"/>
        <w:rPr>
          <w:sz w:val="20"/>
          <w:szCs w:val="20"/>
          <w:color w:val="auto"/>
        </w:rPr>
      </w:pPr>
    </w:p>
    <w:p>
      <w:pPr>
        <w:jc w:val="both"/>
        <w:ind w:left="660"/>
        <w:spacing w:after="0" w:line="270" w:lineRule="auto"/>
        <w:rPr>
          <w:sz w:val="20"/>
          <w:szCs w:val="20"/>
          <w:color w:val="auto"/>
        </w:rPr>
      </w:pPr>
      <w:r>
        <w:rPr>
          <w:rFonts w:ascii="Arial" w:cs="Arial" w:eastAsia="Arial" w:hAnsi="Arial"/>
          <w:sz w:val="17"/>
          <w:szCs w:val="17"/>
          <w:color w:val="auto"/>
        </w:rPr>
        <w:t>Optimizer Systems, LLC was formed in the State of Michigan on January 31, 2006. It then became a corporation in the state of Michigan on October 22, 2007 and changed our name to OptimizeRx Corporation on October 22, 2007. On April 14, 2008, RFID Ltd. consummated a reverse merger by entering into a share exchange agreement with the stockholders of OptimizeRx Corporation, pursuant to which the stockholders of OptimizeRx Corporation exchanged all of the issued and outstanding capital stock of OptimizeRx Corporation for 1,256,958 shares of common stock of RFID Ltd., representing 100% of the outstanding capital stock of RFID Ltd. As of April 30, 2008, RFID’s officers and directors resigned their positions and RFID changed its business to OptimizeRx’s business. As a result, the historical discussion and financial statements included in this Form S-1 are those of OptimizeRx Corporation. On April 15, 2008, RFID Ltd’s corporate name was changed to OptimizeRx Corporation. On September 4, 2008, we then completed a migratory merger, thereby changing our state of incorporation from Colorado to Nevada, resulting in the current corporate structure in which we, OptimizeRx Corporation, a Nevada corporation is the parent corporation, and OptimizeRx Corporation, a Michigan Corporation is our wholly-owned subsidiary.</w:t>
      </w:r>
    </w:p>
    <w:p>
      <w:pPr>
        <w:spacing w:after="0" w:line="232" w:lineRule="exact"/>
        <w:rPr>
          <w:sz w:val="20"/>
          <w:szCs w:val="20"/>
          <w:color w:val="auto"/>
        </w:rPr>
      </w:pPr>
    </w:p>
    <w:p>
      <w:pPr>
        <w:jc w:val="both"/>
        <w:ind w:left="660"/>
        <w:spacing w:after="0" w:line="272" w:lineRule="auto"/>
        <w:rPr>
          <w:sz w:val="20"/>
          <w:szCs w:val="20"/>
          <w:color w:val="auto"/>
        </w:rPr>
      </w:pPr>
      <w:r>
        <w:rPr>
          <w:rFonts w:ascii="Arial" w:cs="Arial" w:eastAsia="Arial" w:hAnsi="Arial"/>
          <w:sz w:val="17"/>
          <w:szCs w:val="17"/>
          <w:color w:val="auto"/>
        </w:rPr>
        <w:t>We, through our wholly-owned subsidiary, OptimizeRx Corporation, a Michigan corporation, are a development-stage website publisher and marketing company that creates, promotes and fulfills custom marketing and advertising programs. We help patients better afford and manage their rising healthcare costs. In addition, we also provide unique advertising programs to pharmaceutical and healthcare industries. Through our websites, we provide the following services: (i) through our website, we provide patients to centrally review and participate in prescription and healthcare savings/support programs; (ii) through OFFERx, we provide a platform to allow manufacturers to create, promote and fulfill new patient offer programs in over 64,000 pharmacies; and (iii) through ADHERE, we provide a platform that allows manufacturers to engage and monitor patients each month in exchange for activation of their monthly co-pay coupons.</w:t>
      </w:r>
    </w:p>
    <w:p>
      <w:pPr>
        <w:spacing w:after="0" w:line="228" w:lineRule="exact"/>
        <w:rPr>
          <w:sz w:val="20"/>
          <w:szCs w:val="20"/>
          <w:color w:val="auto"/>
        </w:rPr>
      </w:pPr>
    </w:p>
    <w:p>
      <w:pPr>
        <w:spacing w:after="0"/>
        <w:tabs>
          <w:tab w:leader="none" w:pos="720" w:val="left"/>
        </w:tabs>
        <w:rPr>
          <w:sz w:val="20"/>
          <w:szCs w:val="20"/>
          <w:color w:val="auto"/>
        </w:rPr>
      </w:pPr>
      <w:r>
        <w:rPr>
          <w:rFonts w:ascii="Arial" w:cs="Arial" w:eastAsia="Arial" w:hAnsi="Arial"/>
          <w:sz w:val="18"/>
          <w:szCs w:val="18"/>
          <w:b w:val="1"/>
          <w:bCs w:val="1"/>
          <w:color w:val="auto"/>
        </w:rPr>
        <w:t>Note 2:</w:t>
      </w:r>
      <w:r>
        <w:rPr>
          <w:sz w:val="20"/>
          <w:szCs w:val="20"/>
          <w:color w:val="auto"/>
        </w:rPr>
        <w:tab/>
      </w:r>
      <w:r>
        <w:rPr>
          <w:rFonts w:ascii="Arial" w:cs="Arial" w:eastAsia="Arial" w:hAnsi="Arial"/>
          <w:sz w:val="15"/>
          <w:szCs w:val="15"/>
          <w:b w:val="1"/>
          <w:bCs w:val="1"/>
          <w:u w:val="single" w:color="auto"/>
          <w:color w:val="auto"/>
        </w:rPr>
        <w:t>Significant Accounting Policies</w:t>
      </w:r>
    </w:p>
    <w:p>
      <w:pPr>
        <w:spacing w:after="0" w:line="283" w:lineRule="exact"/>
        <w:rPr>
          <w:sz w:val="20"/>
          <w:szCs w:val="20"/>
          <w:color w:val="auto"/>
        </w:rPr>
      </w:pPr>
    </w:p>
    <w:p>
      <w:pPr>
        <w:jc w:val="both"/>
        <w:ind w:left="660"/>
        <w:spacing w:after="0" w:line="259" w:lineRule="auto"/>
        <w:rPr>
          <w:sz w:val="20"/>
          <w:szCs w:val="20"/>
          <w:color w:val="auto"/>
        </w:rPr>
      </w:pPr>
      <w:r>
        <w:rPr>
          <w:rFonts w:ascii="Arial" w:cs="Arial" w:eastAsia="Arial" w:hAnsi="Arial"/>
          <w:sz w:val="18"/>
          <w:szCs w:val="18"/>
          <w:color w:val="auto"/>
        </w:rPr>
        <w:t>This summary of significant accounting policies of the Company is presented to assist in understanding the company’s financial statements. The financial statements and notes are representations of the company’s management, who is responsible for their integrity and objectivity. These accounting policies conform to generally accepted accounting principles and have been consistently applied to the preparation of the financial statements.</w:t>
      </w:r>
    </w:p>
    <w:p>
      <w:pPr>
        <w:spacing w:after="0" w:line="241" w:lineRule="exact"/>
        <w:rPr>
          <w:sz w:val="20"/>
          <w:szCs w:val="20"/>
          <w:color w:val="auto"/>
        </w:rPr>
      </w:pPr>
    </w:p>
    <w:p>
      <w:pPr>
        <w:ind w:left="660"/>
        <w:spacing w:after="0"/>
        <w:rPr>
          <w:sz w:val="20"/>
          <w:szCs w:val="20"/>
          <w:color w:val="auto"/>
        </w:rPr>
      </w:pPr>
      <w:r>
        <w:rPr>
          <w:rFonts w:ascii="Arial" w:cs="Arial" w:eastAsia="Arial" w:hAnsi="Arial"/>
          <w:sz w:val="18"/>
          <w:szCs w:val="18"/>
          <w:u w:val="single" w:color="auto"/>
          <w:color w:val="auto"/>
        </w:rPr>
        <w:t>Basis of Accounting</w:t>
      </w:r>
    </w:p>
    <w:p>
      <w:pPr>
        <w:spacing w:after="0" w:line="23" w:lineRule="exact"/>
        <w:rPr>
          <w:sz w:val="20"/>
          <w:szCs w:val="20"/>
          <w:color w:val="auto"/>
        </w:rPr>
      </w:pPr>
    </w:p>
    <w:p>
      <w:pPr>
        <w:jc w:val="both"/>
        <w:ind w:left="660"/>
        <w:spacing w:after="0" w:line="290" w:lineRule="auto"/>
        <w:rPr>
          <w:sz w:val="20"/>
          <w:szCs w:val="20"/>
          <w:color w:val="auto"/>
        </w:rPr>
      </w:pPr>
      <w:r>
        <w:rPr>
          <w:rFonts w:ascii="Arial" w:cs="Arial" w:eastAsia="Arial" w:hAnsi="Arial"/>
          <w:sz w:val="17"/>
          <w:szCs w:val="17"/>
          <w:color w:val="auto"/>
        </w:rPr>
        <w:t>The financial statements have been prepared on the accrual basis of accounting in conformity with accounting principles generally accepted in the United States of America. Revenues are recognized as income when earned and expenses are recognized when they are incurred.</w:t>
      </w:r>
    </w:p>
    <w:p>
      <w:pPr>
        <w:spacing w:after="0" w:line="200" w:lineRule="exact"/>
        <w:rPr>
          <w:sz w:val="20"/>
          <w:szCs w:val="20"/>
          <w:color w:val="auto"/>
        </w:rPr>
      </w:pPr>
    </w:p>
    <w:p>
      <w:pPr>
        <w:spacing w:after="0" w:line="25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246620" cy="8890"/>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634" w:right="239" w:bottom="1440" w:gutter="0" w:footer="0" w:header="0"/>
        </w:sectPr>
      </w:pPr>
    </w:p>
    <w:bookmarkStart w:id="60" w:name="page61"/>
    <w:bookmarkEnd w:id="60"/>
    <w:p>
      <w:pPr>
        <w:jc w:val="center"/>
        <w:spacing w:after="0"/>
        <w:rPr>
          <w:sz w:val="20"/>
          <w:szCs w:val="20"/>
          <w:color w:val="auto"/>
        </w:rPr>
      </w:pPr>
      <w:r>
        <w:rPr>
          <w:rFonts w:ascii="Arial" w:cs="Arial" w:eastAsia="Arial" w:hAnsi="Arial"/>
          <w:sz w:val="18"/>
          <w:szCs w:val="18"/>
          <w:b w:val="1"/>
          <w:bCs w:val="1"/>
          <w:color w:val="auto"/>
        </w:rPr>
        <w:t>OPTIMIZERx CORPORATION</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OPTIMIZER SYSTEMS, LLC</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 DEVELOPMENT STAGE COMPANY)</w:t>
      </w:r>
    </w:p>
    <w:p>
      <w:pPr>
        <w:spacing w:after="0" w:line="9"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NOTES TO FINANCIAL STATEMENTS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SEPTEMBER 30, 2008</w:t>
      </w:r>
    </w:p>
    <w:p>
      <w:pPr>
        <w:spacing w:after="0" w:line="261" w:lineRule="exact"/>
        <w:rPr>
          <w:sz w:val="20"/>
          <w:szCs w:val="20"/>
          <w:color w:val="auto"/>
        </w:rPr>
      </w:pPr>
    </w:p>
    <w:p>
      <w:pPr>
        <w:spacing w:after="0"/>
        <w:tabs>
          <w:tab w:leader="none" w:pos="720" w:val="left"/>
        </w:tabs>
        <w:rPr>
          <w:sz w:val="20"/>
          <w:szCs w:val="20"/>
          <w:color w:val="auto"/>
        </w:rPr>
      </w:pPr>
      <w:r>
        <w:rPr>
          <w:rFonts w:ascii="Arial" w:cs="Arial" w:eastAsia="Arial" w:hAnsi="Arial"/>
          <w:sz w:val="18"/>
          <w:szCs w:val="18"/>
          <w:b w:val="1"/>
          <w:bCs w:val="1"/>
          <w:color w:val="auto"/>
        </w:rPr>
        <w:t>Note 2:</w:t>
      </w:r>
      <w:r>
        <w:rPr>
          <w:sz w:val="20"/>
          <w:szCs w:val="20"/>
          <w:color w:val="auto"/>
        </w:rPr>
        <w:tab/>
      </w:r>
      <w:r>
        <w:rPr>
          <w:rFonts w:ascii="Arial" w:cs="Arial" w:eastAsia="Arial" w:hAnsi="Arial"/>
          <w:sz w:val="15"/>
          <w:szCs w:val="15"/>
          <w:b w:val="1"/>
          <w:bCs w:val="1"/>
          <w:u w:val="single" w:color="auto"/>
          <w:color w:val="auto"/>
        </w:rPr>
        <w:t>Significant Accounting Policies (continued)</w:t>
      </w:r>
    </w:p>
    <w:p>
      <w:pPr>
        <w:spacing w:after="0" w:line="283" w:lineRule="exact"/>
        <w:rPr>
          <w:sz w:val="20"/>
          <w:szCs w:val="20"/>
          <w:color w:val="auto"/>
        </w:rPr>
      </w:pPr>
    </w:p>
    <w:p>
      <w:pPr>
        <w:ind w:left="660"/>
        <w:spacing w:after="0"/>
        <w:rPr>
          <w:sz w:val="20"/>
          <w:szCs w:val="20"/>
          <w:color w:val="auto"/>
        </w:rPr>
      </w:pPr>
      <w:r>
        <w:rPr>
          <w:rFonts w:ascii="Arial" w:cs="Arial" w:eastAsia="Arial" w:hAnsi="Arial"/>
          <w:sz w:val="18"/>
          <w:szCs w:val="18"/>
          <w:u w:val="single" w:color="auto"/>
          <w:color w:val="auto"/>
        </w:rPr>
        <w:t>Basis of Presentation</w:t>
      </w:r>
    </w:p>
    <w:p>
      <w:pPr>
        <w:spacing w:after="0" w:line="279" w:lineRule="exact"/>
        <w:rPr>
          <w:sz w:val="20"/>
          <w:szCs w:val="20"/>
          <w:color w:val="auto"/>
        </w:rPr>
      </w:pPr>
    </w:p>
    <w:p>
      <w:pPr>
        <w:jc w:val="both"/>
        <w:ind w:left="660"/>
        <w:spacing w:after="0" w:line="273" w:lineRule="auto"/>
        <w:rPr>
          <w:sz w:val="20"/>
          <w:szCs w:val="20"/>
          <w:color w:val="auto"/>
        </w:rPr>
      </w:pPr>
      <w:r>
        <w:rPr>
          <w:rFonts w:ascii="Arial" w:cs="Arial" w:eastAsia="Arial" w:hAnsi="Arial"/>
          <w:sz w:val="17"/>
          <w:szCs w:val="17"/>
          <w:color w:val="auto"/>
        </w:rPr>
        <w:t>Certain information and footnote disclosures normally included in annual financial statements prepared in accordance with generally accepted accounting principles have been condensed or omitted. We believe that the disclosures are adequate to make the financial information presented not misleading. These condensed financial statements should be read in conjunction with the audited consolidated financial statements and the notes thereto for the year ended December 31, 2007. All adjustments were of a normal recurring nature unless otherwise disclosed. In the opinion of management, all adjustments necessary for a fair statement of the results of operations for the interim period have been included. The results of operations for such interim periods are not necessarily indicative of the results for the full year.</w:t>
      </w:r>
    </w:p>
    <w:p>
      <w:pPr>
        <w:spacing w:after="0" w:line="233" w:lineRule="exact"/>
        <w:rPr>
          <w:sz w:val="20"/>
          <w:szCs w:val="20"/>
          <w:color w:val="auto"/>
        </w:rPr>
      </w:pPr>
    </w:p>
    <w:p>
      <w:pPr>
        <w:ind w:left="660"/>
        <w:spacing w:after="0"/>
        <w:rPr>
          <w:sz w:val="20"/>
          <w:szCs w:val="20"/>
          <w:color w:val="auto"/>
        </w:rPr>
      </w:pPr>
      <w:r>
        <w:rPr>
          <w:rFonts w:ascii="Arial" w:cs="Arial" w:eastAsia="Arial" w:hAnsi="Arial"/>
          <w:sz w:val="18"/>
          <w:szCs w:val="18"/>
          <w:u w:val="single" w:color="auto"/>
          <w:color w:val="auto"/>
        </w:rPr>
        <w:t>Cash and Cash Equivalents</w:t>
      </w:r>
    </w:p>
    <w:p>
      <w:pPr>
        <w:spacing w:after="0" w:line="23"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Company considers cash on hand, cash in banks, as cash and cash equivalents.</w:t>
      </w:r>
    </w:p>
    <w:p>
      <w:pPr>
        <w:spacing w:after="0" w:line="265" w:lineRule="exact"/>
        <w:rPr>
          <w:sz w:val="20"/>
          <w:szCs w:val="20"/>
          <w:color w:val="auto"/>
        </w:rPr>
      </w:pPr>
    </w:p>
    <w:p>
      <w:pPr>
        <w:ind w:left="660"/>
        <w:spacing w:after="0"/>
        <w:rPr>
          <w:sz w:val="20"/>
          <w:szCs w:val="20"/>
          <w:color w:val="auto"/>
        </w:rPr>
      </w:pPr>
      <w:r>
        <w:rPr>
          <w:rFonts w:ascii="Arial" w:cs="Arial" w:eastAsia="Arial" w:hAnsi="Arial"/>
          <w:sz w:val="18"/>
          <w:szCs w:val="18"/>
          <w:u w:val="single" w:color="auto"/>
          <w:color w:val="auto"/>
        </w:rPr>
        <w:t>Fair Value of Financial Instruments</w:t>
      </w:r>
    </w:p>
    <w:p>
      <w:pPr>
        <w:spacing w:after="0" w:line="23" w:lineRule="exact"/>
        <w:rPr>
          <w:sz w:val="20"/>
          <w:szCs w:val="20"/>
          <w:color w:val="auto"/>
        </w:rPr>
      </w:pPr>
    </w:p>
    <w:p>
      <w:pPr>
        <w:jc w:val="both"/>
        <w:ind w:left="660"/>
        <w:spacing w:after="0" w:line="255" w:lineRule="auto"/>
        <w:rPr>
          <w:sz w:val="20"/>
          <w:szCs w:val="20"/>
          <w:color w:val="auto"/>
        </w:rPr>
      </w:pPr>
      <w:r>
        <w:rPr>
          <w:rFonts w:ascii="Arial" w:cs="Arial" w:eastAsia="Arial" w:hAnsi="Arial"/>
          <w:sz w:val="18"/>
          <w:szCs w:val="18"/>
          <w:color w:val="auto"/>
        </w:rPr>
        <w:t>The fair value of cash, accounts receivable and accounts payable approximates the carrying amount of these financial instruments due to their short-term nature. The fair value of long-term debt, which approximates its carrying value, is based on current rates at which we could borrow funds with similar remaining maturities.</w:t>
      </w:r>
    </w:p>
    <w:p>
      <w:pPr>
        <w:spacing w:after="0" w:line="244" w:lineRule="exact"/>
        <w:rPr>
          <w:sz w:val="20"/>
          <w:szCs w:val="20"/>
          <w:color w:val="auto"/>
        </w:rPr>
      </w:pPr>
    </w:p>
    <w:p>
      <w:pPr>
        <w:ind w:left="660"/>
        <w:spacing w:after="0"/>
        <w:rPr>
          <w:sz w:val="20"/>
          <w:szCs w:val="20"/>
          <w:color w:val="auto"/>
        </w:rPr>
      </w:pPr>
      <w:r>
        <w:rPr>
          <w:rFonts w:ascii="Arial" w:cs="Arial" w:eastAsia="Arial" w:hAnsi="Arial"/>
          <w:sz w:val="18"/>
          <w:szCs w:val="18"/>
          <w:u w:val="single" w:color="auto"/>
          <w:color w:val="auto"/>
        </w:rPr>
        <w:t>Property and Equipment</w:t>
      </w:r>
    </w:p>
    <w:p>
      <w:pPr>
        <w:spacing w:after="0" w:line="23" w:lineRule="exact"/>
        <w:rPr>
          <w:sz w:val="20"/>
          <w:szCs w:val="20"/>
          <w:color w:val="auto"/>
        </w:rPr>
      </w:pPr>
    </w:p>
    <w:p>
      <w:pPr>
        <w:jc w:val="both"/>
        <w:ind w:left="660"/>
        <w:spacing w:after="0" w:line="290" w:lineRule="auto"/>
        <w:rPr>
          <w:sz w:val="20"/>
          <w:szCs w:val="20"/>
          <w:color w:val="auto"/>
        </w:rPr>
      </w:pPr>
      <w:r>
        <w:rPr>
          <w:rFonts w:ascii="Arial" w:cs="Arial" w:eastAsia="Arial" w:hAnsi="Arial"/>
          <w:sz w:val="17"/>
          <w:szCs w:val="17"/>
          <w:color w:val="auto"/>
        </w:rPr>
        <w:t>The capital assets have been capitalized and are being depreciated over their estimated useful lives using straight line methods of depreciation for book purposes. As of October 18, 2007, the Company acquired the majority of its capital assets at the lower market cost from the LLC.</w:t>
      </w:r>
    </w:p>
    <w:p>
      <w:pPr>
        <w:spacing w:after="0" w:line="216" w:lineRule="exact"/>
        <w:rPr>
          <w:sz w:val="20"/>
          <w:szCs w:val="20"/>
          <w:color w:val="auto"/>
        </w:rPr>
      </w:pPr>
    </w:p>
    <w:p>
      <w:pPr>
        <w:ind w:left="660"/>
        <w:spacing w:after="0"/>
        <w:rPr>
          <w:sz w:val="20"/>
          <w:szCs w:val="20"/>
          <w:color w:val="auto"/>
        </w:rPr>
      </w:pPr>
      <w:r>
        <w:rPr>
          <w:rFonts w:ascii="Arial" w:cs="Arial" w:eastAsia="Arial" w:hAnsi="Arial"/>
          <w:sz w:val="18"/>
          <w:szCs w:val="18"/>
          <w:u w:val="single" w:color="auto"/>
          <w:color w:val="auto"/>
        </w:rPr>
        <w:t>Research and Development</w:t>
      </w:r>
    </w:p>
    <w:p>
      <w:pPr>
        <w:spacing w:after="0" w:line="23" w:lineRule="exact"/>
        <w:rPr>
          <w:sz w:val="20"/>
          <w:szCs w:val="20"/>
          <w:color w:val="auto"/>
        </w:rPr>
      </w:pPr>
    </w:p>
    <w:p>
      <w:pPr>
        <w:jc w:val="both"/>
        <w:ind w:left="660" w:right="20"/>
        <w:spacing w:after="0" w:line="290" w:lineRule="auto"/>
        <w:rPr>
          <w:sz w:val="20"/>
          <w:szCs w:val="20"/>
          <w:color w:val="auto"/>
        </w:rPr>
      </w:pPr>
      <w:r>
        <w:rPr>
          <w:rFonts w:ascii="Arial" w:cs="Arial" w:eastAsia="Arial" w:hAnsi="Arial"/>
          <w:sz w:val="17"/>
          <w:szCs w:val="17"/>
          <w:color w:val="auto"/>
        </w:rPr>
        <w:t>All of our key members are part of our continual research development team and monitor new technologies, trends, services and partnerships that can provide us with additional services, value to healthcare and pharmaceutical industries and to the patients we serve.</w:t>
      </w:r>
    </w:p>
    <w:p>
      <w:pPr>
        <w:spacing w:after="0" w:line="216" w:lineRule="exact"/>
        <w:rPr>
          <w:sz w:val="20"/>
          <w:szCs w:val="20"/>
          <w:color w:val="auto"/>
        </w:rPr>
      </w:pPr>
    </w:p>
    <w:p>
      <w:pPr>
        <w:jc w:val="both"/>
        <w:ind w:left="660" w:right="20"/>
        <w:spacing w:after="0" w:line="277" w:lineRule="auto"/>
        <w:rPr>
          <w:sz w:val="20"/>
          <w:szCs w:val="20"/>
          <w:color w:val="auto"/>
        </w:rPr>
      </w:pPr>
      <w:r>
        <w:rPr>
          <w:rFonts w:ascii="Arial" w:cs="Arial" w:eastAsia="Arial" w:hAnsi="Arial"/>
          <w:sz w:val="18"/>
          <w:szCs w:val="18"/>
          <w:color w:val="auto"/>
        </w:rPr>
        <w:t>We are currently in launch phase with ADHERxE to allow pharmaceutical and healthcare manufacturers unique way to engage and monitor patients each month in exchange for activation of their next savings offer.</w:t>
      </w:r>
    </w:p>
    <w:p>
      <w:pPr>
        <w:spacing w:after="0" w:line="224" w:lineRule="exact"/>
        <w:rPr>
          <w:sz w:val="20"/>
          <w:szCs w:val="20"/>
          <w:color w:val="auto"/>
        </w:rPr>
      </w:pPr>
    </w:p>
    <w:p>
      <w:pPr>
        <w:jc w:val="both"/>
        <w:ind w:left="660"/>
        <w:spacing w:after="0" w:line="279" w:lineRule="auto"/>
        <w:rPr>
          <w:sz w:val="20"/>
          <w:szCs w:val="20"/>
          <w:color w:val="auto"/>
        </w:rPr>
      </w:pPr>
      <w:r>
        <w:rPr>
          <w:rFonts w:ascii="Arial" w:cs="Arial" w:eastAsia="Arial" w:hAnsi="Arial"/>
          <w:sz w:val="17"/>
          <w:szCs w:val="17"/>
          <w:color w:val="auto"/>
        </w:rPr>
        <w:t>We seek to educate our team through understanding of all market dynamics that have the potential to affect our business both short term and longer term. Our primary goal is to help patients better afford and access the medicines their doctor prescribes, as well as other healthcare products and services they need. Based on this, we continually seek better ways to meet this mission through technology, better user experience and new ways we can engage industries to provide new support program to patients needing their products.</w:t>
      </w:r>
    </w:p>
    <w:p>
      <w:pPr>
        <w:spacing w:after="0" w:line="200" w:lineRule="exact"/>
        <w:rPr>
          <w:sz w:val="20"/>
          <w:szCs w:val="20"/>
          <w:color w:val="auto"/>
        </w:rPr>
      </w:pPr>
    </w:p>
    <w:p>
      <w:pPr>
        <w:spacing w:after="0" w:line="26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246620" cy="8890"/>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634" w:right="239" w:bottom="1440" w:gutter="0" w:footer="0" w:header="0"/>
        </w:sectPr>
      </w:pPr>
    </w:p>
    <w:bookmarkStart w:id="61" w:name="page62"/>
    <w:bookmarkEnd w:id="61"/>
    <w:p>
      <w:pPr>
        <w:jc w:val="center"/>
        <w:ind w:right="-19"/>
        <w:spacing w:after="0"/>
        <w:rPr>
          <w:sz w:val="20"/>
          <w:szCs w:val="20"/>
          <w:color w:val="auto"/>
        </w:rPr>
      </w:pPr>
      <w:r>
        <w:rPr>
          <w:rFonts w:ascii="Arial" w:cs="Arial" w:eastAsia="Arial" w:hAnsi="Arial"/>
          <w:sz w:val="18"/>
          <w:szCs w:val="18"/>
          <w:b w:val="1"/>
          <w:bCs w:val="1"/>
          <w:color w:val="auto"/>
        </w:rPr>
        <w:t>OPTIMIZERx CORPORATION</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OPTIMIZER SYSTEMS, LLC</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 DEVELOPMENT STAGE COMPANY)</w:t>
      </w:r>
    </w:p>
    <w:p>
      <w:pPr>
        <w:spacing w:after="0" w:line="9"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NOTES TO FINANCIAL STATEMENTS</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SEPTEMBER 30, 2008</w:t>
      </w:r>
    </w:p>
    <w:p>
      <w:pPr>
        <w:spacing w:after="0" w:line="200" w:lineRule="exact"/>
        <w:rPr>
          <w:sz w:val="20"/>
          <w:szCs w:val="20"/>
          <w:color w:val="auto"/>
        </w:rPr>
      </w:pPr>
    </w:p>
    <w:p>
      <w:pPr>
        <w:spacing w:after="0" w:line="331" w:lineRule="exact"/>
        <w:rPr>
          <w:sz w:val="20"/>
          <w:szCs w:val="20"/>
          <w:color w:val="auto"/>
        </w:rPr>
      </w:pPr>
    </w:p>
    <w:p>
      <w:pPr>
        <w:spacing w:after="0"/>
        <w:tabs>
          <w:tab w:leader="none" w:pos="720" w:val="left"/>
        </w:tabs>
        <w:rPr>
          <w:sz w:val="20"/>
          <w:szCs w:val="20"/>
          <w:color w:val="auto"/>
        </w:rPr>
      </w:pPr>
      <w:r>
        <w:rPr>
          <w:rFonts w:ascii="Arial" w:cs="Arial" w:eastAsia="Arial" w:hAnsi="Arial"/>
          <w:sz w:val="18"/>
          <w:szCs w:val="18"/>
          <w:b w:val="1"/>
          <w:bCs w:val="1"/>
          <w:color w:val="auto"/>
        </w:rPr>
        <w:t>Note 2:</w:t>
      </w:r>
      <w:r>
        <w:rPr>
          <w:sz w:val="20"/>
          <w:szCs w:val="20"/>
          <w:color w:val="auto"/>
        </w:rPr>
        <w:tab/>
      </w:r>
      <w:r>
        <w:rPr>
          <w:rFonts w:ascii="Arial" w:cs="Arial" w:eastAsia="Arial" w:hAnsi="Arial"/>
          <w:sz w:val="15"/>
          <w:szCs w:val="15"/>
          <w:b w:val="1"/>
          <w:bCs w:val="1"/>
          <w:u w:val="single" w:color="auto"/>
          <w:color w:val="auto"/>
        </w:rPr>
        <w:t>Significant Accounting Policies (continued)</w:t>
      </w:r>
    </w:p>
    <w:p>
      <w:pPr>
        <w:spacing w:after="0" w:line="283" w:lineRule="exact"/>
        <w:rPr>
          <w:sz w:val="20"/>
          <w:szCs w:val="20"/>
          <w:color w:val="auto"/>
        </w:rPr>
      </w:pPr>
    </w:p>
    <w:p>
      <w:pPr>
        <w:ind w:left="660"/>
        <w:spacing w:after="0"/>
        <w:rPr>
          <w:sz w:val="20"/>
          <w:szCs w:val="20"/>
          <w:color w:val="auto"/>
        </w:rPr>
      </w:pPr>
      <w:r>
        <w:rPr>
          <w:rFonts w:ascii="Arial" w:cs="Arial" w:eastAsia="Arial" w:hAnsi="Arial"/>
          <w:sz w:val="18"/>
          <w:szCs w:val="18"/>
          <w:u w:val="single" w:color="auto"/>
          <w:color w:val="auto"/>
        </w:rPr>
        <w:t>Revenue Recognition</w:t>
      </w:r>
    </w:p>
    <w:p>
      <w:pPr>
        <w:spacing w:after="0" w:line="23" w:lineRule="exact"/>
        <w:rPr>
          <w:sz w:val="20"/>
          <w:szCs w:val="20"/>
          <w:color w:val="auto"/>
        </w:rPr>
      </w:pPr>
    </w:p>
    <w:p>
      <w:pPr>
        <w:jc w:val="both"/>
        <w:ind w:left="660" w:right="20"/>
        <w:spacing w:after="0" w:line="323" w:lineRule="auto"/>
        <w:rPr>
          <w:sz w:val="20"/>
          <w:szCs w:val="20"/>
          <w:color w:val="auto"/>
        </w:rPr>
      </w:pPr>
      <w:r>
        <w:rPr>
          <w:rFonts w:ascii="Arial" w:cs="Arial" w:eastAsia="Arial" w:hAnsi="Arial"/>
          <w:sz w:val="16"/>
          <w:szCs w:val="16"/>
          <w:color w:val="auto"/>
        </w:rPr>
        <w:t>Substantially all revenue is recognized when it is earned. All Revenues are generated through our Website activities. Our processes are monitored by outside third parties who collect revenues from our client on a per activity basis and report and forward the revenue to our account.</w:t>
      </w:r>
    </w:p>
    <w:p>
      <w:pPr>
        <w:spacing w:after="0" w:line="193" w:lineRule="exact"/>
        <w:rPr>
          <w:sz w:val="20"/>
          <w:szCs w:val="20"/>
          <w:color w:val="auto"/>
        </w:rPr>
      </w:pPr>
    </w:p>
    <w:p>
      <w:pPr>
        <w:ind w:left="660"/>
        <w:spacing w:after="0"/>
        <w:rPr>
          <w:sz w:val="20"/>
          <w:szCs w:val="20"/>
          <w:color w:val="auto"/>
        </w:rPr>
      </w:pPr>
      <w:r>
        <w:rPr>
          <w:rFonts w:ascii="Arial" w:cs="Arial" w:eastAsia="Arial" w:hAnsi="Arial"/>
          <w:sz w:val="18"/>
          <w:szCs w:val="18"/>
          <w:u w:val="single" w:color="auto"/>
          <w:color w:val="auto"/>
        </w:rPr>
        <w:t>Management Estimates</w:t>
      </w:r>
    </w:p>
    <w:p>
      <w:pPr>
        <w:spacing w:after="0" w:line="23" w:lineRule="exact"/>
        <w:rPr>
          <w:sz w:val="20"/>
          <w:szCs w:val="20"/>
          <w:color w:val="auto"/>
        </w:rPr>
      </w:pPr>
    </w:p>
    <w:p>
      <w:pPr>
        <w:jc w:val="both"/>
        <w:ind w:left="660"/>
        <w:spacing w:after="0" w:line="254" w:lineRule="auto"/>
        <w:rPr>
          <w:sz w:val="20"/>
          <w:szCs w:val="20"/>
          <w:color w:val="auto"/>
        </w:rPr>
      </w:pPr>
      <w:r>
        <w:rPr>
          <w:rFonts w:ascii="Arial" w:cs="Arial" w:eastAsia="Arial" w:hAnsi="Arial"/>
          <w:sz w:val="18"/>
          <w:szCs w:val="18"/>
          <w:color w:val="auto"/>
        </w:rPr>
        <w:t>The preparation of financial statements in conformity with generally accepted accounting principles requires management to make estimates and assumptions that affect the reported amounts of assets and liabilities at the date of the financial statements and the reported amounts of revenues and expenses during the reporting period. Estimates and assumptions have been made in determining the depreciable lives of such assets, the allowance for doubtful accounts receivable. Actual results could differ from those estimates.</w:t>
      </w:r>
    </w:p>
    <w:p>
      <w:pPr>
        <w:spacing w:after="0" w:line="244" w:lineRule="exact"/>
        <w:rPr>
          <w:sz w:val="20"/>
          <w:szCs w:val="20"/>
          <w:color w:val="auto"/>
        </w:rPr>
      </w:pPr>
    </w:p>
    <w:p>
      <w:pPr>
        <w:ind w:left="660"/>
        <w:spacing w:after="0"/>
        <w:rPr>
          <w:sz w:val="20"/>
          <w:szCs w:val="20"/>
          <w:color w:val="auto"/>
        </w:rPr>
      </w:pPr>
      <w:r>
        <w:rPr>
          <w:rFonts w:ascii="Arial" w:cs="Arial" w:eastAsia="Arial" w:hAnsi="Arial"/>
          <w:sz w:val="18"/>
          <w:szCs w:val="18"/>
          <w:u w:val="single" w:color="auto"/>
          <w:color w:val="auto"/>
        </w:rPr>
        <w:t>Recently Issued Accounting Guidance</w:t>
      </w:r>
    </w:p>
    <w:p>
      <w:pPr>
        <w:spacing w:after="0" w:line="23" w:lineRule="exact"/>
        <w:rPr>
          <w:sz w:val="20"/>
          <w:szCs w:val="20"/>
          <w:color w:val="auto"/>
        </w:rPr>
      </w:pPr>
    </w:p>
    <w:p>
      <w:pPr>
        <w:jc w:val="both"/>
        <w:ind w:left="660"/>
        <w:spacing w:after="0" w:line="261" w:lineRule="auto"/>
        <w:rPr>
          <w:sz w:val="20"/>
          <w:szCs w:val="20"/>
          <w:color w:val="auto"/>
        </w:rPr>
      </w:pPr>
      <w:r>
        <w:rPr>
          <w:rFonts w:ascii="Arial" w:cs="Arial" w:eastAsia="Arial" w:hAnsi="Arial"/>
          <w:sz w:val="18"/>
          <w:szCs w:val="18"/>
          <w:color w:val="auto"/>
        </w:rPr>
        <w:t>The Company does not expect the adoption of recently issued accounting pronouncements to have a significant impact on the Company’s results of operations, financial position or cash flow.</w:t>
      </w:r>
    </w:p>
    <w:p>
      <w:pPr>
        <w:spacing w:after="0" w:line="238" w:lineRule="exact"/>
        <w:rPr>
          <w:sz w:val="20"/>
          <w:szCs w:val="20"/>
          <w:color w:val="auto"/>
        </w:rPr>
      </w:pPr>
    </w:p>
    <w:p>
      <w:pPr>
        <w:ind w:left="660"/>
        <w:spacing w:after="0"/>
        <w:rPr>
          <w:sz w:val="20"/>
          <w:szCs w:val="20"/>
          <w:color w:val="auto"/>
        </w:rPr>
      </w:pPr>
      <w:r>
        <w:rPr>
          <w:rFonts w:ascii="Arial" w:cs="Arial" w:eastAsia="Arial" w:hAnsi="Arial"/>
          <w:sz w:val="18"/>
          <w:szCs w:val="18"/>
          <w:u w:val="single" w:color="auto"/>
          <w:color w:val="auto"/>
        </w:rPr>
        <w:t>Concentration of Credit Risks</w:t>
      </w:r>
    </w:p>
    <w:p>
      <w:pPr>
        <w:spacing w:after="0" w:line="23" w:lineRule="exact"/>
        <w:rPr>
          <w:sz w:val="20"/>
          <w:szCs w:val="20"/>
          <w:color w:val="auto"/>
        </w:rPr>
      </w:pPr>
    </w:p>
    <w:p>
      <w:pPr>
        <w:jc w:val="both"/>
        <w:ind w:left="660" w:right="20"/>
        <w:spacing w:after="0" w:line="323" w:lineRule="auto"/>
        <w:rPr>
          <w:sz w:val="20"/>
          <w:szCs w:val="20"/>
          <w:color w:val="auto"/>
        </w:rPr>
      </w:pPr>
      <w:r>
        <w:rPr>
          <w:rFonts w:ascii="Arial" w:cs="Arial" w:eastAsia="Arial" w:hAnsi="Arial"/>
          <w:sz w:val="16"/>
          <w:szCs w:val="16"/>
          <w:color w:val="auto"/>
        </w:rPr>
        <w:t>The Company maintains its cash in bank deposit accounts, which, at times, may exceed federally insured limits. The Company has not experienced any losses in such accounts; however, amounts in excess of the federally insured limit may be at risk if the bank experiences financial difficulties.</w:t>
      </w:r>
    </w:p>
    <w:p>
      <w:pPr>
        <w:spacing w:after="0" w:line="176"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8560" w:type="dxa"/>
            <w:vAlign w:val="bottom"/>
            <w:gridSpan w:val="4"/>
          </w:tcPr>
          <w:p>
            <w:pPr>
              <w:spacing w:after="0"/>
              <w:rPr>
                <w:sz w:val="20"/>
                <w:szCs w:val="20"/>
                <w:color w:val="auto"/>
              </w:rPr>
            </w:pPr>
            <w:r>
              <w:rPr>
                <w:rFonts w:ascii="Arial" w:cs="Arial" w:eastAsia="Arial" w:hAnsi="Arial"/>
                <w:sz w:val="18"/>
                <w:szCs w:val="18"/>
                <w:b w:val="1"/>
                <w:bCs w:val="1"/>
                <w:color w:val="auto"/>
              </w:rPr>
              <w:t>Note 3:  Property and Equipment</w:t>
            </w:r>
          </w:p>
        </w:tc>
        <w:tc>
          <w:tcPr>
            <w:tcW w:w="22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80" w:type="dxa"/>
            <w:vAlign w:val="bottom"/>
          </w:tcPr>
          <w:p>
            <w:pPr>
              <w:spacing w:after="0"/>
              <w:rPr>
                <w:sz w:val="18"/>
                <w:szCs w:val="18"/>
                <w:color w:val="auto"/>
              </w:rPr>
            </w:pPr>
          </w:p>
        </w:tc>
      </w:tr>
      <w:tr>
        <w:trPr>
          <w:trHeight w:val="20"/>
        </w:trPr>
        <w:tc>
          <w:tcPr>
            <w:tcW w:w="740" w:type="dxa"/>
            <w:vAlign w:val="bottom"/>
          </w:tcPr>
          <w:p>
            <w:pPr>
              <w:spacing w:after="0" w:line="20" w:lineRule="exact"/>
              <w:rPr>
                <w:sz w:val="1"/>
                <w:szCs w:val="1"/>
                <w:color w:val="auto"/>
              </w:rPr>
            </w:pPr>
          </w:p>
        </w:tc>
        <w:tc>
          <w:tcPr>
            <w:tcW w:w="1920" w:type="dxa"/>
            <w:vAlign w:val="bottom"/>
            <w:gridSpan w:val="2"/>
            <w:shd w:val="clear" w:color="auto" w:fill="000000"/>
          </w:tcPr>
          <w:p>
            <w:pPr>
              <w:spacing w:after="0" w:line="20" w:lineRule="exact"/>
              <w:rPr>
                <w:sz w:val="1"/>
                <w:szCs w:val="1"/>
                <w:color w:val="auto"/>
              </w:rPr>
            </w:pPr>
          </w:p>
        </w:tc>
        <w:tc>
          <w:tcPr>
            <w:tcW w:w="59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r>
        <w:trPr>
          <w:trHeight w:val="507"/>
        </w:trPr>
        <w:tc>
          <w:tcPr>
            <w:tcW w:w="8560" w:type="dxa"/>
            <w:vAlign w:val="bottom"/>
            <w:gridSpan w:val="4"/>
          </w:tcPr>
          <w:p>
            <w:pPr>
              <w:ind w:left="660"/>
              <w:spacing w:after="0"/>
              <w:rPr>
                <w:sz w:val="20"/>
                <w:szCs w:val="20"/>
                <w:color w:val="auto"/>
              </w:rPr>
            </w:pPr>
            <w:r>
              <w:rPr>
                <w:rFonts w:ascii="Arial" w:cs="Arial" w:eastAsia="Arial" w:hAnsi="Arial"/>
                <w:sz w:val="18"/>
                <w:szCs w:val="18"/>
                <w:color w:val="auto"/>
                <w:w w:val="93"/>
              </w:rPr>
              <w:t>The Company owned equipment recorded at cost which consisted of the following at September 30, 2008:</w:t>
            </w:r>
          </w:p>
        </w:tc>
        <w:tc>
          <w:tcPr>
            <w:tcW w:w="22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80" w:type="dxa"/>
            <w:vAlign w:val="bottom"/>
          </w:tcPr>
          <w:p>
            <w:pPr>
              <w:spacing w:after="0"/>
              <w:rPr>
                <w:sz w:val="24"/>
                <w:szCs w:val="24"/>
                <w:color w:val="auto"/>
              </w:rPr>
            </w:pPr>
          </w:p>
        </w:tc>
      </w:tr>
      <w:tr>
        <w:trPr>
          <w:trHeight w:val="270"/>
        </w:trPr>
        <w:tc>
          <w:tcPr>
            <w:tcW w:w="740" w:type="dxa"/>
            <w:vAlign w:val="bottom"/>
          </w:tcPr>
          <w:p>
            <w:pPr>
              <w:spacing w:after="0"/>
              <w:rPr>
                <w:sz w:val="23"/>
                <w:szCs w:val="23"/>
                <w:color w:val="auto"/>
              </w:rPr>
            </w:pPr>
          </w:p>
        </w:tc>
        <w:tc>
          <w:tcPr>
            <w:tcW w:w="700" w:type="dxa"/>
            <w:vAlign w:val="bottom"/>
          </w:tcPr>
          <w:p>
            <w:pPr>
              <w:spacing w:after="0"/>
              <w:rPr>
                <w:sz w:val="23"/>
                <w:szCs w:val="23"/>
                <w:color w:val="auto"/>
              </w:rPr>
            </w:pPr>
          </w:p>
        </w:tc>
        <w:tc>
          <w:tcPr>
            <w:tcW w:w="1220" w:type="dxa"/>
            <w:vAlign w:val="bottom"/>
          </w:tcPr>
          <w:p>
            <w:pPr>
              <w:spacing w:after="0"/>
              <w:rPr>
                <w:sz w:val="23"/>
                <w:szCs w:val="23"/>
                <w:color w:val="auto"/>
              </w:rPr>
            </w:pPr>
          </w:p>
        </w:tc>
        <w:tc>
          <w:tcPr>
            <w:tcW w:w="590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400" w:type="dxa"/>
            <w:vAlign w:val="bottom"/>
          </w:tcPr>
          <w:p>
            <w:pPr>
              <w:spacing w:after="0"/>
              <w:rPr>
                <w:sz w:val="23"/>
                <w:szCs w:val="23"/>
                <w:color w:val="auto"/>
              </w:rPr>
            </w:pPr>
          </w:p>
        </w:tc>
        <w:tc>
          <w:tcPr>
            <w:tcW w:w="720" w:type="dxa"/>
            <w:vAlign w:val="bottom"/>
          </w:tcPr>
          <w:p>
            <w:pPr>
              <w:spacing w:after="0"/>
              <w:rPr>
                <w:sz w:val="23"/>
                <w:szCs w:val="23"/>
                <w:color w:val="auto"/>
              </w:rPr>
            </w:pPr>
          </w:p>
        </w:tc>
        <w:tc>
          <w:tcPr>
            <w:tcW w:w="80" w:type="dxa"/>
            <w:vAlign w:val="bottom"/>
          </w:tcPr>
          <w:p>
            <w:pPr>
              <w:spacing w:after="0"/>
              <w:rPr>
                <w:sz w:val="23"/>
                <w:szCs w:val="23"/>
                <w:color w:val="auto"/>
              </w:rPr>
            </w:pPr>
          </w:p>
        </w:tc>
      </w:tr>
      <w:tr>
        <w:trPr>
          <w:trHeight w:val="216"/>
        </w:trPr>
        <w:tc>
          <w:tcPr>
            <w:tcW w:w="74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7120" w:type="dxa"/>
            <w:vAlign w:val="bottom"/>
            <w:gridSpan w:val="2"/>
            <w:shd w:val="clear" w:color="auto" w:fill="EEEEEE"/>
          </w:tcPr>
          <w:p>
            <w:pPr>
              <w:spacing w:after="0"/>
              <w:rPr>
                <w:sz w:val="20"/>
                <w:szCs w:val="20"/>
                <w:color w:val="auto"/>
              </w:rPr>
            </w:pPr>
            <w:r>
              <w:rPr>
                <w:rFonts w:ascii="Arial" w:cs="Arial" w:eastAsia="Arial" w:hAnsi="Arial"/>
                <w:sz w:val="18"/>
                <w:szCs w:val="18"/>
                <w:color w:val="auto"/>
              </w:rPr>
              <w:t>Computer Equipment</w:t>
            </w:r>
          </w:p>
        </w:tc>
        <w:tc>
          <w:tcPr>
            <w:tcW w:w="620" w:type="dxa"/>
            <w:vAlign w:val="bottom"/>
            <w:gridSpan w:val="2"/>
            <w:shd w:val="clear" w:color="auto" w:fill="EEEEEE"/>
          </w:tcPr>
          <w:p>
            <w:pPr>
              <w:jc w:val="right"/>
              <w:ind w:right="210"/>
              <w:spacing w:after="0"/>
              <w:rPr>
                <w:sz w:val="20"/>
                <w:szCs w:val="20"/>
                <w:color w:val="auto"/>
              </w:rPr>
            </w:pPr>
            <w:r>
              <w:rPr>
                <w:rFonts w:ascii="Arial" w:cs="Arial" w:eastAsia="Arial" w:hAnsi="Arial"/>
                <w:sz w:val="18"/>
                <w:szCs w:val="18"/>
                <w:color w:val="auto"/>
              </w:rPr>
              <w:t>$</w:t>
            </w:r>
          </w:p>
        </w:tc>
        <w:tc>
          <w:tcPr>
            <w:tcW w:w="720" w:type="dxa"/>
            <w:vAlign w:val="bottom"/>
            <w:shd w:val="clear" w:color="auto" w:fill="EEEEEE"/>
          </w:tcPr>
          <w:p>
            <w:pPr>
              <w:jc w:val="right"/>
              <w:spacing w:after="0"/>
              <w:rPr>
                <w:sz w:val="20"/>
                <w:szCs w:val="20"/>
                <w:color w:val="auto"/>
              </w:rPr>
            </w:pPr>
            <w:r>
              <w:rPr>
                <w:rFonts w:ascii="Arial" w:cs="Arial" w:eastAsia="Arial" w:hAnsi="Arial"/>
                <w:sz w:val="18"/>
                <w:szCs w:val="18"/>
                <w:color w:val="auto"/>
              </w:rPr>
              <w:t>4,267</w:t>
            </w:r>
          </w:p>
        </w:tc>
        <w:tc>
          <w:tcPr>
            <w:tcW w:w="80" w:type="dxa"/>
            <w:vAlign w:val="bottom"/>
            <w:shd w:val="clear" w:color="auto" w:fill="EEEEEE"/>
          </w:tcPr>
          <w:p>
            <w:pPr>
              <w:spacing w:after="0"/>
              <w:rPr>
                <w:sz w:val="18"/>
                <w:szCs w:val="18"/>
                <w:color w:val="auto"/>
              </w:rPr>
            </w:pPr>
          </w:p>
        </w:tc>
      </w:tr>
      <w:tr>
        <w:trPr>
          <w:trHeight w:val="216"/>
        </w:trPr>
        <w:tc>
          <w:tcPr>
            <w:tcW w:w="74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7120" w:type="dxa"/>
            <w:vAlign w:val="bottom"/>
            <w:gridSpan w:val="2"/>
          </w:tcPr>
          <w:p>
            <w:pPr>
              <w:spacing w:after="0"/>
              <w:rPr>
                <w:sz w:val="20"/>
                <w:szCs w:val="20"/>
                <w:color w:val="auto"/>
              </w:rPr>
            </w:pPr>
            <w:r>
              <w:rPr>
                <w:rFonts w:ascii="Arial" w:cs="Arial" w:eastAsia="Arial" w:hAnsi="Arial"/>
                <w:sz w:val="18"/>
                <w:szCs w:val="18"/>
                <w:color w:val="auto"/>
              </w:rPr>
              <w:t>Furniture &amp; Fixtures</w:t>
            </w:r>
          </w:p>
        </w:tc>
        <w:tc>
          <w:tcPr>
            <w:tcW w:w="22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4,293</w:t>
            </w:r>
          </w:p>
        </w:tc>
        <w:tc>
          <w:tcPr>
            <w:tcW w:w="80" w:type="dxa"/>
            <w:vAlign w:val="bottom"/>
          </w:tcPr>
          <w:p>
            <w:pPr>
              <w:spacing w:after="0"/>
              <w:rPr>
                <w:sz w:val="18"/>
                <w:szCs w:val="18"/>
                <w:color w:val="auto"/>
              </w:rPr>
            </w:pPr>
          </w:p>
        </w:tc>
      </w:tr>
      <w:tr>
        <w:trPr>
          <w:trHeight w:val="216"/>
        </w:trPr>
        <w:tc>
          <w:tcPr>
            <w:tcW w:w="74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7120" w:type="dxa"/>
            <w:vAlign w:val="bottom"/>
            <w:gridSpan w:val="2"/>
            <w:shd w:val="clear" w:color="auto" w:fill="EEEEEE"/>
          </w:tcPr>
          <w:p>
            <w:pPr>
              <w:ind w:left="220"/>
              <w:spacing w:after="0"/>
              <w:rPr>
                <w:sz w:val="20"/>
                <w:szCs w:val="20"/>
                <w:color w:val="auto"/>
              </w:rPr>
            </w:pPr>
            <w:r>
              <w:rPr>
                <w:rFonts w:ascii="Arial" w:cs="Arial" w:eastAsia="Arial" w:hAnsi="Arial"/>
                <w:sz w:val="18"/>
                <w:szCs w:val="18"/>
                <w:color w:val="auto"/>
              </w:rPr>
              <w:t>Subtotal</w:t>
            </w:r>
          </w:p>
        </w:tc>
        <w:tc>
          <w:tcPr>
            <w:tcW w:w="220" w:type="dxa"/>
            <w:vAlign w:val="bottom"/>
            <w:shd w:val="clear" w:color="auto" w:fill="EEEEEE"/>
          </w:tcPr>
          <w:p>
            <w:pPr>
              <w:spacing w:after="0"/>
              <w:rPr>
                <w:sz w:val="18"/>
                <w:szCs w:val="18"/>
                <w:color w:val="auto"/>
              </w:rPr>
            </w:pPr>
          </w:p>
        </w:tc>
        <w:tc>
          <w:tcPr>
            <w:tcW w:w="400" w:type="dxa"/>
            <w:vAlign w:val="bottom"/>
            <w:shd w:val="clear" w:color="auto" w:fill="EEEEEE"/>
          </w:tcPr>
          <w:p>
            <w:pPr>
              <w:spacing w:after="0"/>
              <w:rPr>
                <w:sz w:val="18"/>
                <w:szCs w:val="18"/>
                <w:color w:val="auto"/>
              </w:rPr>
            </w:pPr>
          </w:p>
        </w:tc>
        <w:tc>
          <w:tcPr>
            <w:tcW w:w="720" w:type="dxa"/>
            <w:vAlign w:val="bottom"/>
            <w:shd w:val="clear" w:color="auto" w:fill="EEEEEE"/>
          </w:tcPr>
          <w:p>
            <w:pPr>
              <w:jc w:val="right"/>
              <w:spacing w:after="0"/>
              <w:rPr>
                <w:sz w:val="20"/>
                <w:szCs w:val="20"/>
                <w:color w:val="auto"/>
              </w:rPr>
            </w:pPr>
            <w:r>
              <w:rPr>
                <w:rFonts w:ascii="Arial" w:cs="Arial" w:eastAsia="Arial" w:hAnsi="Arial"/>
                <w:sz w:val="18"/>
                <w:szCs w:val="18"/>
                <w:color w:val="auto"/>
              </w:rPr>
              <w:t>8,560</w:t>
            </w:r>
          </w:p>
        </w:tc>
        <w:tc>
          <w:tcPr>
            <w:tcW w:w="80" w:type="dxa"/>
            <w:vAlign w:val="bottom"/>
            <w:shd w:val="clear" w:color="auto" w:fill="EEEEEE"/>
          </w:tcPr>
          <w:p>
            <w:pPr>
              <w:spacing w:after="0"/>
              <w:rPr>
                <w:sz w:val="18"/>
                <w:szCs w:val="18"/>
                <w:color w:val="auto"/>
              </w:rPr>
            </w:pPr>
          </w:p>
        </w:tc>
      </w:tr>
      <w:tr>
        <w:trPr>
          <w:trHeight w:val="223"/>
        </w:trPr>
        <w:tc>
          <w:tcPr>
            <w:tcW w:w="74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7120" w:type="dxa"/>
            <w:vAlign w:val="bottom"/>
            <w:gridSpan w:val="2"/>
          </w:tcPr>
          <w:p>
            <w:pPr>
              <w:spacing w:after="0"/>
              <w:rPr>
                <w:sz w:val="20"/>
                <w:szCs w:val="20"/>
                <w:color w:val="auto"/>
              </w:rPr>
            </w:pPr>
            <w:r>
              <w:rPr>
                <w:rFonts w:ascii="Arial" w:cs="Arial" w:eastAsia="Arial" w:hAnsi="Arial"/>
                <w:sz w:val="18"/>
                <w:szCs w:val="18"/>
                <w:color w:val="auto"/>
              </w:rPr>
              <w:t>Accumulated Depreciation</w:t>
            </w:r>
          </w:p>
        </w:tc>
        <w:tc>
          <w:tcPr>
            <w:tcW w:w="22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800" w:type="dxa"/>
            <w:vAlign w:val="bottom"/>
            <w:gridSpan w:val="2"/>
          </w:tcPr>
          <w:p>
            <w:pPr>
              <w:jc w:val="right"/>
              <w:ind w:right="20"/>
              <w:spacing w:after="0"/>
              <w:rPr>
                <w:sz w:val="20"/>
                <w:szCs w:val="20"/>
                <w:color w:val="auto"/>
              </w:rPr>
            </w:pPr>
            <w:r>
              <w:rPr>
                <w:rFonts w:ascii="Arial" w:cs="Arial" w:eastAsia="Arial" w:hAnsi="Arial"/>
                <w:sz w:val="18"/>
                <w:szCs w:val="18"/>
                <w:color w:val="auto"/>
              </w:rPr>
              <w:t>(942)</w:t>
            </w:r>
          </w:p>
        </w:tc>
      </w:tr>
      <w:tr>
        <w:trPr>
          <w:trHeight w:val="257"/>
        </w:trPr>
        <w:tc>
          <w:tcPr>
            <w:tcW w:w="740" w:type="dxa"/>
            <w:vAlign w:val="bottom"/>
          </w:tcPr>
          <w:p>
            <w:pPr>
              <w:spacing w:after="0"/>
              <w:rPr>
                <w:sz w:val="22"/>
                <w:szCs w:val="22"/>
                <w:color w:val="auto"/>
              </w:rPr>
            </w:pPr>
          </w:p>
        </w:tc>
        <w:tc>
          <w:tcPr>
            <w:tcW w:w="700" w:type="dxa"/>
            <w:vAlign w:val="bottom"/>
          </w:tcPr>
          <w:p>
            <w:pPr>
              <w:spacing w:after="0"/>
              <w:rPr>
                <w:sz w:val="22"/>
                <w:szCs w:val="22"/>
                <w:color w:val="auto"/>
              </w:rPr>
            </w:pPr>
          </w:p>
        </w:tc>
        <w:tc>
          <w:tcPr>
            <w:tcW w:w="7120" w:type="dxa"/>
            <w:vAlign w:val="bottom"/>
            <w:tcBorders>
              <w:bottom w:val="single" w:sz="8" w:color="EEEEEE"/>
            </w:tcBorders>
            <w:gridSpan w:val="2"/>
            <w:shd w:val="clear" w:color="auto" w:fill="EEEEEE"/>
          </w:tcPr>
          <w:p>
            <w:pPr>
              <w:ind w:left="180"/>
              <w:spacing w:after="0"/>
              <w:rPr>
                <w:sz w:val="20"/>
                <w:szCs w:val="20"/>
                <w:color w:val="auto"/>
              </w:rPr>
            </w:pPr>
            <w:r>
              <w:rPr>
                <w:rFonts w:ascii="Arial" w:cs="Arial" w:eastAsia="Arial" w:hAnsi="Arial"/>
                <w:sz w:val="18"/>
                <w:szCs w:val="18"/>
                <w:color w:val="auto"/>
              </w:rPr>
              <w:t>Property and Equipment, Net</w:t>
            </w:r>
          </w:p>
        </w:tc>
        <w:tc>
          <w:tcPr>
            <w:tcW w:w="220" w:type="dxa"/>
            <w:vAlign w:val="bottom"/>
            <w:tcBorders>
              <w:bottom w:val="single" w:sz="8" w:color="EEEEEE"/>
            </w:tcBorders>
            <w:shd w:val="clear" w:color="auto" w:fill="EEEEEE"/>
          </w:tcPr>
          <w:p>
            <w:pPr>
              <w:spacing w:after="0"/>
              <w:rPr>
                <w:sz w:val="22"/>
                <w:szCs w:val="22"/>
                <w:color w:val="auto"/>
              </w:rPr>
            </w:pPr>
          </w:p>
        </w:tc>
        <w:tc>
          <w:tcPr>
            <w:tcW w:w="400" w:type="dxa"/>
            <w:vAlign w:val="bottom"/>
            <w:tcBorders>
              <w:top w:val="single" w:sz="8" w:color="auto"/>
              <w:bottom w:val="single" w:sz="8" w:color="auto"/>
            </w:tcBorders>
            <w:shd w:val="clear" w:color="auto" w:fill="EEEEEE"/>
          </w:tcPr>
          <w:p>
            <w:pPr>
              <w:jc w:val="right"/>
              <w:ind w:right="210"/>
              <w:spacing w:after="0"/>
              <w:rPr>
                <w:sz w:val="20"/>
                <w:szCs w:val="20"/>
                <w:color w:val="auto"/>
              </w:rPr>
            </w:pPr>
            <w:r>
              <w:rPr>
                <w:rFonts w:ascii="Arial" w:cs="Arial" w:eastAsia="Arial" w:hAnsi="Arial"/>
                <w:sz w:val="18"/>
                <w:szCs w:val="18"/>
                <w:color w:val="auto"/>
                <w:w w:val="79"/>
              </w:rPr>
              <w:t>$</w:t>
            </w:r>
          </w:p>
        </w:tc>
        <w:tc>
          <w:tcPr>
            <w:tcW w:w="720" w:type="dxa"/>
            <w:vAlign w:val="bottom"/>
            <w:tcBorders>
              <w:top w:val="single" w:sz="8" w:color="auto"/>
              <w:bottom w:val="single" w:sz="8" w:color="auto"/>
            </w:tcBorders>
            <w:shd w:val="clear" w:color="auto" w:fill="EEEEEE"/>
          </w:tcPr>
          <w:p>
            <w:pPr>
              <w:jc w:val="right"/>
              <w:spacing w:after="0"/>
              <w:rPr>
                <w:sz w:val="20"/>
                <w:szCs w:val="20"/>
                <w:color w:val="auto"/>
              </w:rPr>
            </w:pPr>
            <w:r>
              <w:rPr>
                <w:rFonts w:ascii="Arial" w:cs="Arial" w:eastAsia="Arial" w:hAnsi="Arial"/>
                <w:sz w:val="18"/>
                <w:szCs w:val="18"/>
                <w:color w:val="auto"/>
              </w:rPr>
              <w:t>7,618</w:t>
            </w:r>
          </w:p>
        </w:tc>
        <w:tc>
          <w:tcPr>
            <w:tcW w:w="80" w:type="dxa"/>
            <w:vAlign w:val="bottom"/>
            <w:tcBorders>
              <w:bottom w:val="single" w:sz="8" w:color="EEEEEE"/>
            </w:tcBorders>
            <w:shd w:val="clear" w:color="auto" w:fill="EEEEEE"/>
          </w:tcPr>
          <w:p>
            <w:pPr>
              <w:spacing w:after="0"/>
              <w:rPr>
                <w:sz w:val="22"/>
                <w:szCs w:val="22"/>
                <w:color w:val="auto"/>
              </w:rPr>
            </w:pPr>
          </w:p>
        </w:tc>
      </w:tr>
    </w:tbl>
    <w:p>
      <w:pPr>
        <w:spacing w:after="0" w:line="256" w:lineRule="exact"/>
        <w:rPr>
          <w:sz w:val="20"/>
          <w:szCs w:val="20"/>
          <w:color w:val="auto"/>
        </w:rPr>
      </w:pPr>
    </w:p>
    <w:p>
      <w:pPr>
        <w:ind w:left="660"/>
        <w:spacing w:after="0"/>
        <w:rPr>
          <w:sz w:val="20"/>
          <w:szCs w:val="20"/>
          <w:color w:val="auto"/>
        </w:rPr>
      </w:pPr>
      <w:r>
        <w:rPr>
          <w:rFonts w:ascii="Arial" w:cs="Arial" w:eastAsia="Arial" w:hAnsi="Arial"/>
          <w:sz w:val="18"/>
          <w:szCs w:val="18"/>
          <w:color w:val="auto"/>
        </w:rPr>
        <w:t>Depreciation expense was $647 for the period ended September 30, 2008.</w:t>
      </w:r>
    </w:p>
    <w:p>
      <w:pPr>
        <w:spacing w:after="0" w:line="200" w:lineRule="exact"/>
        <w:rPr>
          <w:sz w:val="20"/>
          <w:szCs w:val="20"/>
          <w:color w:val="auto"/>
        </w:rPr>
      </w:pPr>
    </w:p>
    <w:p>
      <w:pPr>
        <w:spacing w:after="0" w:line="32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246620" cy="8890"/>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634" w:right="239" w:bottom="1440" w:gutter="0" w:footer="0" w:header="0"/>
        </w:sectPr>
      </w:pPr>
    </w:p>
    <w:bookmarkStart w:id="62" w:name="page63"/>
    <w:bookmarkEnd w:id="62"/>
    <w:p>
      <w:pPr>
        <w:jc w:val="center"/>
        <w:spacing w:after="0"/>
        <w:rPr>
          <w:sz w:val="20"/>
          <w:szCs w:val="20"/>
          <w:color w:val="auto"/>
        </w:rPr>
      </w:pPr>
      <w:r>
        <w:rPr>
          <w:rFonts w:ascii="Arial" w:cs="Arial" w:eastAsia="Arial" w:hAnsi="Arial"/>
          <w:sz w:val="18"/>
          <w:szCs w:val="18"/>
          <w:b w:val="1"/>
          <w:bCs w:val="1"/>
          <w:color w:val="auto"/>
        </w:rPr>
        <w:t>OPTIMIZERx CORPORATION</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OPTIMIZER SYSTEMS, LLC</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 DEVELOPMENT STAGE COMPANY)</w:t>
      </w:r>
    </w:p>
    <w:p>
      <w:pPr>
        <w:spacing w:after="0" w:line="9"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NOTES TO FINANCIAL STATEMENTS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SEPTEMBER 30, 2008</w:t>
      </w:r>
    </w:p>
    <w:p>
      <w:pPr>
        <w:spacing w:after="0" w:line="200" w:lineRule="exact"/>
        <w:rPr>
          <w:sz w:val="20"/>
          <w:szCs w:val="20"/>
          <w:color w:val="auto"/>
        </w:rPr>
      </w:pPr>
    </w:p>
    <w:p>
      <w:pPr>
        <w:spacing w:after="0" w:line="331" w:lineRule="exact"/>
        <w:rPr>
          <w:sz w:val="20"/>
          <w:szCs w:val="20"/>
          <w:color w:val="auto"/>
        </w:rPr>
      </w:pPr>
    </w:p>
    <w:p>
      <w:pPr>
        <w:spacing w:after="0"/>
        <w:tabs>
          <w:tab w:leader="none" w:pos="720" w:val="left"/>
        </w:tabs>
        <w:rPr>
          <w:sz w:val="20"/>
          <w:szCs w:val="20"/>
          <w:color w:val="auto"/>
        </w:rPr>
      </w:pPr>
      <w:r>
        <w:rPr>
          <w:rFonts w:ascii="Arial" w:cs="Arial" w:eastAsia="Arial" w:hAnsi="Arial"/>
          <w:sz w:val="18"/>
          <w:szCs w:val="18"/>
          <w:b w:val="1"/>
          <w:bCs w:val="1"/>
          <w:color w:val="auto"/>
        </w:rPr>
        <w:t>Note 4:</w:t>
      </w:r>
      <w:r>
        <w:rPr>
          <w:sz w:val="20"/>
          <w:szCs w:val="20"/>
          <w:color w:val="auto"/>
        </w:rPr>
        <w:tab/>
      </w:r>
      <w:r>
        <w:rPr>
          <w:rFonts w:ascii="Arial" w:cs="Arial" w:eastAsia="Arial" w:hAnsi="Arial"/>
          <w:sz w:val="15"/>
          <w:szCs w:val="15"/>
          <w:b w:val="1"/>
          <w:bCs w:val="1"/>
          <w:u w:val="single" w:color="auto"/>
          <w:color w:val="auto"/>
        </w:rPr>
        <w:t>Website Development Costs</w:t>
      </w:r>
    </w:p>
    <w:p>
      <w:pPr>
        <w:spacing w:after="0" w:line="283"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Company has capitalized costs in developing their website which consisted of the following at September 30, 2008:</w:t>
      </w:r>
    </w:p>
    <w:p>
      <w:pPr>
        <w:spacing w:after="0" w:line="294" w:lineRule="exact"/>
        <w:rPr>
          <w:sz w:val="20"/>
          <w:szCs w:val="20"/>
          <w:color w:val="auto"/>
        </w:rPr>
      </w:pPr>
    </w:p>
    <w:tbl>
      <w:tblPr>
        <w:tblLayout w:type="fixed"/>
        <w:tblInd w:w="1440" w:type="dxa"/>
        <w:tblCellMar>
          <w:top w:w="0" w:type="dxa"/>
          <w:left w:w="0" w:type="dxa"/>
          <w:bottom w:w="0" w:type="dxa"/>
          <w:right w:w="0" w:type="dxa"/>
        </w:tblCellMar>
      </w:tblPr>
      <w:tr>
        <w:trPr>
          <w:trHeight w:val="216"/>
        </w:trPr>
        <w:tc>
          <w:tcPr>
            <w:tcW w:w="4960" w:type="dxa"/>
            <w:vAlign w:val="bottom"/>
            <w:shd w:val="clear" w:color="auto" w:fill="EEEEEE"/>
          </w:tcPr>
          <w:p>
            <w:pPr>
              <w:spacing w:after="0"/>
              <w:rPr>
                <w:sz w:val="20"/>
                <w:szCs w:val="20"/>
                <w:color w:val="auto"/>
              </w:rPr>
            </w:pPr>
            <w:r>
              <w:rPr>
                <w:rFonts w:ascii="Arial" w:cs="Arial" w:eastAsia="Arial" w:hAnsi="Arial"/>
                <w:sz w:val="18"/>
                <w:szCs w:val="18"/>
                <w:color w:val="auto"/>
              </w:rPr>
              <w:t>Website Costs</w:t>
            </w:r>
          </w:p>
        </w:tc>
        <w:tc>
          <w:tcPr>
            <w:tcW w:w="2700" w:type="dxa"/>
            <w:vAlign w:val="bottom"/>
            <w:gridSpan w:val="2"/>
            <w:shd w:val="clear" w:color="auto" w:fill="EEEEEE"/>
          </w:tcPr>
          <w:p>
            <w:pPr>
              <w:jc w:val="right"/>
              <w:ind w:right="130"/>
              <w:spacing w:after="0"/>
              <w:rPr>
                <w:sz w:val="20"/>
                <w:szCs w:val="20"/>
                <w:color w:val="auto"/>
              </w:rPr>
            </w:pPr>
            <w:r>
              <w:rPr>
                <w:rFonts w:ascii="Arial" w:cs="Arial" w:eastAsia="Arial" w:hAnsi="Arial"/>
                <w:sz w:val="18"/>
                <w:szCs w:val="18"/>
                <w:color w:val="auto"/>
              </w:rPr>
              <w:t>$</w:t>
            </w:r>
          </w:p>
        </w:tc>
        <w:tc>
          <w:tcPr>
            <w:tcW w:w="800" w:type="dxa"/>
            <w:vAlign w:val="bottom"/>
            <w:shd w:val="clear" w:color="auto" w:fill="EEEEEE"/>
          </w:tcPr>
          <w:p>
            <w:pPr>
              <w:jc w:val="right"/>
              <w:spacing w:after="0"/>
              <w:rPr>
                <w:sz w:val="20"/>
                <w:szCs w:val="20"/>
                <w:color w:val="auto"/>
              </w:rPr>
            </w:pPr>
            <w:r>
              <w:rPr>
                <w:rFonts w:ascii="Arial" w:cs="Arial" w:eastAsia="Arial" w:hAnsi="Arial"/>
                <w:sz w:val="18"/>
                <w:szCs w:val="18"/>
                <w:color w:val="auto"/>
              </w:rPr>
              <w:t>181,008</w:t>
            </w:r>
          </w:p>
        </w:tc>
        <w:tc>
          <w:tcPr>
            <w:tcW w:w="80" w:type="dxa"/>
            <w:vAlign w:val="bottom"/>
            <w:shd w:val="clear" w:color="auto" w:fill="EEEEEE"/>
          </w:tcPr>
          <w:p>
            <w:pPr>
              <w:spacing w:after="0"/>
              <w:rPr>
                <w:sz w:val="18"/>
                <w:szCs w:val="18"/>
                <w:color w:val="auto"/>
              </w:rPr>
            </w:pPr>
          </w:p>
        </w:tc>
      </w:tr>
      <w:tr>
        <w:trPr>
          <w:trHeight w:val="216"/>
        </w:trPr>
        <w:tc>
          <w:tcPr>
            <w:tcW w:w="4960" w:type="dxa"/>
            <w:vAlign w:val="bottom"/>
          </w:tcPr>
          <w:p>
            <w:pPr>
              <w:spacing w:after="0"/>
              <w:rPr>
                <w:sz w:val="20"/>
                <w:szCs w:val="20"/>
                <w:color w:val="auto"/>
              </w:rPr>
            </w:pPr>
            <w:r>
              <w:rPr>
                <w:rFonts w:ascii="Arial" w:cs="Arial" w:eastAsia="Arial" w:hAnsi="Arial"/>
                <w:sz w:val="18"/>
                <w:szCs w:val="18"/>
                <w:color w:val="auto"/>
              </w:rPr>
              <w:t>Accumulated Amortization</w:t>
            </w:r>
          </w:p>
        </w:tc>
        <w:tc>
          <w:tcPr>
            <w:tcW w:w="23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880" w:type="dxa"/>
            <w:vAlign w:val="bottom"/>
            <w:gridSpan w:val="2"/>
          </w:tcPr>
          <w:p>
            <w:pPr>
              <w:jc w:val="right"/>
              <w:ind w:right="20"/>
              <w:spacing w:after="0"/>
              <w:rPr>
                <w:sz w:val="20"/>
                <w:szCs w:val="20"/>
                <w:color w:val="auto"/>
              </w:rPr>
            </w:pPr>
            <w:r>
              <w:rPr>
                <w:rFonts w:ascii="Arial" w:cs="Arial" w:eastAsia="Arial" w:hAnsi="Arial"/>
                <w:sz w:val="18"/>
                <w:szCs w:val="18"/>
                <w:color w:val="auto"/>
              </w:rPr>
              <w:t>(29,724)</w:t>
            </w:r>
          </w:p>
        </w:tc>
      </w:tr>
      <w:tr>
        <w:trPr>
          <w:trHeight w:val="21"/>
        </w:trPr>
        <w:tc>
          <w:tcPr>
            <w:tcW w:w="4960" w:type="dxa"/>
            <w:vAlign w:val="bottom"/>
          </w:tcPr>
          <w:p>
            <w:pPr>
              <w:spacing w:after="0" w:line="20" w:lineRule="exact"/>
              <w:rPr>
                <w:sz w:val="1"/>
                <w:szCs w:val="1"/>
                <w:color w:val="auto"/>
              </w:rPr>
            </w:pPr>
          </w:p>
        </w:tc>
        <w:tc>
          <w:tcPr>
            <w:tcW w:w="2380" w:type="dxa"/>
            <w:vAlign w:val="bottom"/>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r>
        <w:trPr>
          <w:trHeight w:val="250"/>
        </w:trPr>
        <w:tc>
          <w:tcPr>
            <w:tcW w:w="4960" w:type="dxa"/>
            <w:vAlign w:val="bottom"/>
            <w:tcBorders>
              <w:bottom w:val="single" w:sz="8" w:color="EEEEEE"/>
            </w:tcBorders>
            <w:shd w:val="clear" w:color="auto" w:fill="EEEEEE"/>
          </w:tcPr>
          <w:p>
            <w:pPr>
              <w:ind w:left="180"/>
              <w:spacing w:after="0"/>
              <w:rPr>
                <w:sz w:val="20"/>
                <w:szCs w:val="20"/>
                <w:color w:val="auto"/>
              </w:rPr>
            </w:pPr>
            <w:r>
              <w:rPr>
                <w:rFonts w:ascii="Arial" w:cs="Arial" w:eastAsia="Arial" w:hAnsi="Arial"/>
                <w:sz w:val="18"/>
                <w:szCs w:val="18"/>
                <w:color w:val="auto"/>
              </w:rPr>
              <w:t>Website Development Costs, Net</w:t>
            </w:r>
          </w:p>
        </w:tc>
        <w:tc>
          <w:tcPr>
            <w:tcW w:w="2380" w:type="dxa"/>
            <w:vAlign w:val="bottom"/>
            <w:tcBorders>
              <w:bottom w:val="single" w:sz="8" w:color="EEEEEE"/>
            </w:tcBorders>
            <w:shd w:val="clear" w:color="auto" w:fill="EEEEEE"/>
          </w:tcPr>
          <w:p>
            <w:pPr>
              <w:spacing w:after="0"/>
              <w:rPr>
                <w:sz w:val="21"/>
                <w:szCs w:val="21"/>
                <w:color w:val="auto"/>
              </w:rPr>
            </w:pPr>
          </w:p>
        </w:tc>
        <w:tc>
          <w:tcPr>
            <w:tcW w:w="320" w:type="dxa"/>
            <w:vAlign w:val="bottom"/>
            <w:tcBorders>
              <w:bottom w:val="single" w:sz="8" w:color="auto"/>
            </w:tcBorders>
            <w:shd w:val="clear" w:color="auto" w:fill="EEEEEE"/>
          </w:tcPr>
          <w:p>
            <w:pPr>
              <w:jc w:val="right"/>
              <w:ind w:right="130"/>
              <w:spacing w:after="0"/>
              <w:rPr>
                <w:sz w:val="20"/>
                <w:szCs w:val="20"/>
                <w:color w:val="auto"/>
              </w:rPr>
            </w:pPr>
            <w:r>
              <w:rPr>
                <w:rFonts w:ascii="Arial" w:cs="Arial" w:eastAsia="Arial" w:hAnsi="Arial"/>
                <w:sz w:val="18"/>
                <w:szCs w:val="18"/>
                <w:color w:val="auto"/>
                <w:w w:val="79"/>
              </w:rPr>
              <w:t>$</w:t>
            </w:r>
          </w:p>
        </w:tc>
        <w:tc>
          <w:tcPr>
            <w:tcW w:w="800" w:type="dxa"/>
            <w:vAlign w:val="bottom"/>
            <w:tcBorders>
              <w:bottom w:val="single" w:sz="8" w:color="auto"/>
            </w:tcBorders>
            <w:shd w:val="clear" w:color="auto" w:fill="EEEEEE"/>
          </w:tcPr>
          <w:p>
            <w:pPr>
              <w:jc w:val="right"/>
              <w:spacing w:after="0"/>
              <w:rPr>
                <w:sz w:val="20"/>
                <w:szCs w:val="20"/>
                <w:color w:val="auto"/>
              </w:rPr>
            </w:pPr>
            <w:r>
              <w:rPr>
                <w:rFonts w:ascii="Arial" w:cs="Arial" w:eastAsia="Arial" w:hAnsi="Arial"/>
                <w:sz w:val="18"/>
                <w:szCs w:val="18"/>
                <w:color w:val="auto"/>
              </w:rPr>
              <w:t>151,284</w:t>
            </w:r>
          </w:p>
        </w:tc>
        <w:tc>
          <w:tcPr>
            <w:tcW w:w="80" w:type="dxa"/>
            <w:vAlign w:val="bottom"/>
            <w:tcBorders>
              <w:bottom w:val="single" w:sz="8" w:color="EEEEEE"/>
            </w:tcBorders>
            <w:shd w:val="clear" w:color="auto" w:fill="EEEEEE"/>
          </w:tcPr>
          <w:p>
            <w:pPr>
              <w:spacing w:after="0"/>
              <w:rPr>
                <w:sz w:val="21"/>
                <w:szCs w:val="21"/>
                <w:color w:val="auto"/>
              </w:rPr>
            </w:pPr>
          </w:p>
        </w:tc>
      </w:tr>
    </w:tbl>
    <w:p>
      <w:pPr>
        <w:spacing w:after="0" w:line="256" w:lineRule="exact"/>
        <w:rPr>
          <w:sz w:val="20"/>
          <w:szCs w:val="20"/>
          <w:color w:val="auto"/>
        </w:rPr>
      </w:pPr>
    </w:p>
    <w:p>
      <w:pPr>
        <w:jc w:val="both"/>
        <w:ind w:left="660"/>
        <w:spacing w:after="0" w:line="277" w:lineRule="auto"/>
        <w:rPr>
          <w:sz w:val="20"/>
          <w:szCs w:val="20"/>
          <w:color w:val="auto"/>
        </w:rPr>
      </w:pPr>
      <w:r>
        <w:rPr>
          <w:rFonts w:ascii="Arial" w:cs="Arial" w:eastAsia="Arial" w:hAnsi="Arial"/>
          <w:sz w:val="18"/>
          <w:szCs w:val="18"/>
          <w:color w:val="auto"/>
        </w:rPr>
        <w:t>The Company began amortizing the website costs, using the straight-line method over the estimated useful life of 5 years, once it was put into service in December of 2007.</w:t>
      </w:r>
    </w:p>
    <w:p>
      <w:pPr>
        <w:spacing w:after="0" w:line="224" w:lineRule="exact"/>
        <w:rPr>
          <w:sz w:val="20"/>
          <w:szCs w:val="20"/>
          <w:color w:val="auto"/>
        </w:rPr>
      </w:pPr>
    </w:p>
    <w:p>
      <w:pPr>
        <w:ind w:left="660"/>
        <w:spacing w:after="0"/>
        <w:rPr>
          <w:sz w:val="20"/>
          <w:szCs w:val="20"/>
          <w:color w:val="auto"/>
        </w:rPr>
      </w:pPr>
      <w:r>
        <w:rPr>
          <w:rFonts w:ascii="Arial" w:cs="Arial" w:eastAsia="Arial" w:hAnsi="Arial"/>
          <w:sz w:val="18"/>
          <w:szCs w:val="18"/>
          <w:color w:val="auto"/>
        </w:rPr>
        <w:t>Amortization expense was $27,152 for the period ended September 30, 2008.</w:t>
      </w:r>
    </w:p>
    <w:p>
      <w:pPr>
        <w:spacing w:after="0" w:line="275" w:lineRule="exact"/>
        <w:rPr>
          <w:sz w:val="20"/>
          <w:szCs w:val="20"/>
          <w:color w:val="auto"/>
        </w:rPr>
      </w:pPr>
    </w:p>
    <w:p>
      <w:pPr>
        <w:spacing w:after="0"/>
        <w:tabs>
          <w:tab w:leader="none" w:pos="720" w:val="left"/>
        </w:tabs>
        <w:rPr>
          <w:sz w:val="20"/>
          <w:szCs w:val="20"/>
          <w:color w:val="auto"/>
        </w:rPr>
      </w:pPr>
      <w:r>
        <w:rPr>
          <w:rFonts w:ascii="Arial" w:cs="Arial" w:eastAsia="Arial" w:hAnsi="Arial"/>
          <w:sz w:val="18"/>
          <w:szCs w:val="18"/>
          <w:b w:val="1"/>
          <w:bCs w:val="1"/>
          <w:color w:val="auto"/>
        </w:rPr>
        <w:t>Note 5:</w:t>
      </w:r>
      <w:r>
        <w:rPr>
          <w:sz w:val="20"/>
          <w:szCs w:val="20"/>
          <w:color w:val="auto"/>
        </w:rPr>
        <w:tab/>
      </w:r>
      <w:r>
        <w:rPr>
          <w:rFonts w:ascii="Arial" w:cs="Arial" w:eastAsia="Arial" w:hAnsi="Arial"/>
          <w:sz w:val="16"/>
          <w:szCs w:val="16"/>
          <w:b w:val="1"/>
          <w:bCs w:val="1"/>
          <w:u w:val="single" w:color="auto"/>
          <w:color w:val="auto"/>
        </w:rPr>
        <w:t>Commitments and Contingencies</w:t>
      </w:r>
    </w:p>
    <w:p>
      <w:pPr>
        <w:spacing w:after="0" w:line="283"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company leases its offices for $2,500 a month and has signed a lease through May 31, 2009.</w:t>
      </w:r>
    </w:p>
    <w:p>
      <w:pPr>
        <w:spacing w:after="0" w:line="279" w:lineRule="exact"/>
        <w:rPr>
          <w:sz w:val="20"/>
          <w:szCs w:val="20"/>
          <w:color w:val="auto"/>
        </w:rPr>
      </w:pPr>
    </w:p>
    <w:p>
      <w:pPr>
        <w:ind w:left="1440"/>
        <w:spacing w:after="0"/>
        <w:tabs>
          <w:tab w:leader="none" w:pos="8800" w:val="left"/>
          <w:tab w:leader="none" w:pos="9360" w:val="left"/>
        </w:tabs>
        <w:rPr>
          <w:sz w:val="20"/>
          <w:szCs w:val="20"/>
          <w:color w:val="auto"/>
        </w:rPr>
      </w:pPr>
      <w:r>
        <w:rPr>
          <w:rFonts w:ascii="Arial" w:cs="Arial" w:eastAsia="Arial" w:hAnsi="Arial"/>
          <w:sz w:val="18"/>
          <w:szCs w:val="18"/>
          <w:color w:val="auto"/>
        </w:rPr>
        <w:t>September 30, 2009</w:t>
      </w:r>
      <w:r>
        <w:rPr>
          <w:sz w:val="20"/>
          <w:szCs w:val="20"/>
          <w:color w:val="auto"/>
        </w:rPr>
        <w:tab/>
      </w:r>
      <w:r>
        <w:rPr>
          <w:rFonts w:ascii="Arial" w:cs="Arial" w:eastAsia="Arial" w:hAnsi="Arial"/>
          <w:sz w:val="18"/>
          <w:szCs w:val="18"/>
          <w:color w:val="auto"/>
        </w:rPr>
        <w:t>$</w:t>
      </w:r>
      <w:r>
        <w:rPr>
          <w:sz w:val="20"/>
          <w:szCs w:val="20"/>
          <w:color w:val="auto"/>
        </w:rPr>
        <w:tab/>
      </w:r>
      <w:r>
        <w:rPr>
          <w:rFonts w:ascii="Arial" w:cs="Arial" w:eastAsia="Arial" w:hAnsi="Arial"/>
          <w:sz w:val="15"/>
          <w:szCs w:val="15"/>
          <w:color w:val="auto"/>
        </w:rPr>
        <w:t>20,000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914400</wp:posOffset>
            </wp:positionH>
            <wp:positionV relativeFrom="paragraph">
              <wp:posOffset>-121920</wp:posOffset>
            </wp:positionV>
            <wp:extent cx="5428615" cy="137160"/>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5428615" cy="137160"/>
                    </a:xfrm>
                    <a:prstGeom prst="rect">
                      <a:avLst/>
                    </a:prstGeom>
                    <a:noFill/>
                  </pic:spPr>
                </pic:pic>
              </a:graphicData>
            </a:graphic>
          </wp:anchor>
        </w:drawing>
      </w:r>
    </w:p>
    <w:p>
      <w:pPr>
        <w:spacing w:after="0" w:line="255" w:lineRule="exact"/>
        <w:rPr>
          <w:sz w:val="20"/>
          <w:szCs w:val="20"/>
          <w:color w:val="auto"/>
        </w:rPr>
      </w:pPr>
    </w:p>
    <w:p>
      <w:pPr>
        <w:spacing w:after="0"/>
        <w:tabs>
          <w:tab w:leader="none" w:pos="720" w:val="left"/>
        </w:tabs>
        <w:rPr>
          <w:sz w:val="20"/>
          <w:szCs w:val="20"/>
          <w:color w:val="auto"/>
        </w:rPr>
      </w:pPr>
      <w:r>
        <w:rPr>
          <w:rFonts w:ascii="Arial" w:cs="Arial" w:eastAsia="Arial" w:hAnsi="Arial"/>
          <w:sz w:val="18"/>
          <w:szCs w:val="18"/>
          <w:b w:val="1"/>
          <w:bCs w:val="1"/>
          <w:color w:val="auto"/>
        </w:rPr>
        <w:t>Note 6:</w:t>
      </w:r>
      <w:r>
        <w:rPr>
          <w:sz w:val="20"/>
          <w:szCs w:val="20"/>
          <w:color w:val="auto"/>
        </w:rPr>
        <w:tab/>
      </w:r>
      <w:r>
        <w:rPr>
          <w:rFonts w:ascii="Arial" w:cs="Arial" w:eastAsia="Arial" w:hAnsi="Arial"/>
          <w:sz w:val="16"/>
          <w:szCs w:val="16"/>
          <w:b w:val="1"/>
          <w:bCs w:val="1"/>
          <w:u w:val="single" w:color="auto"/>
          <w:color w:val="auto"/>
        </w:rPr>
        <w:t>Dividend Distribution</w:t>
      </w:r>
    </w:p>
    <w:p>
      <w:pPr>
        <w:spacing w:after="0" w:line="283" w:lineRule="exact"/>
        <w:rPr>
          <w:sz w:val="20"/>
          <w:szCs w:val="20"/>
          <w:color w:val="auto"/>
        </w:rPr>
      </w:pPr>
    </w:p>
    <w:p>
      <w:pPr>
        <w:jc w:val="both"/>
        <w:ind w:left="660"/>
        <w:spacing w:after="0" w:line="308" w:lineRule="auto"/>
        <w:rPr>
          <w:sz w:val="20"/>
          <w:szCs w:val="20"/>
          <w:color w:val="auto"/>
        </w:rPr>
      </w:pPr>
      <w:r>
        <w:rPr>
          <w:rFonts w:ascii="Arial" w:cs="Arial" w:eastAsia="Arial" w:hAnsi="Arial"/>
          <w:sz w:val="17"/>
          <w:szCs w:val="17"/>
          <w:color w:val="auto"/>
        </w:rPr>
        <w:t>The Company recorded a one-time, non-cash deemed dividend on October 18, 2007 of $33,461. This dividend resulted due to the continuous efforts of acquiring all the assets from the LLC. Through this dividend, the Company acquired all assets and liabilities of the LLC.</w:t>
      </w:r>
    </w:p>
    <w:p>
      <w:pPr>
        <w:spacing w:after="0" w:line="197" w:lineRule="exact"/>
        <w:rPr>
          <w:sz w:val="20"/>
          <w:szCs w:val="20"/>
          <w:color w:val="auto"/>
        </w:rPr>
      </w:pPr>
    </w:p>
    <w:p>
      <w:pPr>
        <w:spacing w:after="0"/>
        <w:tabs>
          <w:tab w:leader="none" w:pos="720" w:val="left"/>
        </w:tabs>
        <w:rPr>
          <w:sz w:val="20"/>
          <w:szCs w:val="20"/>
          <w:color w:val="auto"/>
        </w:rPr>
      </w:pPr>
      <w:r>
        <w:rPr>
          <w:rFonts w:ascii="Arial" w:cs="Arial" w:eastAsia="Arial" w:hAnsi="Arial"/>
          <w:sz w:val="18"/>
          <w:szCs w:val="18"/>
          <w:b w:val="1"/>
          <w:bCs w:val="1"/>
          <w:color w:val="auto"/>
        </w:rPr>
        <w:t>Note 7:</w:t>
      </w:r>
      <w:r>
        <w:rPr>
          <w:sz w:val="20"/>
          <w:szCs w:val="20"/>
          <w:color w:val="auto"/>
        </w:rPr>
        <w:tab/>
      </w:r>
      <w:r>
        <w:rPr>
          <w:rFonts w:ascii="Arial" w:cs="Arial" w:eastAsia="Arial" w:hAnsi="Arial"/>
          <w:sz w:val="16"/>
          <w:szCs w:val="16"/>
          <w:b w:val="1"/>
          <w:bCs w:val="1"/>
          <w:u w:val="single" w:color="auto"/>
          <w:color w:val="auto"/>
        </w:rPr>
        <w:t>Capital Stock</w:t>
      </w:r>
    </w:p>
    <w:p>
      <w:pPr>
        <w:spacing w:after="0" w:line="283" w:lineRule="exact"/>
        <w:rPr>
          <w:sz w:val="20"/>
          <w:szCs w:val="20"/>
          <w:color w:val="auto"/>
        </w:rPr>
      </w:pPr>
    </w:p>
    <w:p>
      <w:pPr>
        <w:jc w:val="both"/>
        <w:ind w:left="660" w:right="20"/>
        <w:spacing w:after="0" w:line="277" w:lineRule="auto"/>
        <w:rPr>
          <w:sz w:val="20"/>
          <w:szCs w:val="20"/>
          <w:color w:val="auto"/>
        </w:rPr>
      </w:pPr>
      <w:r>
        <w:rPr>
          <w:rFonts w:ascii="Arial" w:cs="Arial" w:eastAsia="Arial" w:hAnsi="Arial"/>
          <w:sz w:val="18"/>
          <w:szCs w:val="18"/>
          <w:color w:val="auto"/>
        </w:rPr>
        <w:t>The Company has 40,000,000 shares of $.001 par value common stock authorized as of December 31, 2007. There were 10,300,000 common shares issued and outstanding at December 31, 2007.</w:t>
      </w:r>
    </w:p>
    <w:p>
      <w:pPr>
        <w:spacing w:after="0" w:line="224" w:lineRule="exact"/>
        <w:rPr>
          <w:sz w:val="20"/>
          <w:szCs w:val="20"/>
          <w:color w:val="auto"/>
        </w:rPr>
      </w:pPr>
    </w:p>
    <w:p>
      <w:pPr>
        <w:jc w:val="both"/>
        <w:ind w:left="660"/>
        <w:spacing w:after="0" w:line="264" w:lineRule="auto"/>
        <w:rPr>
          <w:sz w:val="20"/>
          <w:szCs w:val="20"/>
          <w:color w:val="auto"/>
        </w:rPr>
      </w:pPr>
      <w:r>
        <w:rPr>
          <w:rFonts w:ascii="Arial" w:cs="Arial" w:eastAsia="Arial" w:hAnsi="Arial"/>
          <w:sz w:val="18"/>
          <w:szCs w:val="18"/>
          <w:color w:val="auto"/>
        </w:rPr>
        <w:t>An additional 6,350,000 shares of common stock were sold during the period ended Sept 30, 2008. At September 30, 2008, there were 16,650,000 common shares issued and outstanding. An additional 35 shares of preferred stock were sold during the period ended September 30, 2008. There were 35 preferred shares issued and outstanding at September 30, 2008.</w:t>
      </w:r>
    </w:p>
    <w:p>
      <w:pPr>
        <w:spacing w:after="0" w:line="200" w:lineRule="exact"/>
        <w:rPr>
          <w:sz w:val="20"/>
          <w:szCs w:val="20"/>
          <w:color w:val="auto"/>
        </w:rPr>
      </w:pPr>
    </w:p>
    <w:p>
      <w:pPr>
        <w:spacing w:after="0" w:line="27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246620" cy="8890"/>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634" w:right="239" w:bottom="1440" w:gutter="0" w:footer="0" w:header="0"/>
        </w:sectPr>
      </w:pPr>
    </w:p>
    <w:bookmarkStart w:id="63" w:name="page64"/>
    <w:bookmarkEnd w:id="63"/>
    <w:p>
      <w:pPr>
        <w:jc w:val="center"/>
        <w:ind w:right="-19"/>
        <w:spacing w:after="0"/>
        <w:rPr>
          <w:sz w:val="20"/>
          <w:szCs w:val="20"/>
          <w:color w:val="auto"/>
        </w:rPr>
      </w:pPr>
      <w:r>
        <w:rPr>
          <w:rFonts w:ascii="Arial" w:cs="Arial" w:eastAsia="Arial" w:hAnsi="Arial"/>
          <w:sz w:val="18"/>
          <w:szCs w:val="18"/>
          <w:b w:val="1"/>
          <w:bCs w:val="1"/>
          <w:color w:val="auto"/>
        </w:rPr>
        <w:t>OPTIMIZERx CORPORATION</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OPTIMIZER SYSTEMS, LLC</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 DEVELOPMENT STAGE COMPANY)</w:t>
      </w:r>
    </w:p>
    <w:p>
      <w:pPr>
        <w:spacing w:after="0" w:line="9"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NOTES TO FINANCIAL STATEMENTS</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SEPTEMBER 30, 2008</w:t>
      </w:r>
    </w:p>
    <w:p>
      <w:pPr>
        <w:spacing w:after="0" w:line="261" w:lineRule="exact"/>
        <w:rPr>
          <w:sz w:val="20"/>
          <w:szCs w:val="20"/>
          <w:color w:val="auto"/>
        </w:rPr>
      </w:pPr>
    </w:p>
    <w:p>
      <w:pPr>
        <w:spacing w:after="0"/>
        <w:tabs>
          <w:tab w:leader="none" w:pos="720" w:val="left"/>
        </w:tabs>
        <w:rPr>
          <w:sz w:val="20"/>
          <w:szCs w:val="20"/>
          <w:color w:val="auto"/>
        </w:rPr>
      </w:pPr>
      <w:r>
        <w:rPr>
          <w:rFonts w:ascii="Arial" w:cs="Arial" w:eastAsia="Arial" w:hAnsi="Arial"/>
          <w:sz w:val="18"/>
          <w:szCs w:val="18"/>
          <w:b w:val="1"/>
          <w:bCs w:val="1"/>
          <w:color w:val="auto"/>
        </w:rPr>
        <w:t>Note 8:</w:t>
      </w:r>
      <w:r>
        <w:rPr>
          <w:sz w:val="20"/>
          <w:szCs w:val="20"/>
          <w:color w:val="auto"/>
        </w:rPr>
        <w:tab/>
      </w:r>
      <w:r>
        <w:rPr>
          <w:rFonts w:ascii="Arial" w:cs="Arial" w:eastAsia="Arial" w:hAnsi="Arial"/>
          <w:sz w:val="15"/>
          <w:szCs w:val="15"/>
          <w:b w:val="1"/>
          <w:bCs w:val="1"/>
          <w:u w:val="single" w:color="auto"/>
          <w:color w:val="auto"/>
        </w:rPr>
        <w:t>Income Taxes</w:t>
      </w:r>
    </w:p>
    <w:p>
      <w:pPr>
        <w:spacing w:after="0" w:line="283" w:lineRule="exact"/>
        <w:rPr>
          <w:sz w:val="20"/>
          <w:szCs w:val="20"/>
          <w:color w:val="auto"/>
        </w:rPr>
      </w:pPr>
    </w:p>
    <w:p>
      <w:pPr>
        <w:jc w:val="both"/>
        <w:ind w:left="660"/>
        <w:spacing w:after="0" w:line="279" w:lineRule="auto"/>
        <w:rPr>
          <w:sz w:val="20"/>
          <w:szCs w:val="20"/>
          <w:color w:val="auto"/>
        </w:rPr>
      </w:pPr>
      <w:r>
        <w:rPr>
          <w:rFonts w:ascii="Arial" w:cs="Arial" w:eastAsia="Arial" w:hAnsi="Arial"/>
          <w:sz w:val="17"/>
          <w:szCs w:val="17"/>
          <w:color w:val="auto"/>
        </w:rPr>
        <w:t>For the period ended September 30, 2008, the Company has incurred a net loss of approximately $903,000 and therefore has no tax liability. The company began operations in 2007 had approximately $200,000 of loss carry-forwards. The 2008 loss will be carried forward and can be used through the year 2028 to offset future taxable income. In the future the cumulative net operating loss carry-forward for income tax purposes may differ from the cumulative financial statement loss due to timing differences between book and tax reporting.</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cumulative tax effect at the expected rate of 34% of significant items comprising our net deferred tax amount is as follows:</w:t>
      </w:r>
    </w:p>
    <w:p>
      <w:pPr>
        <w:sectPr>
          <w:pgSz w:w="11900" w:h="16838" w:orient="portrait"/>
          <w:cols w:equalWidth="0" w:num="1">
            <w:col w:w="11420"/>
          </w:cols>
          <w:pgMar w:left="240" w:top="634" w:right="2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338" w:lineRule="exact"/>
        <w:rPr>
          <w:sz w:val="20"/>
          <w:szCs w:val="20"/>
          <w:color w:val="auto"/>
        </w:rPr>
      </w:pPr>
    </w:p>
    <w:p>
      <w:pPr>
        <w:ind w:left="1440"/>
        <w:spacing w:after="0"/>
        <w:rPr>
          <w:sz w:val="20"/>
          <w:szCs w:val="20"/>
          <w:color w:val="auto"/>
        </w:rPr>
      </w:pPr>
      <w:r>
        <w:rPr>
          <w:rFonts w:ascii="Arial" w:cs="Arial" w:eastAsia="Arial" w:hAnsi="Arial"/>
          <w:sz w:val="16"/>
          <w:szCs w:val="16"/>
          <w:color w:val="auto"/>
        </w:rPr>
        <w:t>Deferred tax asset attributable to: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914400</wp:posOffset>
            </wp:positionH>
            <wp:positionV relativeFrom="paragraph">
              <wp:posOffset>-107315</wp:posOffset>
            </wp:positionV>
            <wp:extent cx="5428615" cy="137160"/>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5428615" cy="137160"/>
                    </a:xfrm>
                    <a:prstGeom prst="rect">
                      <a:avLst/>
                    </a:prstGeom>
                    <a:noFill/>
                  </pic:spPr>
                </pic:pic>
              </a:graphicData>
            </a:graphic>
          </wp:anchor>
        </w:drawing>
      </w:r>
    </w:p>
    <w:p>
      <w:pPr>
        <w:spacing w:after="0" w:line="26" w:lineRule="exact"/>
        <w:rPr>
          <w:sz w:val="20"/>
          <w:szCs w:val="20"/>
          <w:color w:val="auto"/>
        </w:rPr>
      </w:pPr>
    </w:p>
    <w:p>
      <w:pPr>
        <w:ind w:left="1600"/>
        <w:spacing w:after="0"/>
        <w:rPr>
          <w:sz w:val="20"/>
          <w:szCs w:val="20"/>
          <w:color w:val="auto"/>
        </w:rPr>
      </w:pPr>
      <w:r>
        <w:rPr>
          <w:rFonts w:ascii="Arial" w:cs="Arial" w:eastAsia="Arial" w:hAnsi="Arial"/>
          <w:sz w:val="17"/>
          <w:szCs w:val="17"/>
          <w:color w:val="auto"/>
        </w:rPr>
        <w:t>Net operating loss carryover</w:t>
      </w:r>
    </w:p>
    <w:p>
      <w:pPr>
        <w:spacing w:after="0" w:line="21" w:lineRule="exact"/>
        <w:rPr>
          <w:sz w:val="20"/>
          <w:szCs w:val="20"/>
          <w:color w:val="auto"/>
        </w:rPr>
      </w:pPr>
    </w:p>
    <w:p>
      <w:pPr>
        <w:ind w:left="1600"/>
        <w:spacing w:after="0"/>
        <w:rPr>
          <w:sz w:val="20"/>
          <w:szCs w:val="20"/>
          <w:color w:val="auto"/>
        </w:rPr>
      </w:pPr>
      <w:r>
        <w:rPr>
          <w:rFonts w:ascii="Arial" w:cs="Arial" w:eastAsia="Arial" w:hAnsi="Arial"/>
          <w:sz w:val="18"/>
          <w:szCs w:val="18"/>
          <w:color w:val="auto"/>
        </w:rPr>
        <w:t>Valuation allowance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914400</wp:posOffset>
            </wp:positionH>
            <wp:positionV relativeFrom="paragraph">
              <wp:posOffset>-130810</wp:posOffset>
            </wp:positionV>
            <wp:extent cx="5428615" cy="154305"/>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5428615" cy="154305"/>
                    </a:xfrm>
                    <a:prstGeom prst="rect">
                      <a:avLst/>
                    </a:prstGeom>
                    <a:noFill/>
                  </pic:spPr>
                </pic:pic>
              </a:graphicData>
            </a:graphic>
          </wp:anchor>
        </w:drawing>
      </w:r>
    </w:p>
    <w:p>
      <w:pPr>
        <w:spacing w:after="0" w:line="2" w:lineRule="exact"/>
        <w:rPr>
          <w:sz w:val="20"/>
          <w:szCs w:val="20"/>
          <w:color w:val="auto"/>
        </w:rPr>
      </w:pPr>
    </w:p>
    <w:p>
      <w:pPr>
        <w:ind w:left="1760"/>
        <w:spacing w:after="0"/>
        <w:rPr>
          <w:sz w:val="20"/>
          <w:szCs w:val="20"/>
          <w:color w:val="auto"/>
        </w:rPr>
      </w:pPr>
      <w:r>
        <w:rPr>
          <w:rFonts w:ascii="Arial" w:cs="Arial" w:eastAsia="Arial" w:hAnsi="Arial"/>
          <w:sz w:val="18"/>
          <w:szCs w:val="18"/>
          <w:color w:val="auto"/>
        </w:rPr>
        <w:t>Net deferred tax asset</w:t>
      </w:r>
    </w:p>
    <w:p>
      <w:pPr>
        <w:spacing w:after="0" w:line="20" w:lineRule="exact"/>
        <w:rPr>
          <w:sz w:val="20"/>
          <w:szCs w:val="20"/>
          <w:color w:val="auto"/>
        </w:rPr>
      </w:pPr>
      <w:r>
        <w:rPr>
          <w:sz w:val="20"/>
          <w:szCs w:val="20"/>
          <w:color w:val="auto"/>
        </w:rPr>
        <w:br w:type="column"/>
      </w:r>
    </w:p>
    <w:p>
      <w:pPr>
        <w:spacing w:after="0" w:line="259" w:lineRule="exact"/>
        <w:rPr>
          <w:sz w:val="20"/>
          <w:szCs w:val="20"/>
          <w:color w:val="auto"/>
        </w:rPr>
      </w:pPr>
    </w:p>
    <w:p>
      <w:pPr>
        <w:jc w:val="center"/>
        <w:ind w:right="1540"/>
        <w:spacing w:after="0"/>
        <w:rPr>
          <w:sz w:val="20"/>
          <w:szCs w:val="20"/>
          <w:color w:val="auto"/>
        </w:rPr>
      </w:pPr>
      <w:r>
        <w:rPr>
          <w:rFonts w:ascii="Arial" w:cs="Arial" w:eastAsia="Arial" w:hAnsi="Arial"/>
          <w:sz w:val="16"/>
          <w:szCs w:val="16"/>
          <w:color w:val="auto"/>
        </w:rPr>
        <w:t>September 30,</w:t>
      </w:r>
    </w:p>
    <w:p>
      <w:pPr>
        <w:spacing w:after="0" w:line="46" w:lineRule="exact"/>
        <w:rPr>
          <w:sz w:val="20"/>
          <w:szCs w:val="20"/>
          <w:color w:val="auto"/>
        </w:rPr>
      </w:pPr>
    </w:p>
    <w:p>
      <w:pPr>
        <w:jc w:val="center"/>
        <w:ind w:right="1540"/>
        <w:spacing w:after="0"/>
        <w:rPr>
          <w:sz w:val="20"/>
          <w:szCs w:val="20"/>
          <w:color w:val="auto"/>
        </w:rPr>
      </w:pPr>
      <w:r>
        <w:rPr>
          <w:rFonts w:ascii="Arial" w:cs="Arial" w:eastAsia="Arial" w:hAnsi="Arial"/>
          <w:sz w:val="18"/>
          <w:szCs w:val="18"/>
          <w:color w:val="auto"/>
        </w:rPr>
        <w:t>2008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5715</wp:posOffset>
            </wp:positionV>
            <wp:extent cx="711835" cy="17145"/>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711835" cy="17145"/>
                    </a:xfrm>
                    <a:prstGeom prst="rect">
                      <a:avLst/>
                    </a:prstGeom>
                    <a:noFill/>
                  </pic:spPr>
                </pic:pic>
              </a:graphicData>
            </a:graphic>
          </wp:anchor>
        </w:drawing>
      </w:r>
    </w:p>
    <w:p>
      <w:pPr>
        <w:spacing w:after="0" w:line="218" w:lineRule="exact"/>
        <w:rPr>
          <w:sz w:val="20"/>
          <w:szCs w:val="20"/>
          <w:color w:val="auto"/>
        </w:rPr>
      </w:pPr>
    </w:p>
    <w:p>
      <w:pPr>
        <w:ind w:left="520" w:hanging="514"/>
        <w:spacing w:after="0"/>
        <w:tabs>
          <w:tab w:leader="none" w:pos="520" w:val="left"/>
        </w:tabs>
        <w:numPr>
          <w:ilvl w:val="0"/>
          <w:numId w:val="36"/>
        </w:numPr>
        <w:rPr>
          <w:rFonts w:ascii="Arial" w:cs="Arial" w:eastAsia="Arial" w:hAnsi="Arial"/>
          <w:sz w:val="18"/>
          <w:szCs w:val="18"/>
          <w:color w:val="auto"/>
        </w:rPr>
      </w:pPr>
      <w:r>
        <w:rPr>
          <w:rFonts w:ascii="Arial" w:cs="Arial" w:eastAsia="Arial" w:hAnsi="Arial"/>
          <w:sz w:val="18"/>
          <w:szCs w:val="18"/>
          <w:color w:val="auto"/>
        </w:rPr>
        <w:t>375,000</w:t>
      </w:r>
    </w:p>
    <w:p>
      <w:pPr>
        <w:spacing w:after="0" w:line="23" w:lineRule="exact"/>
        <w:rPr>
          <w:rFonts w:ascii="Arial" w:cs="Arial" w:eastAsia="Arial" w:hAnsi="Arial"/>
          <w:sz w:val="18"/>
          <w:szCs w:val="18"/>
          <w:color w:val="auto"/>
        </w:rPr>
      </w:pPr>
    </w:p>
    <w:p>
      <w:pPr>
        <w:ind w:left="460"/>
        <w:spacing w:after="0"/>
        <w:rPr>
          <w:rFonts w:ascii="Arial" w:cs="Arial" w:eastAsia="Arial" w:hAnsi="Arial"/>
          <w:sz w:val="18"/>
          <w:szCs w:val="18"/>
          <w:color w:val="auto"/>
        </w:rPr>
      </w:pPr>
      <w:r>
        <w:rPr>
          <w:rFonts w:ascii="Arial" w:cs="Arial" w:eastAsia="Arial" w:hAnsi="Arial"/>
          <w:sz w:val="16"/>
          <w:szCs w:val="16"/>
          <w:color w:val="auto"/>
        </w:rPr>
        <w:t>(375,000)</w:t>
      </w:r>
    </w:p>
    <w:p>
      <w:pPr>
        <w:spacing w:after="0" w:line="45" w:lineRule="exact"/>
        <w:rPr>
          <w:sz w:val="20"/>
          <w:szCs w:val="20"/>
          <w:color w:val="auto"/>
        </w:rPr>
      </w:pPr>
    </w:p>
    <w:p>
      <w:pPr>
        <w:ind w:left="1060" w:hanging="1054"/>
        <w:spacing w:after="0"/>
        <w:tabs>
          <w:tab w:leader="none" w:pos="1060" w:val="left"/>
        </w:tabs>
        <w:numPr>
          <w:ilvl w:val="0"/>
          <w:numId w:val="37"/>
        </w:numPr>
        <w:rPr>
          <w:rFonts w:ascii="Arial" w:cs="Arial" w:eastAsia="Arial" w:hAnsi="Arial"/>
          <w:sz w:val="18"/>
          <w:szCs w:val="18"/>
          <w:color w:val="auto"/>
        </w:rPr>
      </w:pPr>
      <w:r>
        <w:rPr>
          <w:rFonts w:ascii="Arial" w:cs="Arial" w:eastAsia="Arial" w:hAnsi="Arial"/>
          <w:sz w:val="18"/>
          <w:szCs w:val="18"/>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14605</wp:posOffset>
            </wp:positionV>
            <wp:extent cx="711835" cy="8890"/>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711835" cy="8890"/>
                    </a:xfrm>
                    <a:prstGeom prst="rect">
                      <a:avLst/>
                    </a:prstGeom>
                    <a:noFill/>
                  </pic:spPr>
                </pic:pic>
              </a:graphicData>
            </a:graphic>
          </wp:anchor>
        </w:drawing>
        <w:drawing>
          <wp:anchor simplePos="0" relativeHeight="251657728" behindDoc="1" locked="0" layoutInCell="0" allowOverlap="1">
            <wp:simplePos x="0" y="0"/>
            <wp:positionH relativeFrom="column">
              <wp:posOffset>3810</wp:posOffset>
            </wp:positionH>
            <wp:positionV relativeFrom="paragraph">
              <wp:posOffset>40640</wp:posOffset>
            </wp:positionV>
            <wp:extent cx="711835" cy="8890"/>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711835" cy="8890"/>
                    </a:xfrm>
                    <a:prstGeom prst="rect">
                      <a:avLst/>
                    </a:prstGeom>
                    <a:noFill/>
                  </pic:spPr>
                </pic:pic>
              </a:graphicData>
            </a:graphic>
          </wp:anchor>
        </w:drawing>
      </w:r>
    </w:p>
    <w:p>
      <w:pPr>
        <w:spacing w:after="0" w:line="200" w:lineRule="exact"/>
        <w:rPr>
          <w:sz w:val="20"/>
          <w:szCs w:val="20"/>
          <w:color w:val="auto"/>
        </w:rPr>
      </w:pPr>
    </w:p>
    <w:p>
      <w:pPr>
        <w:sectPr>
          <w:pgSz w:w="11900" w:h="16838" w:orient="portrait"/>
          <w:cols w:equalWidth="0" w:num="2">
            <w:col w:w="8060" w:space="720"/>
            <w:col w:w="2640"/>
          </w:cols>
          <w:pgMar w:left="240" w:top="634" w:right="239" w:bottom="1440" w:gutter="0" w:footer="0" w:header="0"/>
          <w:type w:val="continuous"/>
        </w:sectPr>
      </w:pPr>
    </w:p>
    <w:p>
      <w:pPr>
        <w:spacing w:after="0" w:line="129" w:lineRule="exact"/>
        <w:rPr>
          <w:sz w:val="20"/>
          <w:szCs w:val="20"/>
          <w:color w:val="auto"/>
        </w:rPr>
      </w:pPr>
    </w:p>
    <w:p>
      <w:pPr>
        <w:spacing w:after="0"/>
        <w:tabs>
          <w:tab w:leader="none" w:pos="720" w:val="left"/>
        </w:tabs>
        <w:rPr>
          <w:sz w:val="20"/>
          <w:szCs w:val="20"/>
          <w:color w:val="auto"/>
        </w:rPr>
      </w:pPr>
      <w:r>
        <w:rPr>
          <w:rFonts w:ascii="Arial" w:cs="Arial" w:eastAsia="Arial" w:hAnsi="Arial"/>
          <w:sz w:val="18"/>
          <w:szCs w:val="18"/>
          <w:b w:val="1"/>
          <w:bCs w:val="1"/>
          <w:color w:val="auto"/>
        </w:rPr>
        <w:t>Note 9:</w:t>
      </w:r>
      <w:r>
        <w:rPr>
          <w:sz w:val="20"/>
          <w:szCs w:val="20"/>
          <w:color w:val="auto"/>
        </w:rPr>
        <w:tab/>
      </w:r>
      <w:r>
        <w:rPr>
          <w:rFonts w:ascii="Arial" w:cs="Arial" w:eastAsia="Arial" w:hAnsi="Arial"/>
          <w:sz w:val="17"/>
          <w:szCs w:val="17"/>
          <w:b w:val="1"/>
          <w:bCs w:val="1"/>
          <w:color w:val="auto"/>
        </w:rPr>
        <w:t>PREFERRED STOCK</w:t>
      </w:r>
    </w:p>
    <w:p>
      <w:pPr>
        <w:spacing w:after="0" w:line="283" w:lineRule="exact"/>
        <w:rPr>
          <w:sz w:val="20"/>
          <w:szCs w:val="20"/>
          <w:color w:val="auto"/>
        </w:rPr>
      </w:pPr>
    </w:p>
    <w:p>
      <w:pPr>
        <w:jc w:val="both"/>
        <w:ind w:left="660"/>
        <w:spacing w:after="0" w:line="253" w:lineRule="auto"/>
        <w:rPr>
          <w:sz w:val="20"/>
          <w:szCs w:val="20"/>
          <w:color w:val="auto"/>
        </w:rPr>
      </w:pPr>
      <w:r>
        <w:rPr>
          <w:rFonts w:ascii="Arial" w:cs="Arial" w:eastAsia="Arial" w:hAnsi="Arial"/>
          <w:sz w:val="18"/>
          <w:szCs w:val="18"/>
          <w:color w:val="auto"/>
        </w:rPr>
        <w:t>Preferred stock is preferred in that dividends shall be paid or set aside for payment on any Junior Security of the Corporation. Holders shall be entitled to receive dividends payable on the Stated Value of the Series A Preferred Stock at a rate of 10% per annum, which shall be cumulative, and accrue daily from the Issuance date. The dividends may be paid in cash or shares of the Corporation’s common stock at the Company’s discretion. If after the Conversion Eligibility Date, the Market Price for the Common Stock for any ten consecutive Trading Days in which the stock trades for over two dollars per share and trading exceeds 100,000 shares per day, the Company can force the Preferred Shareholders to convert their shares to common stock. Each share of Series A Preferred Stock shall also be convertible at the option of the Holder into that number of shares of Common Stock of the Corporation at the stated value of such share at a one dollar conversion price. The Holder may cause this conversion at the time the shares are eligible for resale by the Holder. The conversion price is subject to adjustment as hereinafter provided, at any time, or from time to time upon the terms and in the manner hereinafter set forth in the shareholder agreement. The shares are required to be redeemed on September 5, 2010.</w:t>
      </w:r>
    </w:p>
    <w:p>
      <w:pPr>
        <w:spacing w:after="0" w:line="245" w:lineRule="exact"/>
        <w:rPr>
          <w:sz w:val="20"/>
          <w:szCs w:val="20"/>
          <w:color w:val="auto"/>
        </w:rPr>
      </w:pPr>
    </w:p>
    <w:p>
      <w:pPr>
        <w:spacing w:after="0"/>
        <w:tabs>
          <w:tab w:leader="none" w:pos="820" w:val="left"/>
        </w:tabs>
        <w:rPr>
          <w:sz w:val="20"/>
          <w:szCs w:val="20"/>
          <w:color w:val="auto"/>
        </w:rPr>
      </w:pPr>
      <w:r>
        <w:rPr>
          <w:rFonts w:ascii="Arial" w:cs="Arial" w:eastAsia="Arial" w:hAnsi="Arial"/>
          <w:sz w:val="18"/>
          <w:szCs w:val="18"/>
          <w:b w:val="1"/>
          <w:bCs w:val="1"/>
          <w:color w:val="auto"/>
        </w:rPr>
        <w:t>Note 10:</w:t>
      </w:r>
      <w:r>
        <w:rPr>
          <w:sz w:val="20"/>
          <w:szCs w:val="20"/>
          <w:color w:val="auto"/>
        </w:rPr>
        <w:tab/>
      </w:r>
      <w:r>
        <w:rPr>
          <w:rFonts w:ascii="Arial" w:cs="Arial" w:eastAsia="Arial" w:hAnsi="Arial"/>
          <w:sz w:val="17"/>
          <w:szCs w:val="17"/>
          <w:b w:val="1"/>
          <w:bCs w:val="1"/>
          <w:color w:val="auto"/>
        </w:rPr>
        <w:t>STOCK-BASED COMPENSATION</w:t>
      </w:r>
    </w:p>
    <w:p>
      <w:pPr>
        <w:spacing w:after="0" w:line="283" w:lineRule="exact"/>
        <w:rPr>
          <w:sz w:val="20"/>
          <w:szCs w:val="20"/>
          <w:color w:val="auto"/>
        </w:rPr>
      </w:pPr>
    </w:p>
    <w:p>
      <w:pPr>
        <w:jc w:val="both"/>
        <w:ind w:left="660"/>
        <w:spacing w:after="0" w:line="312" w:lineRule="auto"/>
        <w:rPr>
          <w:sz w:val="20"/>
          <w:szCs w:val="20"/>
          <w:color w:val="auto"/>
        </w:rPr>
      </w:pPr>
      <w:r>
        <w:rPr>
          <w:rFonts w:ascii="Arial" w:cs="Arial" w:eastAsia="Arial" w:hAnsi="Arial"/>
          <w:sz w:val="16"/>
          <w:szCs w:val="16"/>
          <w:color w:val="auto"/>
        </w:rPr>
        <w:t>Effective January 1, 2006, the Company adopted SFAS No. 123 (revised), "Share-Based Payment: (SFAS 123(R)) utilizing the modified prospective approach. Prior to the adoption of SFAS 123(R) we accounted for stock option grant in accordance with APB Opinion No. 25, "Accounting for Stock Issued to Employees," and accordingly, recognized compensation expense for stock option grants using the intrinsic value method.</w:t>
      </w:r>
    </w:p>
    <w:p>
      <w:pPr>
        <w:spacing w:after="0" w:line="201" w:lineRule="exact"/>
        <w:rPr>
          <w:sz w:val="20"/>
          <w:szCs w:val="20"/>
          <w:color w:val="auto"/>
        </w:rPr>
      </w:pPr>
    </w:p>
    <w:p>
      <w:pPr>
        <w:jc w:val="both"/>
        <w:ind w:left="660"/>
        <w:spacing w:after="0" w:line="272" w:lineRule="auto"/>
        <w:rPr>
          <w:sz w:val="20"/>
          <w:szCs w:val="20"/>
          <w:color w:val="auto"/>
        </w:rPr>
      </w:pPr>
      <w:r>
        <w:rPr>
          <w:rFonts w:ascii="Arial" w:cs="Arial" w:eastAsia="Arial" w:hAnsi="Arial"/>
          <w:sz w:val="17"/>
          <w:szCs w:val="17"/>
          <w:color w:val="auto"/>
        </w:rPr>
        <w:t>Under the modified prospective approach, SFAS 123(R) applies to new awards and to awards that were outstanding on January 1, 2006 that are subsequently modified, repurchased or cancelled. Under the modified prospective approach, compensation cost recognized in the first quarter of fiscal 2006 includes compensation cost for all share-based payments granted prior to, but not yet vested as of January 1, 2006 based on the grant-date fair value estimated in accordance with the original provisions of SFAS 123, and compensation cost for all share-based payments granted subsequent to January 1, 2006 based on the grant-date fair value estimated in accordance with the provisions of SFAS 123(R). For all quarters after the first quarter of fiscal 2006, compensation costs recognized will include the compensation costs for all share-based payments granted based on the grant date fair value estimated in accordance with the provisions of SFAS 123(R).</w:t>
      </w:r>
    </w:p>
    <w:p>
      <w:pPr>
        <w:spacing w:after="0" w:line="232" w:lineRule="exact"/>
        <w:rPr>
          <w:sz w:val="20"/>
          <w:szCs w:val="20"/>
          <w:color w:val="auto"/>
        </w:rPr>
      </w:pPr>
    </w:p>
    <w:p>
      <w:pPr>
        <w:jc w:val="both"/>
        <w:ind w:left="660"/>
        <w:spacing w:after="0" w:line="264" w:lineRule="auto"/>
        <w:rPr>
          <w:sz w:val="20"/>
          <w:szCs w:val="20"/>
          <w:color w:val="auto"/>
        </w:rPr>
      </w:pPr>
      <w:r>
        <w:rPr>
          <w:rFonts w:ascii="Arial" w:cs="Arial" w:eastAsia="Arial" w:hAnsi="Arial"/>
          <w:sz w:val="18"/>
          <w:szCs w:val="18"/>
          <w:color w:val="auto"/>
        </w:rPr>
        <w:t>The fair value of each option granted in 2008 is estimated on the date of grant using the Black-Scholes option-pricing model with the following weighted average assumptions: dividend yield of 0%, expected volatility of 150%, risk-free interest rate of 2.59% and expected life of 60 months. The Company recognized expense of $333,004 on the 365,000 options issued on March 5, 2008.</w:t>
      </w:r>
    </w:p>
    <w:p>
      <w:pPr>
        <w:spacing w:after="0" w:line="200" w:lineRule="exact"/>
        <w:rPr>
          <w:sz w:val="20"/>
          <w:szCs w:val="20"/>
          <w:color w:val="auto"/>
        </w:rPr>
      </w:pPr>
    </w:p>
    <w:p>
      <w:pPr>
        <w:spacing w:after="0" w:line="27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246620" cy="8890"/>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634" w:right="239" w:bottom="1440" w:gutter="0" w:footer="0" w:header="0"/>
          <w:type w:val="continuous"/>
        </w:sectPr>
      </w:pPr>
    </w:p>
    <w:bookmarkStart w:id="64" w:name="page65"/>
    <w:bookmarkEnd w:id="64"/>
    <w:p>
      <w:pPr>
        <w:jc w:val="center"/>
        <w:ind w:right="-19"/>
        <w:spacing w:after="0"/>
        <w:rPr>
          <w:sz w:val="20"/>
          <w:szCs w:val="20"/>
          <w:color w:val="auto"/>
        </w:rPr>
      </w:pPr>
      <w:r>
        <w:rPr>
          <w:rFonts w:ascii="Arial" w:cs="Arial" w:eastAsia="Arial" w:hAnsi="Arial"/>
          <w:sz w:val="18"/>
          <w:szCs w:val="18"/>
          <w:b w:val="1"/>
          <w:bCs w:val="1"/>
          <w:color w:val="auto"/>
        </w:rPr>
        <w:t>2,230,000 Shares</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Of</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Common Stock</w:t>
      </w:r>
    </w:p>
    <w:p>
      <w:pPr>
        <w:spacing w:after="0" w:line="261"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PROSPECTUS</w:t>
      </w:r>
    </w:p>
    <w:p>
      <w:pPr>
        <w:spacing w:after="0" w:line="27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February 12, 2009</w:t>
      </w:r>
    </w:p>
    <w:p>
      <w:pPr>
        <w:spacing w:after="0" w:line="279" w:lineRule="exact"/>
        <w:rPr>
          <w:sz w:val="20"/>
          <w:szCs w:val="20"/>
          <w:color w:val="auto"/>
        </w:rPr>
      </w:pPr>
    </w:p>
    <w:p>
      <w:pPr>
        <w:jc w:val="both"/>
        <w:spacing w:after="0" w:line="266" w:lineRule="auto"/>
        <w:rPr>
          <w:sz w:val="20"/>
          <w:szCs w:val="20"/>
          <w:color w:val="auto"/>
        </w:rPr>
      </w:pPr>
      <w:r>
        <w:rPr>
          <w:rFonts w:ascii="Arial" w:cs="Arial" w:eastAsia="Arial" w:hAnsi="Arial"/>
          <w:sz w:val="18"/>
          <w:szCs w:val="18"/>
          <w:b w:val="1"/>
          <w:bCs w:val="1"/>
          <w:color w:val="auto"/>
        </w:rPr>
        <w:t>Until May 13, 2009, all dealers that effect transactions in these securities, whether or not participating in this offering, may be required to deliver a prospectus. This is in addition to the dealers' obligation to deliver a prospectus when acting as underwriters and with respect to their unsold allotments or subscriptions.</w:t>
      </w:r>
    </w:p>
    <w:p>
      <w:pPr>
        <w:spacing w:after="0" w:line="230" w:lineRule="exact"/>
        <w:rPr>
          <w:sz w:val="20"/>
          <w:szCs w:val="20"/>
          <w:color w:val="auto"/>
        </w:rPr>
      </w:pPr>
    </w:p>
    <w:p>
      <w:pPr>
        <w:jc w:val="both"/>
        <w:spacing w:after="0" w:line="277" w:lineRule="auto"/>
        <w:rPr>
          <w:sz w:val="20"/>
          <w:szCs w:val="20"/>
          <w:color w:val="auto"/>
        </w:rPr>
      </w:pPr>
      <w:r>
        <w:rPr>
          <w:rFonts w:ascii="Arial" w:cs="Arial" w:eastAsia="Arial" w:hAnsi="Arial"/>
          <w:sz w:val="17"/>
          <w:szCs w:val="17"/>
          <w:b w:val="1"/>
          <w:bCs w:val="1"/>
          <w:color w:val="auto"/>
        </w:rPr>
        <w:t>You should rely only on the information contained in this prospectus. We have not authorized anyone to provide you with information different from that which is set forth in this prospectus. We are offering to sell shares of our common stock and seeking offers to buy shares of our common stock only in jurisdictions where offers and sales are permitted. The information contained in this prospectus is accurate only as of the date of this prospectus, regardless of the time of delivery of this prospectus or any sale of these securities. Our business, financial condition, results of operation and prospects may have changed after the date of this prospectus.</w:t>
      </w:r>
    </w:p>
    <w:sectPr>
      <w:pgSz w:w="11900" w:h="16838" w:orient="portrait"/>
      <w:cols w:equalWidth="0" w:num="1">
        <w:col w:w="11420"/>
      </w:cols>
      <w:pgMar w:left="240" w:top="607"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7C83E458"/>
    <w:multiLevelType w:val="hybridMultilevel"/>
    <w:lvl w:ilvl="0">
      <w:lvlJc w:val="left"/>
      <w:lvlText w:val="(%1)"/>
      <w:numFmt w:val="lowerRoman"/>
      <w:start w:val="2"/>
    </w:lvl>
  </w:abstractNum>
  <w:abstractNum w:abstractNumId="1">
    <w:nsid w:val="257130A3"/>
    <w:multiLevelType w:val="hybridMultilevel"/>
    <w:lvl w:ilvl="0">
      <w:lvlJc w:val="left"/>
      <w:lvlText w:val="•"/>
      <w:numFmt w:val="bullet"/>
      <w:start w:val="1"/>
    </w:lvl>
  </w:abstractNum>
  <w:abstractNum w:abstractNumId="2">
    <w:nsid w:val="62BBD95A"/>
    <w:multiLevelType w:val="hybridMultilevel"/>
    <w:lvl w:ilvl="0">
      <w:lvlJc w:val="left"/>
      <w:lvlText w:val="•"/>
      <w:numFmt w:val="bullet"/>
      <w:start w:val="1"/>
    </w:lvl>
  </w:abstractNum>
  <w:abstractNum w:abstractNumId="3">
    <w:nsid w:val="436C6125"/>
    <w:multiLevelType w:val="hybridMultilevel"/>
    <w:lvl w:ilvl="0">
      <w:lvlJc w:val="left"/>
      <w:lvlText w:val="•"/>
      <w:numFmt w:val="bullet"/>
      <w:start w:val="1"/>
    </w:lvl>
  </w:abstractNum>
  <w:abstractNum w:abstractNumId="4">
    <w:nsid w:val="628C895D"/>
    <w:multiLevelType w:val="hybridMultilevel"/>
    <w:lvl w:ilvl="0">
      <w:lvlJc w:val="left"/>
      <w:lvlText w:val="•"/>
      <w:numFmt w:val="bullet"/>
      <w:start w:val="1"/>
    </w:lvl>
  </w:abstractNum>
  <w:abstractNum w:abstractNumId="5">
    <w:nsid w:val="333AB105"/>
    <w:multiLevelType w:val="hybridMultilevel"/>
    <w:lvl w:ilvl="0">
      <w:lvlJc w:val="left"/>
      <w:lvlText w:val="•"/>
      <w:numFmt w:val="bullet"/>
      <w:start w:val="1"/>
    </w:lvl>
  </w:abstractNum>
  <w:abstractNum w:abstractNumId="6">
    <w:nsid w:val="721DA317"/>
    <w:multiLevelType w:val="hybridMultilevel"/>
    <w:lvl w:ilvl="0">
      <w:lvlJc w:val="left"/>
      <w:lvlText w:val="•"/>
      <w:numFmt w:val="bullet"/>
      <w:start w:val="1"/>
    </w:lvl>
  </w:abstractNum>
  <w:abstractNum w:abstractNumId="7">
    <w:nsid w:val="2443A858"/>
    <w:multiLevelType w:val="hybridMultilevel"/>
    <w:lvl w:ilvl="0">
      <w:lvlJc w:val="left"/>
      <w:lvlText w:val="•"/>
      <w:numFmt w:val="bullet"/>
      <w:start w:val="1"/>
    </w:lvl>
  </w:abstractNum>
  <w:abstractNum w:abstractNumId="8">
    <w:nsid w:val="2D1D5AE9"/>
    <w:multiLevelType w:val="hybridMultilevel"/>
    <w:lvl w:ilvl="0">
      <w:lvlJc w:val="left"/>
      <w:lvlText w:val="•"/>
      <w:numFmt w:val="bullet"/>
      <w:start w:val="1"/>
    </w:lvl>
  </w:abstractNum>
  <w:abstractNum w:abstractNumId="9">
    <w:nsid w:val="6763845E"/>
    <w:multiLevelType w:val="hybridMultilevel"/>
    <w:lvl w:ilvl="0">
      <w:lvlJc w:val="left"/>
      <w:lvlText w:val="·"/>
      <w:numFmt w:val="bullet"/>
      <w:start w:val="1"/>
    </w:lvl>
  </w:abstractNum>
  <w:abstractNum w:abstractNumId="10">
    <w:nsid w:val="75A2A8D4"/>
    <w:multiLevelType w:val="hybridMultilevel"/>
    <w:lvl w:ilvl="0">
      <w:lvlJc w:val="left"/>
      <w:lvlText w:val="·"/>
      <w:numFmt w:val="bullet"/>
      <w:start w:val="1"/>
    </w:lvl>
  </w:abstractNum>
  <w:abstractNum w:abstractNumId="11">
    <w:nsid w:val="8EDBDAB"/>
    <w:multiLevelType w:val="hybridMultilevel"/>
    <w:lvl w:ilvl="0">
      <w:lvlJc w:val="left"/>
      <w:lvlText w:val="·"/>
      <w:numFmt w:val="bullet"/>
      <w:start w:val="1"/>
    </w:lvl>
  </w:abstractNum>
  <w:abstractNum w:abstractNumId="12">
    <w:nsid w:val="79838CB2"/>
    <w:multiLevelType w:val="hybridMultilevel"/>
    <w:lvl w:ilvl="0">
      <w:lvlJc w:val="left"/>
      <w:lvlText w:val="·"/>
      <w:numFmt w:val="bullet"/>
      <w:start w:val="1"/>
    </w:lvl>
  </w:abstractNum>
  <w:abstractNum w:abstractNumId="13">
    <w:nsid w:val="4353D0CD"/>
    <w:multiLevelType w:val="hybridMultilevel"/>
    <w:lvl w:ilvl="0">
      <w:lvlJc w:val="left"/>
      <w:lvlText w:val="(%1)"/>
      <w:numFmt w:val="lowerRoman"/>
      <w:start w:val="3"/>
    </w:lvl>
  </w:abstractNum>
  <w:abstractNum w:abstractNumId="14">
    <w:nsid w:val="B03E0C6"/>
    <w:multiLevelType w:val="hybridMultilevel"/>
    <w:lvl w:ilvl="0">
      <w:lvlJc w:val="left"/>
      <w:lvlText w:val="(%1)"/>
      <w:numFmt w:val="decimal"/>
      <w:start w:val="1"/>
    </w:lvl>
  </w:abstractNum>
  <w:abstractNum w:abstractNumId="15">
    <w:nsid w:val="189A769B"/>
    <w:multiLevelType w:val="hybridMultilevel"/>
    <w:lvl w:ilvl="0">
      <w:lvlJc w:val="left"/>
      <w:lvlText w:val="·"/>
      <w:numFmt w:val="bullet"/>
      <w:start w:val="1"/>
    </w:lvl>
  </w:abstractNum>
  <w:abstractNum w:abstractNumId="16">
    <w:nsid w:val="54E49EB4"/>
    <w:multiLevelType w:val="hybridMultilevel"/>
    <w:lvl w:ilvl="0">
      <w:lvlJc w:val="left"/>
      <w:lvlText w:val="%1)"/>
      <w:numFmt w:val="lowerLetter"/>
      <w:start w:val="1"/>
    </w:lvl>
    <w:lvl w:ilvl="1">
      <w:lvlJc w:val="left"/>
      <w:lvlText w:val="·"/>
      <w:numFmt w:val="bullet"/>
      <w:start w:val="1"/>
    </w:lvl>
  </w:abstractNum>
  <w:abstractNum w:abstractNumId="17">
    <w:nsid w:val="71F32454"/>
    <w:multiLevelType w:val="hybridMultilevel"/>
    <w:lvl w:ilvl="0">
      <w:lvlJc w:val="left"/>
      <w:lvlText w:val="%1)"/>
      <w:numFmt w:val="lowerLetter"/>
      <w:start w:val="10"/>
    </w:lvl>
  </w:abstractNum>
  <w:abstractNum w:abstractNumId="18">
    <w:nsid w:val="2CA88611"/>
    <w:multiLevelType w:val="hybridMultilevel"/>
    <w:lvl w:ilvl="0">
      <w:lvlJc w:val="left"/>
      <w:lvlText w:val="·"/>
      <w:numFmt w:val="bullet"/>
      <w:start w:val="1"/>
    </w:lvl>
  </w:abstractNum>
  <w:abstractNum w:abstractNumId="19">
    <w:nsid w:val="836C40E"/>
    <w:multiLevelType w:val="hybridMultilevel"/>
    <w:lvl w:ilvl="0">
      <w:lvlJc w:val="left"/>
      <w:lvlText w:val="·"/>
      <w:numFmt w:val="bullet"/>
      <w:start w:val="1"/>
    </w:lvl>
  </w:abstractNum>
  <w:abstractNum w:abstractNumId="20">
    <w:nsid w:val="2901D82"/>
    <w:multiLevelType w:val="hybridMultilevel"/>
    <w:lvl w:ilvl="0">
      <w:lvlJc w:val="left"/>
      <w:lvlText w:val="·"/>
      <w:numFmt w:val="bullet"/>
      <w:start w:val="1"/>
    </w:lvl>
  </w:abstractNum>
  <w:abstractNum w:abstractNumId="21">
    <w:nsid w:val="3A95F874"/>
    <w:multiLevelType w:val="hybridMultilevel"/>
    <w:lvl w:ilvl="0">
      <w:lvlJc w:val="left"/>
      <w:lvlText w:val="·"/>
      <w:numFmt w:val="bullet"/>
      <w:start w:val="1"/>
    </w:lvl>
  </w:abstractNum>
  <w:abstractNum w:abstractNumId="22">
    <w:nsid w:val="8138641"/>
    <w:multiLevelType w:val="hybridMultilevel"/>
    <w:lvl w:ilvl="0">
      <w:lvlJc w:val="left"/>
      <w:lvlText w:val="%1)"/>
      <w:numFmt w:val="lowerLetter"/>
      <w:start w:val="1"/>
    </w:lvl>
    <w:lvl w:ilvl="1">
      <w:lvlJc w:val="left"/>
      <w:lvlText w:val="·"/>
      <w:numFmt w:val="bullet"/>
      <w:start w:val="1"/>
    </w:lvl>
  </w:abstractNum>
  <w:abstractNum w:abstractNumId="23">
    <w:nsid w:val="1E7FF521"/>
    <w:multiLevelType w:val="hybridMultilevel"/>
    <w:lvl w:ilvl="0">
      <w:lvlJc w:val="left"/>
      <w:lvlText w:val="%1)"/>
      <w:numFmt w:val="lowerLetter"/>
      <w:start w:val="4"/>
    </w:lvl>
  </w:abstractNum>
  <w:abstractNum w:abstractNumId="24">
    <w:nsid w:val="7C3DBD3D"/>
    <w:multiLevelType w:val="hybridMultilevel"/>
    <w:lvl w:ilvl="0">
      <w:lvlJc w:val="left"/>
      <w:lvlText w:val="o"/>
      <w:numFmt w:val="bullet"/>
      <w:start w:val="1"/>
    </w:lvl>
  </w:abstractNum>
  <w:abstractNum w:abstractNumId="25">
    <w:nsid w:val="737B8DDC"/>
    <w:multiLevelType w:val="hybridMultilevel"/>
    <w:lvl w:ilvl="0">
      <w:lvlJc w:val="left"/>
      <w:lvlText w:val="·"/>
      <w:numFmt w:val="bullet"/>
      <w:start w:val="1"/>
    </w:lvl>
  </w:abstractNum>
  <w:abstractNum w:abstractNumId="26">
    <w:nsid w:val="6CEAF087"/>
    <w:multiLevelType w:val="hybridMultilevel"/>
    <w:lvl w:ilvl="0">
      <w:lvlJc w:val="left"/>
      <w:lvlText w:val="·"/>
      <w:numFmt w:val="bullet"/>
      <w:start w:val="1"/>
    </w:lvl>
  </w:abstractNum>
  <w:abstractNum w:abstractNumId="27">
    <w:nsid w:val="22221A70"/>
    <w:multiLevelType w:val="hybridMultilevel"/>
    <w:lvl w:ilvl="0">
      <w:lvlJc w:val="left"/>
      <w:lvlText w:val="·"/>
      <w:numFmt w:val="bullet"/>
      <w:start w:val="1"/>
    </w:lvl>
  </w:abstractNum>
  <w:abstractNum w:abstractNumId="28">
    <w:nsid w:val="4516DDE9"/>
    <w:multiLevelType w:val="hybridMultilevel"/>
    <w:lvl w:ilvl="0">
      <w:lvlJc w:val="left"/>
      <w:lvlText w:val="(%1)"/>
      <w:numFmt w:val="decimal"/>
      <w:start w:val="1"/>
    </w:lvl>
  </w:abstractNum>
  <w:abstractNum w:abstractNumId="29">
    <w:nsid w:val="3006C83E"/>
    <w:multiLevelType w:val="hybridMultilevel"/>
    <w:lvl w:ilvl="0">
      <w:lvlJc w:val="left"/>
      <w:lvlText w:val="(%1)"/>
      <w:numFmt w:val="decimal"/>
      <w:start w:val="1"/>
    </w:lvl>
  </w:abstractNum>
  <w:abstractNum w:abstractNumId="30">
    <w:nsid w:val="614FD4A1"/>
    <w:multiLevelType w:val="hybridMultilevel"/>
    <w:lvl w:ilvl="0">
      <w:lvlJc w:val="left"/>
      <w:lvlText w:val="(%1)"/>
      <w:numFmt w:val="decimal"/>
      <w:start w:val="1"/>
    </w:lvl>
  </w:abstractNum>
  <w:abstractNum w:abstractNumId="31">
    <w:nsid w:val="419AC241"/>
    <w:multiLevelType w:val="hybridMultilevel"/>
    <w:lvl w:ilvl="0">
      <w:lvlJc w:val="left"/>
      <w:lvlText w:val="*"/>
      <w:numFmt w:val="bullet"/>
      <w:start w:val="1"/>
    </w:lvl>
    <w:lvl w:ilvl="1">
      <w:lvlJc w:val="left"/>
      <w:lvlText w:val="(%2)"/>
      <w:numFmt w:val="decimal"/>
      <w:start w:val="1"/>
    </w:lvl>
    <w:lvl w:ilvl="2">
      <w:lvlJc w:val="left"/>
      <w:lvlText w:val="(%3)"/>
      <w:numFmt w:val="lowerRoman"/>
      <w:start w:val="2"/>
    </w:lvl>
  </w:abstractNum>
  <w:abstractNum w:abstractNumId="32">
    <w:nsid w:val="5577F8E1"/>
    <w:multiLevelType w:val="hybridMultilevel"/>
    <w:lvl w:ilvl="0">
      <w:lvlJc w:val="left"/>
      <w:lvlText w:val="$"/>
      <w:numFmt w:val="bullet"/>
      <w:start w:val="1"/>
    </w:lvl>
  </w:abstractNum>
  <w:abstractNum w:abstractNumId="33">
    <w:nsid w:val="440BADFC"/>
    <w:multiLevelType w:val="hybridMultilevel"/>
    <w:lvl w:ilvl="0">
      <w:lvlJc w:val="left"/>
      <w:lvlText w:val="$"/>
      <w:numFmt w:val="bullet"/>
      <w:start w:val="1"/>
    </w:lvl>
  </w:abstractNum>
  <w:abstractNum w:abstractNumId="34">
    <w:nsid w:val="5072367"/>
    <w:multiLevelType w:val="hybridMultilevel"/>
    <w:lvl w:ilvl="0">
      <w:lvlJc w:val="left"/>
      <w:lvlText w:val="*"/>
      <w:numFmt w:val="bullet"/>
      <w:start w:val="1"/>
    </w:lvl>
  </w:abstractNum>
  <w:abstractNum w:abstractNumId="35">
    <w:nsid w:val="3804823E"/>
    <w:multiLevelType w:val="hybridMultilevel"/>
    <w:lvl w:ilvl="0">
      <w:lvlJc w:val="left"/>
      <w:lvlText w:val="$"/>
      <w:numFmt w:val="bullet"/>
      <w:start w:val="1"/>
    </w:lvl>
  </w:abstractNum>
  <w:abstractNum w:abstractNumId="36">
    <w:nsid w:val="77465F01"/>
    <w:multiLevelType w:val="hybridMultilevel"/>
    <w:lvl w:ilvl="0">
      <w:lvlJc w:val="left"/>
      <w:lvlText w:val="$"/>
      <w:numFmt w:val="bullet"/>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2019-12-11T04:47:08Z</dcterms:created>
  <dcterms:modified xsi:type="dcterms:W3CDTF">2019-12-11T04:47:08Z</dcterms:modified>
</cp:coreProperties>
</file>