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0" w:type="dxa"/>
            <w:vAlign w:val="bottom"/>
            <w:gridSpan w:val="5"/>
          </w:tcPr>
          <w:p>
            <w:pPr>
              <w:jc w:val="center"/>
              <w:ind w:right="1380"/>
              <w:spacing w:after="0"/>
              <w:rPr>
                <w:sz w:val="20"/>
                <w:szCs w:val="20"/>
                <w:color w:val="auto"/>
              </w:rPr>
            </w:pPr>
            <w:r>
              <w:rPr>
                <w:rFonts w:ascii="Arial" w:cs="Arial" w:eastAsia="Arial" w:hAnsi="Arial"/>
                <w:sz w:val="18"/>
                <w:szCs w:val="18"/>
                <w:b w:val="1"/>
                <w:bCs w:val="1"/>
                <w:color w:val="auto"/>
                <w:w w:val="99"/>
              </w:rPr>
              <w:t>UNITED STATES</w:t>
            </w:r>
          </w:p>
        </w:tc>
        <w:tc>
          <w:tcPr>
            <w:tcW w:w="3620" w:type="dxa"/>
            <w:vAlign w:val="bottom"/>
          </w:tcPr>
          <w:p>
            <w:pPr>
              <w:spacing w:after="0"/>
              <w:rPr>
                <w:sz w:val="18"/>
                <w:szCs w:val="18"/>
                <w:color w:val="auto"/>
              </w:rPr>
            </w:pPr>
          </w:p>
        </w:tc>
      </w:tr>
      <w:tr>
        <w:trPr>
          <w:trHeight w:val="216"/>
        </w:trPr>
        <w:tc>
          <w:tcPr>
            <w:tcW w:w="7800" w:type="dxa"/>
            <w:vAlign w:val="bottom"/>
            <w:gridSpan w:val="7"/>
          </w:tcPr>
          <w:p>
            <w:pPr>
              <w:jc w:val="center"/>
              <w:ind w:left="3530"/>
              <w:spacing w:after="0"/>
              <w:rPr>
                <w:sz w:val="20"/>
                <w:szCs w:val="20"/>
                <w:color w:val="auto"/>
              </w:rPr>
            </w:pPr>
            <w:r>
              <w:rPr>
                <w:rFonts w:ascii="Arial" w:cs="Arial" w:eastAsia="Arial" w:hAnsi="Arial"/>
                <w:sz w:val="18"/>
                <w:szCs w:val="18"/>
                <w:b w:val="1"/>
                <w:bCs w:val="1"/>
                <w:color w:val="auto"/>
              </w:rPr>
              <w:t>SECURITIES AND EXCHANGE COMMISSION</w:t>
            </w:r>
          </w:p>
        </w:tc>
        <w:tc>
          <w:tcPr>
            <w:tcW w:w="3620" w:type="dxa"/>
            <w:vAlign w:val="bottom"/>
          </w:tcPr>
          <w:p>
            <w:pPr>
              <w:spacing w:after="0"/>
              <w:rPr>
                <w:sz w:val="18"/>
                <w:szCs w:val="18"/>
                <w:color w:val="auto"/>
              </w:rPr>
            </w:pPr>
          </w:p>
        </w:tc>
      </w:tr>
      <w:tr>
        <w:trPr>
          <w:trHeight w:val="234"/>
        </w:trPr>
        <w:tc>
          <w:tcPr>
            <w:tcW w:w="7800" w:type="dxa"/>
            <w:vAlign w:val="bottom"/>
            <w:gridSpan w:val="7"/>
          </w:tcPr>
          <w:p>
            <w:pPr>
              <w:jc w:val="center"/>
              <w:ind w:left="3550"/>
              <w:spacing w:after="0"/>
              <w:rPr>
                <w:sz w:val="20"/>
                <w:szCs w:val="20"/>
                <w:color w:val="auto"/>
              </w:rPr>
            </w:pPr>
            <w:r>
              <w:rPr>
                <w:rFonts w:ascii="Arial" w:cs="Arial" w:eastAsia="Arial" w:hAnsi="Arial"/>
                <w:sz w:val="18"/>
                <w:szCs w:val="18"/>
                <w:b w:val="1"/>
                <w:bCs w:val="1"/>
                <w:color w:val="auto"/>
                <w:w w:val="97"/>
              </w:rPr>
              <w:t>WASHINGTON, D.C. 20549</w:t>
            </w:r>
          </w:p>
        </w:tc>
        <w:tc>
          <w:tcPr>
            <w:tcW w:w="3620" w:type="dxa"/>
            <w:vAlign w:val="bottom"/>
          </w:tcPr>
          <w:p>
            <w:pPr>
              <w:spacing w:after="0"/>
              <w:rPr>
                <w:sz w:val="20"/>
                <w:szCs w:val="20"/>
                <w:color w:val="auto"/>
              </w:rPr>
            </w:pPr>
          </w:p>
        </w:tc>
      </w:tr>
      <w:tr>
        <w:trPr>
          <w:trHeight w:val="432"/>
        </w:trPr>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5"/>
          </w:tcPr>
          <w:p>
            <w:pPr>
              <w:jc w:val="center"/>
              <w:ind w:right="1360"/>
              <w:spacing w:after="0"/>
              <w:rPr>
                <w:sz w:val="20"/>
                <w:szCs w:val="20"/>
                <w:color w:val="auto"/>
              </w:rPr>
            </w:pPr>
            <w:r>
              <w:rPr>
                <w:rFonts w:ascii="Arial" w:cs="Arial" w:eastAsia="Arial" w:hAnsi="Arial"/>
                <w:sz w:val="18"/>
                <w:szCs w:val="18"/>
                <w:b w:val="1"/>
                <w:bCs w:val="1"/>
                <w:color w:val="auto"/>
                <w:w w:val="97"/>
              </w:rPr>
              <w:t>FORM S-8</w:t>
            </w:r>
          </w:p>
        </w:tc>
        <w:tc>
          <w:tcPr>
            <w:tcW w:w="3620" w:type="dxa"/>
            <w:vAlign w:val="bottom"/>
          </w:tcPr>
          <w:p>
            <w:pPr>
              <w:spacing w:after="0"/>
              <w:rPr>
                <w:sz w:val="24"/>
                <w:szCs w:val="24"/>
                <w:color w:val="auto"/>
              </w:rPr>
            </w:pPr>
          </w:p>
        </w:tc>
      </w:tr>
      <w:tr>
        <w:trPr>
          <w:trHeight w:val="414"/>
        </w:trPr>
        <w:tc>
          <w:tcPr>
            <w:tcW w:w="7800" w:type="dxa"/>
            <w:vAlign w:val="bottom"/>
            <w:gridSpan w:val="7"/>
          </w:tcPr>
          <w:p>
            <w:pPr>
              <w:jc w:val="center"/>
              <w:ind w:left="3530"/>
              <w:spacing w:after="0"/>
              <w:rPr>
                <w:sz w:val="20"/>
                <w:szCs w:val="20"/>
                <w:color w:val="auto"/>
              </w:rPr>
            </w:pPr>
            <w:r>
              <w:rPr>
                <w:rFonts w:ascii="Arial" w:cs="Arial" w:eastAsia="Arial" w:hAnsi="Arial"/>
                <w:sz w:val="18"/>
                <w:szCs w:val="18"/>
                <w:b w:val="1"/>
                <w:bCs w:val="1"/>
                <w:color w:val="auto"/>
              </w:rPr>
              <w:t>REGISTRATION STATEMENT</w:t>
            </w:r>
          </w:p>
        </w:tc>
        <w:tc>
          <w:tcPr>
            <w:tcW w:w="3620" w:type="dxa"/>
            <w:vAlign w:val="bottom"/>
          </w:tcPr>
          <w:p>
            <w:pPr>
              <w:spacing w:after="0"/>
              <w:rPr>
                <w:sz w:val="24"/>
                <w:szCs w:val="24"/>
                <w:color w:val="auto"/>
              </w:rPr>
            </w:pPr>
          </w:p>
        </w:tc>
      </w:tr>
      <w:tr>
        <w:trPr>
          <w:trHeight w:val="234"/>
        </w:trPr>
        <w:tc>
          <w:tcPr>
            <w:tcW w:w="7800" w:type="dxa"/>
            <w:vAlign w:val="bottom"/>
            <w:gridSpan w:val="7"/>
          </w:tcPr>
          <w:p>
            <w:pPr>
              <w:jc w:val="center"/>
              <w:ind w:left="3550"/>
              <w:spacing w:after="0"/>
              <w:rPr>
                <w:sz w:val="20"/>
                <w:szCs w:val="20"/>
                <w:color w:val="auto"/>
              </w:rPr>
            </w:pPr>
            <w:r>
              <w:rPr>
                <w:rFonts w:ascii="Arial" w:cs="Arial" w:eastAsia="Arial" w:hAnsi="Arial"/>
                <w:sz w:val="18"/>
                <w:szCs w:val="18"/>
                <w:b w:val="1"/>
                <w:bCs w:val="1"/>
                <w:color w:val="auto"/>
                <w:w w:val="99"/>
              </w:rPr>
              <w:t>UNDER THE SECURITIES ACT OF 1933</w:t>
            </w:r>
          </w:p>
        </w:tc>
        <w:tc>
          <w:tcPr>
            <w:tcW w:w="3620" w:type="dxa"/>
            <w:vAlign w:val="bottom"/>
          </w:tcPr>
          <w:p>
            <w:pPr>
              <w:spacing w:after="0"/>
              <w:rPr>
                <w:sz w:val="20"/>
                <w:szCs w:val="20"/>
                <w:color w:val="auto"/>
              </w:rPr>
            </w:pPr>
          </w:p>
        </w:tc>
      </w:tr>
      <w:tr>
        <w:trPr>
          <w:trHeight w:val="392"/>
        </w:trPr>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5"/>
          </w:tcPr>
          <w:p>
            <w:pPr>
              <w:jc w:val="center"/>
              <w:ind w:right="1380"/>
              <w:spacing w:after="0"/>
              <w:rPr>
                <w:sz w:val="20"/>
                <w:szCs w:val="20"/>
                <w:color w:val="auto"/>
              </w:rPr>
            </w:pPr>
            <w:r>
              <w:rPr>
                <w:rFonts w:ascii="Arial" w:cs="Arial" w:eastAsia="Arial" w:hAnsi="Arial"/>
                <w:sz w:val="18"/>
                <w:szCs w:val="18"/>
                <w:b w:val="1"/>
                <w:bCs w:val="1"/>
                <w:color w:val="auto"/>
                <w:w w:val="93"/>
              </w:rPr>
              <w:t>OptimizeRx Corp.</w:t>
            </w:r>
          </w:p>
        </w:tc>
        <w:tc>
          <w:tcPr>
            <w:tcW w:w="3620" w:type="dxa"/>
            <w:vAlign w:val="bottom"/>
          </w:tcPr>
          <w:p>
            <w:pPr>
              <w:spacing w:after="0"/>
              <w:rPr>
                <w:sz w:val="24"/>
                <w:szCs w:val="24"/>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37"/>
        </w:trPr>
        <w:tc>
          <w:tcPr>
            <w:tcW w:w="7800" w:type="dxa"/>
            <w:vAlign w:val="bottom"/>
            <w:gridSpan w:val="7"/>
          </w:tcPr>
          <w:p>
            <w:pPr>
              <w:jc w:val="center"/>
              <w:ind w:left="3550"/>
              <w:spacing w:after="0"/>
              <w:rPr>
                <w:sz w:val="20"/>
                <w:szCs w:val="20"/>
                <w:color w:val="auto"/>
              </w:rPr>
            </w:pPr>
            <w:r>
              <w:rPr>
                <w:rFonts w:ascii="Arial" w:cs="Arial" w:eastAsia="Arial" w:hAnsi="Arial"/>
                <w:sz w:val="18"/>
                <w:szCs w:val="18"/>
                <w:color w:val="auto"/>
                <w:w w:val="90"/>
              </w:rPr>
              <w:t>(Exact name of registrant as specified in its charter)</w:t>
            </w:r>
          </w:p>
        </w:tc>
        <w:tc>
          <w:tcPr>
            <w:tcW w:w="3620" w:type="dxa"/>
            <w:vAlign w:val="bottom"/>
          </w:tcPr>
          <w:p>
            <w:pPr>
              <w:spacing w:after="0"/>
              <w:rPr>
                <w:sz w:val="20"/>
                <w:szCs w:val="20"/>
                <w:color w:val="auto"/>
              </w:rPr>
            </w:pPr>
          </w:p>
        </w:tc>
      </w:tr>
      <w:tr>
        <w:trPr>
          <w:trHeight w:val="439"/>
        </w:trPr>
        <w:tc>
          <w:tcPr>
            <w:tcW w:w="7800" w:type="dxa"/>
            <w:vAlign w:val="bottom"/>
            <w:gridSpan w:val="7"/>
          </w:tcPr>
          <w:p>
            <w:pPr>
              <w:jc w:val="center"/>
              <w:ind w:right="2180"/>
              <w:spacing w:after="0"/>
              <w:rPr>
                <w:sz w:val="20"/>
                <w:szCs w:val="20"/>
                <w:color w:val="auto"/>
              </w:rPr>
            </w:pPr>
            <w:r>
              <w:rPr>
                <w:rFonts w:ascii="Arial" w:cs="Arial" w:eastAsia="Arial" w:hAnsi="Arial"/>
                <w:sz w:val="18"/>
                <w:szCs w:val="18"/>
                <w:b w:val="1"/>
                <w:bCs w:val="1"/>
                <w:color w:val="auto"/>
                <w:w w:val="90"/>
              </w:rPr>
              <w:t>Nevada</w:t>
            </w:r>
          </w:p>
        </w:tc>
        <w:tc>
          <w:tcPr>
            <w:tcW w:w="3620" w:type="dxa"/>
            <w:vAlign w:val="bottom"/>
          </w:tcPr>
          <w:p>
            <w:pPr>
              <w:jc w:val="center"/>
              <w:ind w:right="189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562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620" w:type="dxa"/>
            <w:vAlign w:val="bottom"/>
            <w:tcBorders>
              <w:top w:val="single" w:sz="8" w:color="auto"/>
            </w:tcBorders>
          </w:tcPr>
          <w:p>
            <w:pPr>
              <w:jc w:val="center"/>
              <w:ind w:right="19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7"/>
          </w:tcPr>
          <w:p>
            <w:pPr>
              <w:jc w:val="center"/>
              <w:ind w:right="2180"/>
              <w:spacing w:after="0"/>
              <w:rPr>
                <w:sz w:val="20"/>
                <w:szCs w:val="20"/>
                <w:color w:val="auto"/>
              </w:rPr>
            </w:pPr>
            <w:r>
              <w:rPr>
                <w:rFonts w:ascii="Arial" w:cs="Arial" w:eastAsia="Arial" w:hAnsi="Arial"/>
                <w:sz w:val="18"/>
                <w:szCs w:val="18"/>
                <w:color w:val="auto"/>
                <w:w w:val="93"/>
              </w:rPr>
              <w:t>incorporation or organization)</w:t>
            </w:r>
          </w:p>
        </w:tc>
        <w:tc>
          <w:tcPr>
            <w:tcW w:w="3620" w:type="dxa"/>
            <w:vAlign w:val="bottom"/>
          </w:tcPr>
          <w:p>
            <w:pPr>
              <w:jc w:val="center"/>
              <w:ind w:right="187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800" w:type="dxa"/>
            <w:vAlign w:val="bottom"/>
            <w:gridSpan w:val="7"/>
          </w:tcPr>
          <w:p>
            <w:pPr>
              <w:jc w:val="center"/>
              <w:ind w:left="3530"/>
              <w:spacing w:after="0"/>
              <w:rPr>
                <w:sz w:val="20"/>
                <w:szCs w:val="20"/>
                <w:color w:val="auto"/>
              </w:rPr>
            </w:pPr>
            <w:r>
              <w:rPr>
                <w:rFonts w:ascii="Arial" w:cs="Arial" w:eastAsia="Arial" w:hAnsi="Arial"/>
                <w:sz w:val="18"/>
                <w:szCs w:val="18"/>
                <w:b w:val="1"/>
                <w:bCs w:val="1"/>
                <w:color w:val="auto"/>
                <w:w w:val="91"/>
              </w:rPr>
              <w:t>400 Water Street, Suite 200,</w:t>
            </w:r>
          </w:p>
        </w:tc>
        <w:tc>
          <w:tcPr>
            <w:tcW w:w="3620" w:type="dxa"/>
            <w:vAlign w:val="bottom"/>
          </w:tcPr>
          <w:p>
            <w:pPr>
              <w:spacing w:after="0"/>
              <w:rPr>
                <w:sz w:val="24"/>
                <w:szCs w:val="24"/>
                <w:color w:val="auto"/>
              </w:rPr>
            </w:pPr>
          </w:p>
        </w:tc>
      </w:tr>
      <w:tr>
        <w:trPr>
          <w:trHeight w:val="194"/>
        </w:trPr>
        <w:tc>
          <w:tcPr>
            <w:tcW w:w="4920" w:type="dxa"/>
            <w:vAlign w:val="bottom"/>
          </w:tcPr>
          <w:p>
            <w:pPr>
              <w:spacing w:after="0"/>
              <w:rPr>
                <w:sz w:val="16"/>
                <w:szCs w:val="16"/>
                <w:color w:val="auto"/>
              </w:rPr>
            </w:pPr>
          </w:p>
        </w:tc>
        <w:tc>
          <w:tcPr>
            <w:tcW w:w="2880" w:type="dxa"/>
            <w:vAlign w:val="bottom"/>
            <w:gridSpan w:val="6"/>
          </w:tcPr>
          <w:p>
            <w:pPr>
              <w:jc w:val="center"/>
              <w:ind w:right="1300"/>
              <w:spacing w:after="0" w:line="194" w:lineRule="exact"/>
              <w:rPr>
                <w:sz w:val="20"/>
                <w:szCs w:val="20"/>
                <w:color w:val="auto"/>
              </w:rPr>
            </w:pPr>
            <w:r>
              <w:rPr>
                <w:rFonts w:ascii="Arial" w:cs="Arial" w:eastAsia="Arial" w:hAnsi="Arial"/>
                <w:sz w:val="18"/>
                <w:szCs w:val="18"/>
                <w:b w:val="1"/>
                <w:bCs w:val="1"/>
                <w:color w:val="auto"/>
                <w:w w:val="91"/>
              </w:rPr>
              <w:t>Rochester, MI 48307</w:t>
            </w:r>
          </w:p>
        </w:tc>
        <w:tc>
          <w:tcPr>
            <w:tcW w:w="362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1580" w:type="dxa"/>
            <w:vAlign w:val="bottom"/>
            <w:gridSpan w:val="5"/>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37"/>
        </w:trPr>
        <w:tc>
          <w:tcPr>
            <w:tcW w:w="7800" w:type="dxa"/>
            <w:vAlign w:val="bottom"/>
            <w:gridSpan w:val="7"/>
          </w:tcPr>
          <w:p>
            <w:pPr>
              <w:jc w:val="center"/>
              <w:ind w:left="353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spacing w:after="0"/>
              <w:rPr>
                <w:sz w:val="20"/>
                <w:szCs w:val="20"/>
                <w:color w:val="auto"/>
              </w:rPr>
            </w:pPr>
          </w:p>
        </w:tc>
      </w:tr>
    </w:tbl>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u w:val="single" w:color="auto"/>
          <w:color w:val="auto"/>
        </w:rPr>
        <w:t>Amended and Restated OptimizeRx Corp. 2013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Doney Ventures,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4955 S. Durango Rd. Ste. 165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Las Vegas, NV 89113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248.651.6568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11" w:lineRule="exact"/>
        <w:rPr>
          <w:sz w:val="24"/>
          <w:szCs w:val="24"/>
          <w:color w:val="auto"/>
        </w:rPr>
      </w:pPr>
    </w:p>
    <w:p>
      <w:pPr>
        <w:ind w:right="3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 an accelerated file, a non-accelerated file, or a smaller reporting company. See the definitions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9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p>
        </w:tc>
        <w:tc>
          <w:tcPr>
            <w:tcW w:w="3560" w:type="dxa"/>
            <w:vAlign w:val="bottom"/>
            <w:gridSpan w:val="4"/>
          </w:tcPr>
          <w:p>
            <w:pPr>
              <w:ind w:left="18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p>
        </w:tc>
        <w:tc>
          <w:tcPr>
            <w:tcW w:w="4900" w:type="dxa"/>
            <w:vAlign w:val="bottom"/>
            <w:gridSpan w:val="7"/>
          </w:tcPr>
          <w:p>
            <w:pPr>
              <w:ind w:left="18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920" w:type="dxa"/>
            <w:vAlign w:val="bottom"/>
          </w:tcPr>
          <w:p>
            <w:pPr>
              <w:spacing w:after="0"/>
              <w:rPr>
                <w:sz w:val="24"/>
                <w:szCs w:val="24"/>
                <w:color w:val="auto"/>
              </w:rPr>
            </w:pPr>
          </w:p>
        </w:tc>
        <w:tc>
          <w:tcPr>
            <w:tcW w:w="3560" w:type="dxa"/>
            <w:vAlign w:val="bottom"/>
            <w:gridSpan w:val="4"/>
          </w:tcPr>
          <w:p>
            <w:pPr>
              <w:ind w:left="5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ALCULATION OF</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EE</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9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8"/>
              </w:rPr>
              <w:t>Proposed</w:t>
            </w:r>
          </w:p>
        </w:tc>
        <w:tc>
          <w:tcPr>
            <w:tcW w:w="14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Proposed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9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00"/>
              <w:spacing w:after="0" w:line="176" w:lineRule="exact"/>
              <w:rPr>
                <w:sz w:val="20"/>
                <w:szCs w:val="20"/>
                <w:color w:val="auto"/>
              </w:rPr>
            </w:pPr>
            <w:r>
              <w:rPr>
                <w:rFonts w:ascii="Arial" w:cs="Arial" w:eastAsia="Arial" w:hAnsi="Arial"/>
                <w:sz w:val="18"/>
                <w:szCs w:val="18"/>
                <w:color w:val="auto"/>
                <w:w w:val="94"/>
              </w:rPr>
              <w:t>maximum</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maximum</w:t>
            </w: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aggregate</w:t>
            </w:r>
          </w:p>
        </w:tc>
        <w:tc>
          <w:tcPr>
            <w:tcW w:w="10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Amount of</w:t>
            </w:r>
          </w:p>
        </w:tc>
        <w:tc>
          <w:tcPr>
            <w:tcW w:w="0" w:type="dxa"/>
            <w:vAlign w:val="bottom"/>
          </w:tcPr>
          <w:p>
            <w:pPr>
              <w:spacing w:after="0"/>
              <w:rPr>
                <w:sz w:val="1"/>
                <w:szCs w:val="1"/>
                <w:color w:val="auto"/>
              </w:rPr>
            </w:pPr>
          </w:p>
        </w:tc>
      </w:tr>
      <w:tr>
        <w:trPr>
          <w:trHeight w:val="219"/>
        </w:trPr>
        <w:tc>
          <w:tcPr>
            <w:tcW w:w="39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 be</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color w:val="auto"/>
                <w:w w:val="94"/>
              </w:rPr>
              <w:t>offering price</w:t>
            </w:r>
          </w:p>
        </w:tc>
        <w:tc>
          <w:tcPr>
            <w:tcW w:w="14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offering</w:t>
            </w:r>
          </w:p>
        </w:tc>
        <w:tc>
          <w:tcPr>
            <w:tcW w:w="10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registration</w:t>
            </w:r>
          </w:p>
        </w:tc>
        <w:tc>
          <w:tcPr>
            <w:tcW w:w="0" w:type="dxa"/>
            <w:vAlign w:val="bottom"/>
          </w:tcPr>
          <w:p>
            <w:pPr>
              <w:spacing w:after="0"/>
              <w:rPr>
                <w:sz w:val="1"/>
                <w:szCs w:val="1"/>
                <w:color w:val="auto"/>
              </w:rPr>
            </w:pPr>
          </w:p>
        </w:tc>
      </w:tr>
      <w:tr>
        <w:trPr>
          <w:trHeight w:val="274"/>
        </w:trPr>
        <w:tc>
          <w:tcPr>
            <w:tcW w:w="3920" w:type="dxa"/>
            <w:vAlign w:val="bottom"/>
          </w:tcPr>
          <w:p>
            <w:pPr>
              <w:spacing w:after="0"/>
              <w:rPr>
                <w:sz w:val="20"/>
                <w:szCs w:val="20"/>
                <w:color w:val="auto"/>
              </w:rPr>
            </w:pPr>
            <w:r>
              <w:rPr>
                <w:rFonts w:ascii="Arial" w:cs="Arial" w:eastAsia="Arial" w:hAnsi="Arial"/>
                <w:sz w:val="18"/>
                <w:szCs w:val="18"/>
                <w:color w:val="auto"/>
              </w:rPr>
              <w:t>Title of each class of securities to be registered</w:t>
            </w: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gridSpan w:val="2"/>
          </w:tcPr>
          <w:p>
            <w:pPr>
              <w:jc w:val="center"/>
              <w:ind w:right="260"/>
              <w:spacing w:after="0" w:line="266" w:lineRule="exact"/>
              <w:rPr>
                <w:sz w:val="20"/>
                <w:szCs w:val="20"/>
                <w:color w:val="auto"/>
              </w:rPr>
            </w:pPr>
            <w:r>
              <w:rPr>
                <w:rFonts w:ascii="Arial" w:cs="Arial" w:eastAsia="Arial" w:hAnsi="Arial"/>
                <w:sz w:val="18"/>
                <w:szCs w:val="18"/>
                <w:color w:val="auto"/>
                <w:w w:val="85"/>
              </w:rPr>
              <w:t xml:space="preserve">registered </w:t>
            </w:r>
            <w:r>
              <w:rPr>
                <w:rFonts w:ascii="Arial" w:cs="Arial" w:eastAsia="Arial" w:hAnsi="Arial"/>
                <w:sz w:val="30"/>
                <w:szCs w:val="30"/>
                <w:color w:val="auto"/>
                <w:w w:val="85"/>
                <w:vertAlign w:val="superscript"/>
              </w:rPr>
              <w:t>(1)</w:t>
            </w:r>
          </w:p>
        </w:tc>
        <w:tc>
          <w:tcPr>
            <w:tcW w:w="100" w:type="dxa"/>
            <w:vAlign w:val="bottom"/>
          </w:tcPr>
          <w:p>
            <w:pPr>
              <w:spacing w:after="0"/>
              <w:rPr>
                <w:sz w:val="23"/>
                <w:szCs w:val="23"/>
                <w:color w:val="auto"/>
              </w:rPr>
            </w:pPr>
          </w:p>
        </w:tc>
        <w:tc>
          <w:tcPr>
            <w:tcW w:w="1240" w:type="dxa"/>
            <w:vAlign w:val="bottom"/>
            <w:gridSpan w:val="2"/>
          </w:tcPr>
          <w:p>
            <w:pPr>
              <w:jc w:val="center"/>
              <w:ind w:right="320"/>
              <w:spacing w:after="0" w:line="266" w:lineRule="exact"/>
              <w:rPr>
                <w:sz w:val="20"/>
                <w:szCs w:val="20"/>
                <w:color w:val="auto"/>
              </w:rPr>
            </w:pPr>
            <w:r>
              <w:rPr>
                <w:rFonts w:ascii="Arial" w:cs="Arial" w:eastAsia="Arial" w:hAnsi="Arial"/>
                <w:sz w:val="18"/>
                <w:szCs w:val="18"/>
                <w:color w:val="auto"/>
                <w:w w:val="83"/>
              </w:rPr>
              <w:t xml:space="preserve">per share </w:t>
            </w:r>
            <w:r>
              <w:rPr>
                <w:rFonts w:ascii="Arial" w:cs="Arial" w:eastAsia="Arial" w:hAnsi="Arial"/>
                <w:sz w:val="30"/>
                <w:szCs w:val="30"/>
                <w:color w:val="auto"/>
                <w:w w:val="83"/>
                <w:vertAlign w:val="superscript"/>
              </w:rPr>
              <w:t>(2)</w:t>
            </w:r>
          </w:p>
        </w:tc>
        <w:tc>
          <w:tcPr>
            <w:tcW w:w="140" w:type="dxa"/>
            <w:vAlign w:val="bottom"/>
          </w:tcPr>
          <w:p>
            <w:pPr>
              <w:spacing w:after="0"/>
              <w:rPr>
                <w:sz w:val="23"/>
                <w:szCs w:val="23"/>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100" w:type="dxa"/>
            <w:vAlign w:val="bottom"/>
          </w:tcPr>
          <w:p>
            <w:pPr>
              <w:spacing w:after="0"/>
              <w:rPr>
                <w:sz w:val="23"/>
                <w:szCs w:val="2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fee</w:t>
            </w:r>
          </w:p>
        </w:tc>
        <w:tc>
          <w:tcPr>
            <w:tcW w:w="0" w:type="dxa"/>
            <w:vAlign w:val="bottom"/>
          </w:tcPr>
          <w:p>
            <w:pPr>
              <w:spacing w:after="0"/>
              <w:rPr>
                <w:sz w:val="1"/>
                <w:szCs w:val="1"/>
                <w:color w:val="auto"/>
              </w:rPr>
            </w:pPr>
          </w:p>
        </w:tc>
      </w:tr>
      <w:tr>
        <w:trPr>
          <w:trHeight w:val="216"/>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2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60" w:right="180" w:hanging="452"/>
        <w:spacing w:after="0" w:line="218" w:lineRule="auto"/>
        <w:tabs>
          <w:tab w:leader="none" w:pos="46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An aggregate of 2,500,000 shares of Common Stock may be offered or issued pursuant to the Amended and Restated 2013 OptimizeRx Corp. 2015 Equity Incentive Plan (the “Plan”). In addition, pursuant to Rule 416(c) under the Securities Act of 1933, as amended (the “Securities Act”), this Registration Statement also covers an indeterminate number of shares of Common Stock that may be offered or issued by reason of stock splits, stock dividends or similar transactions that become issuable under the Plan.</w:t>
      </w:r>
    </w:p>
    <w:p>
      <w:pPr>
        <w:spacing w:after="0" w:line="203" w:lineRule="exact"/>
        <w:rPr>
          <w:rFonts w:ascii="Arial" w:cs="Arial" w:eastAsia="Arial" w:hAnsi="Arial"/>
          <w:sz w:val="30"/>
          <w:szCs w:val="30"/>
          <w:color w:val="auto"/>
          <w:vertAlign w:val="superscript"/>
        </w:rPr>
      </w:pPr>
    </w:p>
    <w:p>
      <w:pPr>
        <w:ind w:left="460" w:right="140" w:hanging="452"/>
        <w:spacing w:after="0" w:line="221" w:lineRule="auto"/>
        <w:tabs>
          <w:tab w:leader="none" w:pos="460"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Estimated in accordance with Rule 457(c) promulgated under the Securities Act solely for the purpose of calculating the amount of the registration fee on the basis of the average of the high and low price per share of the Registrant’s Common Stock as reported on the OTCQB on April 4, 2016.</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This registration statement shall become effective upon filing in accordance with Rule 462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880" w:type="dxa"/>
            <w:vAlign w:val="bottom"/>
          </w:tcPr>
          <w:p>
            <w:pPr>
              <w:jc w:val="right"/>
              <w:ind w:right="491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ONTENTS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6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88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I</w:t>
            </w:r>
            <w:r>
              <w:rPr>
                <w:rFonts w:ascii="Arial" w:cs="Arial" w:eastAsia="Arial" w:hAnsi="Arial"/>
                <w:sz w:val="12"/>
                <w:szCs w:val="12"/>
                <w:b w:val="1"/>
                <w:bCs w:val="1"/>
                <w:color w:val="auto"/>
              </w:rPr>
              <w:t>NCORPORATION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OCUMENTS BY</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EFERENCE</w:t>
            </w:r>
            <w:r>
              <w:rPr>
                <w:rFonts w:ascii="Arial" w:cs="Arial" w:eastAsia="Arial" w:hAnsi="Arial"/>
                <w:sz w:val="18"/>
                <w:szCs w:val="18"/>
                <w:b w:val="1"/>
                <w:bCs w:val="1"/>
                <w:color w:val="auto"/>
              </w:rPr>
              <w:t>.</w:t>
            </w:r>
          </w:p>
        </w:tc>
        <w:tc>
          <w:tcPr>
            <w:tcW w:w="6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 D</w:t>
            </w:r>
            <w:r>
              <w:rPr>
                <w:rFonts w:ascii="Arial" w:cs="Arial" w:eastAsia="Arial" w:hAnsi="Arial"/>
                <w:sz w:val="12"/>
                <w:szCs w:val="12"/>
                <w:b w:val="1"/>
                <w:bCs w:val="1"/>
                <w:color w:val="auto"/>
              </w:rPr>
              <w:t>ESCRIPTION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tc>
        <w:tc>
          <w:tcPr>
            <w:tcW w:w="6880" w:type="dxa"/>
            <w:vAlign w:val="bottom"/>
          </w:tcPr>
          <w:p>
            <w:pPr>
              <w:jc w:val="right"/>
              <w:ind w:right="3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 I</w:t>
            </w:r>
            <w:r>
              <w:rPr>
                <w:rFonts w:ascii="Arial" w:cs="Arial" w:eastAsia="Arial" w:hAnsi="Arial"/>
                <w:sz w:val="12"/>
                <w:szCs w:val="12"/>
                <w:b w:val="1"/>
                <w:bCs w:val="1"/>
                <w:color w:val="auto"/>
              </w:rPr>
              <w:t>NTERESTS OF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AMED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XPERTS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OUNSEL</w:t>
            </w:r>
            <w:r>
              <w:rPr>
                <w:rFonts w:ascii="Arial" w:cs="Arial" w:eastAsia="Arial" w:hAnsi="Arial"/>
                <w:sz w:val="18"/>
                <w:szCs w:val="18"/>
                <w:b w:val="1"/>
                <w:bCs w:val="1"/>
                <w:color w:val="auto"/>
              </w:rPr>
              <w:t>.</w:t>
            </w:r>
          </w:p>
        </w:tc>
        <w:tc>
          <w:tcPr>
            <w:tcW w:w="6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 I</w:t>
            </w:r>
            <w:r>
              <w:rPr>
                <w:rFonts w:ascii="Arial" w:cs="Arial" w:eastAsia="Arial" w:hAnsi="Arial"/>
                <w:sz w:val="12"/>
                <w:szCs w:val="12"/>
                <w:b w:val="1"/>
                <w:bCs w:val="1"/>
                <w:color w:val="auto"/>
              </w:rPr>
              <w:t>NDEMNIFICATION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 AND</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FFICERS</w:t>
            </w:r>
            <w:r>
              <w:rPr>
                <w:rFonts w:ascii="Arial" w:cs="Arial" w:eastAsia="Arial" w:hAnsi="Arial"/>
                <w:sz w:val="18"/>
                <w:szCs w:val="18"/>
                <w:b w:val="1"/>
                <w:bCs w:val="1"/>
                <w:color w:val="auto"/>
              </w:rPr>
              <w:t>.</w:t>
            </w:r>
          </w:p>
        </w:tc>
        <w:tc>
          <w:tcPr>
            <w:tcW w:w="688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 E</w:t>
            </w:r>
            <w:r>
              <w:rPr>
                <w:rFonts w:ascii="Arial" w:cs="Arial" w:eastAsia="Arial" w:hAnsi="Arial"/>
                <w:sz w:val="12"/>
                <w:szCs w:val="12"/>
                <w:b w:val="1"/>
                <w:bCs w:val="1"/>
                <w:color w:val="auto"/>
              </w:rPr>
              <w:t>XEMPTION FROM</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LAIMED</w:t>
            </w:r>
            <w:r>
              <w:rPr>
                <w:rFonts w:ascii="Arial" w:cs="Arial" w:eastAsia="Arial" w:hAnsi="Arial"/>
                <w:sz w:val="18"/>
                <w:szCs w:val="18"/>
                <w:b w:val="1"/>
                <w:bCs w:val="1"/>
                <w:color w:val="auto"/>
              </w:rPr>
              <w:t>.</w:t>
            </w:r>
          </w:p>
        </w:tc>
        <w:tc>
          <w:tcPr>
            <w:tcW w:w="6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 E</w:t>
            </w:r>
            <w:r>
              <w:rPr>
                <w:rFonts w:ascii="Arial" w:cs="Arial" w:eastAsia="Arial" w:hAnsi="Arial"/>
                <w:sz w:val="12"/>
                <w:szCs w:val="12"/>
                <w:b w:val="1"/>
                <w:bCs w:val="1"/>
                <w:color w:val="auto"/>
              </w:rPr>
              <w:t>XHIBITS</w:t>
            </w:r>
            <w:r>
              <w:rPr>
                <w:rFonts w:ascii="Arial" w:cs="Arial" w:eastAsia="Arial" w:hAnsi="Arial"/>
                <w:sz w:val="18"/>
                <w:szCs w:val="18"/>
                <w:b w:val="1"/>
                <w:bCs w:val="1"/>
                <w:color w:val="auto"/>
              </w:rPr>
              <w:t>.</w:t>
            </w:r>
          </w:p>
        </w:tc>
        <w:tc>
          <w:tcPr>
            <w:tcW w:w="688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 U</w:t>
            </w:r>
            <w:r>
              <w:rPr>
                <w:rFonts w:ascii="Arial" w:cs="Arial" w:eastAsia="Arial" w:hAnsi="Arial"/>
                <w:sz w:val="12"/>
                <w:szCs w:val="12"/>
                <w:b w:val="1"/>
                <w:bCs w:val="1"/>
                <w:color w:val="auto"/>
              </w:rPr>
              <w:t>NDERTAKINGS</w:t>
            </w:r>
            <w:r>
              <w:rPr>
                <w:rFonts w:ascii="Arial" w:cs="Arial" w:eastAsia="Arial" w:hAnsi="Arial"/>
                <w:sz w:val="18"/>
                <w:szCs w:val="18"/>
                <w:b w:val="1"/>
                <w:bCs w:val="1"/>
                <w:color w:val="auto"/>
              </w:rPr>
              <w:t>.</w:t>
            </w:r>
          </w:p>
        </w:tc>
        <w:tc>
          <w:tcPr>
            <w:tcW w:w="6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IGNATURES</w:t>
            </w:r>
          </w:p>
        </w:tc>
        <w:tc>
          <w:tcPr>
            <w:tcW w:w="6880" w:type="dxa"/>
            <w:vAlign w:val="bottom"/>
          </w:tcPr>
          <w:p>
            <w:pPr>
              <w:jc w:val="right"/>
              <w:ind w:right="3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664"/>
        </w:trPr>
        <w:tc>
          <w:tcPr>
            <w:tcW w:w="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 IN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10(A) P</w:t>
      </w:r>
      <w:r>
        <w:rPr>
          <w:rFonts w:ascii="Arial" w:cs="Arial" w:eastAsia="Arial" w:hAnsi="Arial"/>
          <w:sz w:val="12"/>
          <w:szCs w:val="12"/>
          <w:b w:val="1"/>
          <w:bCs w:val="1"/>
          <w:color w:val="auto"/>
        </w:rPr>
        <w:t>ROSPECTUS</w:t>
      </w:r>
    </w:p>
    <w:p>
      <w:pPr>
        <w:spacing w:after="0" w:line="22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documents containing the information specified in Part I will be sent or given to participants in the Plan as specified by Rule 428(b)(1) of the Securities Act of 1933, as amended (the “Securities Act”). In accordance with the instructions of Part I of Form S-8, these documents will not be filed with the Securities and Exchange Commission (the “SEC”) either as part of this Registration Statement or as prospectuses or prospectus supplements pursuant to Rule 424 of the Securities Act. These documents and the documents incorporated by reference pursuant to Item 3 of Part II of this Registration Statement, taken together, constitute the prospectus as required by Section 10(a) of the Securities Act.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All requests should be directed 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Rochester, MI 48307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Or by calling: </w:t>
      </w:r>
      <w:r>
        <w:rPr>
          <w:rFonts w:ascii="Arial" w:cs="Arial" w:eastAsia="Arial" w:hAnsi="Arial"/>
          <w:sz w:val="18"/>
          <w:szCs w:val="18"/>
          <w:b w:val="1"/>
          <w:bCs w:val="1"/>
          <w:color w:val="auto"/>
        </w:rPr>
        <w:t>248.651.6568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EQUIRED IN THE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SEC allows us to “incorporate by reference” into this Prospectus the information that we file with the SEC. This means that we can disclose important information to you by referring you to those documents. Information incorporated by reference is part of this prospectus. Information that we file at a future date with the SEC will update and supersede this information. For further information about us and our common stock, please read the documents incorporated by reference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filed by us with the SEC are incorporated by reference in this registration statement:</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2015, filed with the SEC on March 15,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March 18,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March 15, 2016;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8-K filed with the SEC on March 31, 2016.</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Except to the extent that information therein is deemed furnished and not filed pursuant to the Exchange Act, all documents subsequently filed by the registrant under Sections 13(a), 13(c), 14 or 15(d) of the Exchange Act after the effective date of this registration statement and prior to the termination of this offering of common stock shall be deemed to be incorporated by reference into this registration statement and to be a part hereof from the date of filing of those documents. Any statement contained herein or in a document incorporated or deemed to be incorporated by reference herein shall be deemed to be modified or superseded for purposes of this registration statement to the extent that a statement contained herein or in any document which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You may request a copy of these filings, excluding the exhibits to such filings which we have not specifically incorporated by reference in such filings, at no cost, by writing or telephoning us at the address or telephone number listed in Part I.</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of March 10, 2016 there were 29,030,925 shares of our common stock issued and outstanding and 0 shares of our preferred stock issued and outstanding.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66"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81"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4" w:name="page5"/>
    <w:bookmarkEnd w:id="4"/>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WPP Luxembourg Gamma Three Sarl</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 September 24, 2015, in connection with the sale of 6,011,106 shares of our common stock to WPP Luxembourg Gamma Three Sarl (“WPP Luxembourg” or the “Investor”), we granted demand registration rights to the investor at any time after 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September 24, 2015, we entered into an Investor Rights Agreement with WPP Luxembourg (the “Rights Agreement”), pursuant to which we agreed to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Registration Rights. We granted the Investor registration rights for the 6,011,106 acquired from us and any securities acquired in connection with an Amended and Restated Co-Marketing Agreement after a period of two years.</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Inspection Rights. So long as the Investor owns not less than 25% of the Shares, we granted the Investor an annual right to inspect our books and records.</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Observer Rights. So long as the Investor owns not less than 25% of the Shares, we will allow the Investor to choose a representative to attend our board meetings as a nonvoting observer.</w:t>
      </w:r>
    </w:p>
    <w:p>
      <w:pPr>
        <w:spacing w:after="0" w:line="170"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Seat. So long as the Investor owns not less than 25% of the Shares, we agreed to appoint a nominee of the Investor as a member of our board of directors. We also agreed to a five member Board of Directors provided that it is not prohibited by the rules and regulations of an exchange that we trade on. We also agreed to enter into an Indemnity Agreement with the nominee.</w:t>
      </w:r>
    </w:p>
    <w:p>
      <w:pPr>
        <w:spacing w:after="0" w:line="181"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Budget Review. So long as the Investor owns not less than 25% of the Shares, we agreed to review our budget plans with the Investor’s nominee prior to submission to the Board of Directors, at the request of the Investor.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Right of First Refusal. We agreed that, in the event that it proposes to sell new securities, we will first offer such new securities to the Investor.</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ind w:left="660" w:right="54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Special Approval Matters. So long as the Investor owns not less than 25% of the Shares, and provided that it is not prohibited by the rules and regulations of an exchange that we trades on, we agreed that 80% Board approval will be required for certain decisions, including:</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25" w:lineRule="exact"/>
        <w:rPr>
          <w:rFonts w:ascii="Arial" w:cs="Arial" w:eastAsia="Arial" w:hAnsi="Arial"/>
          <w:sz w:val="18"/>
          <w:szCs w:val="18"/>
          <w:color w:val="auto"/>
        </w:rPr>
      </w:pPr>
    </w:p>
    <w:p>
      <w:pPr>
        <w:ind w:left="1300" w:right="4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70" w:lineRule="exact"/>
        <w:rPr>
          <w:rFonts w:ascii="Arial" w:cs="Arial" w:eastAsia="Arial" w:hAnsi="Arial"/>
          <w:sz w:val="18"/>
          <w:szCs w:val="18"/>
          <w:color w:val="auto"/>
        </w:rPr>
      </w:pPr>
    </w:p>
    <w:p>
      <w:pPr>
        <w:ind w:left="1300" w:right="14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70" w:lineRule="exact"/>
        <w:rPr>
          <w:rFonts w:ascii="Arial" w:cs="Arial" w:eastAsia="Arial" w:hAnsi="Arial"/>
          <w:sz w:val="18"/>
          <w:szCs w:val="18"/>
          <w:color w:val="auto"/>
        </w:rPr>
      </w:pPr>
    </w:p>
    <w:p>
      <w:pPr>
        <w:ind w:left="1300" w:right="320" w:hanging="320"/>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70" w:lineRule="exact"/>
        <w:rPr>
          <w:rFonts w:ascii="Arial" w:cs="Arial" w:eastAsia="Arial" w:hAnsi="Arial"/>
          <w:sz w:val="18"/>
          <w:szCs w:val="18"/>
          <w:color w:val="auto"/>
        </w:rPr>
      </w:pPr>
    </w:p>
    <w:p>
      <w:pPr>
        <w:ind w:left="1300" w:right="320" w:hanging="320"/>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venturers that do not exceed, individually or in the aggregate 5% of then issued and outstanding capital stock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warrants outstanding to purchase 2,094,583 shares of our common stock at a weighted average exercise price of $1.65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had options outstanding to purchase 1,615,000 shares of our common stock at a weighted average exercise price of $1.09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of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currently traded on the OTCQB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transfer agent and registrar of our common stock is Empire Stock Transfer, 1859 Whitney Mesa Dr, Henderson, NV 89014, telephone: (702) 974-1444.</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it or as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Company or any of its parents or subsidiaries. Nor was any such person connected with the Company or any of its parents or subsidiaries as a promoter, managing or principal underwriter, voting trustee, director, officer, or employee.</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statutes, charter provisions, bylaws, contracts or other arrangements under which controlling persons, directors or officers of the registrant are insured or indemnified in any manner against any liability which they may incur in such capacity are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78.751 of the Nevada Revised Statutes provides that each corporation shall have the following powers regarding indemnification:</w:t>
      </w:r>
    </w:p>
    <w:p>
      <w:pPr>
        <w:spacing w:after="0" w:line="237" w:lineRule="exact"/>
        <w:rPr>
          <w:sz w:val="20"/>
          <w:szCs w:val="20"/>
          <w:color w:val="auto"/>
        </w:rPr>
      </w:pPr>
    </w:p>
    <w:p>
      <w:pPr>
        <w:ind w:firstLine="656"/>
        <w:spacing w:after="0" w:line="270" w:lineRule="auto"/>
        <w:tabs>
          <w:tab w:leader="none" w:pos="833"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acted in good faith and in a manner which he reasonably believed to be in or not opposed to the best interest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did not act in good faith and in a manner which he reasonably believed to be in or not opposed to the best interests of the corporation, and that, with respect to any criminal action or proceeding, he had reasonable cause to believe that his conduct was unlawful.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right="20" w:firstLine="656"/>
        <w:spacing w:after="0" w:line="289" w:lineRule="auto"/>
        <w:tabs>
          <w:tab w:leader="none" w:pos="833" w:val="left"/>
        </w:tabs>
        <w:numPr>
          <w:ilvl w:val="0"/>
          <w:numId w:val="8"/>
        </w:numPr>
        <w:rPr>
          <w:rFonts w:ascii="Arial" w:cs="Arial" w:eastAsia="Arial" w:hAnsi="Arial"/>
          <w:sz w:val="16"/>
          <w:szCs w:val="16"/>
          <w:color w:val="auto"/>
        </w:rPr>
      </w:pPr>
      <w:r>
        <w:rPr>
          <w:rFonts w:ascii="Arial" w:cs="Arial" w:eastAsia="Arial" w:hAnsi="Arial"/>
          <w:sz w:val="16"/>
          <w:szCs w:val="16"/>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such expenses as the court deems proper.</w:t>
      </w:r>
    </w:p>
    <w:p>
      <w:pPr>
        <w:spacing w:after="0" w:line="166" w:lineRule="exact"/>
        <w:rPr>
          <w:rFonts w:ascii="Arial" w:cs="Arial" w:eastAsia="Arial" w:hAnsi="Arial"/>
          <w:sz w:val="16"/>
          <w:szCs w:val="16"/>
          <w:color w:val="auto"/>
        </w:rPr>
      </w:pPr>
    </w:p>
    <w:p>
      <w:pPr>
        <w:ind w:right="240" w:firstLine="656"/>
        <w:spacing w:after="0" w:line="286"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the extent that a director, officer, employee or agent of a corporation has been successful on the merits or otherwise in defense of any action, suit or proceeding referred to in subsections 1 and 2, or in defense of any claim, issue or matter therein, he must be indemnified by the corporation against expenses, including attorneys' fees, actually and reasonably incurred by him in connection with the defense.</w:t>
      </w:r>
    </w:p>
    <w:p>
      <w:pPr>
        <w:spacing w:after="0" w:line="165" w:lineRule="exact"/>
        <w:rPr>
          <w:rFonts w:ascii="Arial" w:cs="Arial" w:eastAsia="Arial" w:hAnsi="Arial"/>
          <w:sz w:val="17"/>
          <w:szCs w:val="17"/>
          <w:color w:val="auto"/>
        </w:rPr>
      </w:pPr>
    </w:p>
    <w:p>
      <w:pPr>
        <w:ind w:firstLine="656"/>
        <w:spacing w:after="0" w:line="264" w:lineRule="auto"/>
        <w:tabs>
          <w:tab w:leader="none" w:pos="833"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indemnification under subsections 1 and 2, unless ordered by a court or advanced pursuant to subsection 5, must be made by the corporation only as authorized in the specific case upon a determination that indemnification of the director, officer, employee or agent is proper in the circumstances. The determination must be made:</w:t>
      </w:r>
    </w:p>
    <w:p>
      <w:pPr>
        <w:spacing w:after="0" w:line="181" w:lineRule="exact"/>
        <w:rPr>
          <w:sz w:val="20"/>
          <w:szCs w:val="20"/>
          <w:color w:val="auto"/>
        </w:rPr>
      </w:pPr>
    </w:p>
    <w:p>
      <w:pPr>
        <w:ind w:left="840" w:hanging="184"/>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the stockholders;</w:t>
      </w:r>
    </w:p>
    <w:p>
      <w:pPr>
        <w:spacing w:after="0" w:line="225" w:lineRule="exact"/>
        <w:rPr>
          <w:rFonts w:ascii="Arial" w:cs="Arial" w:eastAsia="Arial" w:hAnsi="Arial"/>
          <w:sz w:val="18"/>
          <w:szCs w:val="18"/>
          <w:color w:val="auto"/>
        </w:rPr>
      </w:pPr>
    </w:p>
    <w:p>
      <w:pPr>
        <w:ind w:left="860" w:hanging="20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the board of directors by majority vote of a quorum consisting of directors who were not parties to the act, suit or proceeding;</w:t>
      </w:r>
    </w:p>
    <w:p>
      <w:pPr>
        <w:spacing w:after="0" w:line="225" w:lineRule="exact"/>
        <w:rPr>
          <w:rFonts w:ascii="Arial" w:cs="Arial" w:eastAsia="Arial" w:hAnsi="Arial"/>
          <w:sz w:val="18"/>
          <w:szCs w:val="18"/>
          <w:color w:val="auto"/>
        </w:rPr>
      </w:pPr>
    </w:p>
    <w:p>
      <w:pPr>
        <w:ind w:right="180" w:firstLine="656"/>
        <w:spacing w:after="0" w:line="264" w:lineRule="auto"/>
        <w:tabs>
          <w:tab w:leader="none" w:pos="833"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 majority vote of a quorum consisting of directors who were not parties to the act, suit or proceeding so orders, by independent legal counsel, in a written opinion; or if a quorum consisting of directors who were not parties to the act, suit or proceeding cannot be obtained, by independent legal counsel in a written opinion.</w:t>
      </w:r>
    </w:p>
    <w:p>
      <w:pPr>
        <w:spacing w:after="0" w:line="181" w:lineRule="exact"/>
        <w:rPr>
          <w:rFonts w:ascii="Arial" w:cs="Arial" w:eastAsia="Arial" w:hAnsi="Arial"/>
          <w:sz w:val="18"/>
          <w:szCs w:val="18"/>
          <w:color w:val="auto"/>
        </w:rPr>
      </w:pPr>
    </w:p>
    <w:p>
      <w:pPr>
        <w:ind w:right="20" w:firstLine="656"/>
        <w:spacing w:after="0" w:line="297" w:lineRule="auto"/>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certificate or articles of incorporation, the bylaws or an agreement made by the corporation may provide that the expenses of officers and directors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is not entitled to be indemnified by the corporation. The provisions of this subsection do not affect any rights to advancement of expenses to which corporate personnel other than directors or officers may be entitled under any contract or otherwise by law.</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The indemnification and advancement of expenses authorized in or ordered by a court pursuant to this section:</w:t>
      </w:r>
    </w:p>
    <w:p>
      <w:pPr>
        <w:spacing w:after="0" w:line="225" w:lineRule="exact"/>
        <w:rPr>
          <w:sz w:val="20"/>
          <w:szCs w:val="20"/>
          <w:color w:val="auto"/>
        </w:rPr>
      </w:pPr>
    </w:p>
    <w:p>
      <w:pPr>
        <w:ind w:right="20" w:firstLine="656"/>
        <w:spacing w:after="0" w:line="276" w:lineRule="auto"/>
        <w:tabs>
          <w:tab w:leader="none" w:pos="833" w:val="left"/>
        </w:tabs>
        <w:numPr>
          <w:ilvl w:val="0"/>
          <w:numId w:val="10"/>
        </w:numPr>
        <w:rPr>
          <w:rFonts w:ascii="Arial" w:cs="Arial" w:eastAsia="Arial" w:hAnsi="Arial"/>
          <w:sz w:val="17"/>
          <w:szCs w:val="17"/>
          <w:color w:val="auto"/>
        </w:rPr>
      </w:pPr>
      <w:r>
        <w:rPr>
          <w:rFonts w:ascii="Arial" w:cs="Arial" w:eastAsia="Arial" w:hAnsi="Arial"/>
          <w:sz w:val="17"/>
          <w:szCs w:val="17"/>
          <w:color w:val="auto"/>
        </w:rPr>
        <w:t>Does not exclude any other rights to which a person seeking indemnification or advancement of expenses may be entitled under the certificate or articles of incorporation or any bylaw, agreement, vote of stockholders of disinterested directors or otherwise, for either an action in his official capacity or an action in another capacity while holding his office, except that indemnification, unless ordered by a court pursuant to subsection 2 or for the advancement of expenses made pursuant to subsection 5, may not be made to or on behalf of any director or officer if a final adjudication establishes that his acts or omissions involved intentional misconduct, fraud or a knowing violation of the law and was material to the cause of action.</w:t>
      </w:r>
    </w:p>
    <w:p>
      <w:pPr>
        <w:spacing w:after="0" w:line="172" w:lineRule="exact"/>
        <w:rPr>
          <w:rFonts w:ascii="Arial" w:cs="Arial" w:eastAsia="Arial" w:hAnsi="Arial"/>
          <w:sz w:val="17"/>
          <w:szCs w:val="17"/>
          <w:color w:val="auto"/>
        </w:rPr>
      </w:pPr>
    </w:p>
    <w:p>
      <w:pPr>
        <w:ind w:right="940" w:firstLine="656"/>
        <w:spacing w:after="0" w:line="277" w:lineRule="auto"/>
        <w:tabs>
          <w:tab w:leader="none" w:pos="8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Continues for a person who has ceased to be a director, officer, employee or agent and inures to the benefit of the heirs, executors and administrators of such a person.</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Article VI of our Amended and Restated Bylaws also provides specific indemnification provisions for our officers, directors, employees and or agents to the fullest extent of the law.</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0340"/>
          </w:cols>
          <w:pgMar w:left="240" w:top="904" w:right="131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10.10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10.18</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10.20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10.23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10.24</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10.25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00"/>
        <w:spacing w:after="0" w:line="228" w:lineRule="auto"/>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Amended and Restated Bylaws of the Company</w:t>
      </w:r>
      <w:r>
        <w:rPr>
          <w:rFonts w:ascii="Arial" w:cs="Arial" w:eastAsia="Arial" w:hAnsi="Arial"/>
          <w:sz w:val="30"/>
          <w:szCs w:val="3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6" w:lineRule="auto"/>
        <w:rPr>
          <w:sz w:val="20"/>
          <w:szCs w:val="20"/>
          <w:color w:val="auto"/>
        </w:rPr>
      </w:pPr>
      <w:r>
        <w:rPr>
          <w:rFonts w:ascii="Arial" w:cs="Arial" w:eastAsia="Arial" w:hAnsi="Arial"/>
          <w:sz w:val="16"/>
          <w:szCs w:val="16"/>
          <w:color w:val="auto"/>
        </w:rPr>
        <w:t>Certificate of Designation, filed on September 5, 2008, with the Secretary of State of the State of Nevada by the Company</w:t>
      </w:r>
      <w:r>
        <w:rPr>
          <w:rFonts w:ascii="Arial" w:cs="Arial" w:eastAsia="Arial" w:hAnsi="Arial"/>
          <w:sz w:val="26"/>
          <w:szCs w:val="26"/>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Opinion of The Doney Law Firm, with consent to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4445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4" w:lineRule="auto"/>
        <w:rPr>
          <w:sz w:val="20"/>
          <w:szCs w:val="20"/>
          <w:color w:val="auto"/>
        </w:rPr>
      </w:pPr>
      <w:r>
        <w:rPr>
          <w:rFonts w:ascii="Arial" w:cs="Arial" w:eastAsia="Arial" w:hAnsi="Arial"/>
          <w:sz w:val="18"/>
          <w:szCs w:val="18"/>
          <w:color w:val="auto"/>
        </w:rPr>
        <w:t>Employment Agreement, dated August 1, 2008</w:t>
      </w:r>
      <w:r>
        <w:rPr>
          <w:rFonts w:ascii="Arial" w:cs="Arial" w:eastAsia="Arial" w:hAnsi="Arial"/>
          <w:sz w:val="30"/>
          <w:szCs w:val="30"/>
          <w:color w:val="auto"/>
          <w:vertAlign w:val="superscript"/>
        </w:rPr>
        <w:t>2</w:t>
      </w:r>
    </w:p>
    <w:p>
      <w:pPr>
        <w:spacing w:after="0" w:line="185" w:lineRule="auto"/>
        <w:rPr>
          <w:sz w:val="20"/>
          <w:szCs w:val="20"/>
          <w:color w:val="auto"/>
        </w:rPr>
      </w:pPr>
      <w:r>
        <w:rPr>
          <w:rFonts w:ascii="Arial" w:cs="Arial" w:eastAsia="Arial" w:hAnsi="Arial"/>
          <w:sz w:val="18"/>
          <w:szCs w:val="18"/>
          <w:color w:val="auto"/>
        </w:rPr>
        <w:t>Employment Agreement, dated June 1, 2008</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p>
      <w:pPr>
        <w:spacing w:after="0" w:line="184" w:lineRule="auto"/>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p>
      <w:pPr>
        <w:spacing w:after="0" w:line="185" w:lineRule="auto"/>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4" w:lineRule="auto"/>
        <w:rPr>
          <w:sz w:val="20"/>
          <w:szCs w:val="20"/>
          <w:color w:val="auto"/>
        </w:rPr>
      </w:pPr>
      <w:r>
        <w:rPr>
          <w:rFonts w:ascii="Arial" w:cs="Arial" w:eastAsia="Arial" w:hAnsi="Arial"/>
          <w:sz w:val="18"/>
          <w:szCs w:val="18"/>
          <w:color w:val="auto"/>
        </w:rPr>
        <w:t>Employment Agreement, dated January 14, 2013</w:t>
      </w:r>
      <w:r>
        <w:rPr>
          <w:rFonts w:ascii="Arial" w:cs="Arial" w:eastAsia="Arial" w:hAnsi="Arial"/>
          <w:sz w:val="29"/>
          <w:szCs w:val="29"/>
          <w:color w:val="auto"/>
          <w:vertAlign w:val="superscript"/>
        </w:rPr>
        <w:t>4</w:t>
      </w:r>
    </w:p>
    <w:p>
      <w:pPr>
        <w:spacing w:after="0" w:line="185" w:lineRule="auto"/>
        <w:rPr>
          <w:sz w:val="20"/>
          <w:szCs w:val="20"/>
          <w:color w:val="auto"/>
        </w:rPr>
      </w:pPr>
      <w:r>
        <w:rPr>
          <w:rFonts w:ascii="Arial" w:cs="Arial" w:eastAsia="Arial" w:hAnsi="Arial"/>
          <w:sz w:val="18"/>
          <w:szCs w:val="18"/>
          <w:color w:val="auto"/>
        </w:rPr>
        <w:t>Securities Redemption Option Agreement, dated January 10, 2013</w:t>
      </w:r>
      <w:r>
        <w:rPr>
          <w:rFonts w:ascii="Arial" w:cs="Arial" w:eastAsia="Arial" w:hAnsi="Arial"/>
          <w:sz w:val="29"/>
          <w:szCs w:val="29"/>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spacing w:after="0" w:line="184"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p>
      <w:pPr>
        <w:spacing w:after="0" w:line="185" w:lineRule="auto"/>
        <w:rPr>
          <w:sz w:val="20"/>
          <w:szCs w:val="20"/>
          <w:color w:val="auto"/>
        </w:rPr>
      </w:pPr>
      <w:r>
        <w:rPr>
          <w:rFonts w:ascii="Arial" w:cs="Arial" w:eastAsia="Arial" w:hAnsi="Arial"/>
          <w:sz w:val="18"/>
          <w:szCs w:val="18"/>
          <w:color w:val="auto"/>
        </w:rPr>
        <w:t>Separation Agreement, dated September 20, 2013</w:t>
      </w:r>
      <w:r>
        <w:rPr>
          <w:rFonts w:ascii="Arial" w:cs="Arial" w:eastAsia="Arial" w:hAnsi="Arial"/>
          <w:sz w:val="29"/>
          <w:szCs w:val="29"/>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4" w:lineRule="auto"/>
        <w:rPr>
          <w:sz w:val="20"/>
          <w:szCs w:val="20"/>
          <w:color w:val="auto"/>
        </w:rPr>
      </w:pPr>
      <w:r>
        <w:rPr>
          <w:rFonts w:ascii="Arial" w:cs="Arial" w:eastAsia="Arial" w:hAnsi="Arial"/>
          <w:sz w:val="18"/>
          <w:szCs w:val="18"/>
          <w:color w:val="auto"/>
        </w:rPr>
        <w:t>Amendment No. 1 to Securities Redemption Option Agreement</w:t>
      </w:r>
      <w:r>
        <w:rPr>
          <w:rFonts w:ascii="Arial" w:cs="Arial" w:eastAsia="Arial" w:hAnsi="Arial"/>
          <w:sz w:val="29"/>
          <w:szCs w:val="29"/>
          <w:color w:val="auto"/>
          <w:vertAlign w:val="superscript"/>
        </w:rPr>
        <w:t>8</w:t>
      </w:r>
    </w:p>
    <w:p>
      <w:pPr>
        <w:spacing w:after="0" w:line="185" w:lineRule="auto"/>
        <w:rPr>
          <w:sz w:val="20"/>
          <w:szCs w:val="20"/>
          <w:color w:val="auto"/>
        </w:rPr>
      </w:pPr>
      <w:r>
        <w:rPr>
          <w:rFonts w:ascii="Arial" w:cs="Arial" w:eastAsia="Arial" w:hAnsi="Arial"/>
          <w:sz w:val="18"/>
          <w:szCs w:val="18"/>
          <w:color w:val="auto"/>
        </w:rPr>
        <w:t>Securities Purchase Agreement</w:t>
      </w:r>
      <w:r>
        <w:rPr>
          <w:rFonts w:ascii="Arial" w:cs="Arial" w:eastAsia="Arial" w:hAnsi="Arial"/>
          <w:sz w:val="29"/>
          <w:szCs w:val="29"/>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Registration Rights Agreement</w:t>
      </w:r>
      <w:r>
        <w:rPr>
          <w:rFonts w:ascii="Arial" w:cs="Arial" w:eastAsia="Arial" w:hAnsi="Arial"/>
          <w:sz w:val="29"/>
          <w:szCs w:val="29"/>
          <w:color w:val="auto"/>
          <w:vertAlign w:val="superscript"/>
        </w:rPr>
        <w:t>9</w:t>
      </w:r>
    </w:p>
    <w:p>
      <w:pPr>
        <w:spacing w:after="0" w:line="184" w:lineRule="auto"/>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Warrant Agreement</w:t>
      </w:r>
      <w:r>
        <w:rPr>
          <w:rFonts w:ascii="Arial" w:cs="Arial" w:eastAsia="Arial" w:hAnsi="Arial"/>
          <w:sz w:val="29"/>
          <w:szCs w:val="29"/>
          <w:color w:val="auto"/>
          <w:vertAlign w:val="superscript"/>
        </w:rPr>
        <w:t>10</w:t>
      </w:r>
    </w:p>
    <w:p>
      <w:pPr>
        <w:spacing w:after="0" w:line="185" w:lineRule="auto"/>
        <w:rPr>
          <w:sz w:val="20"/>
          <w:szCs w:val="20"/>
          <w:color w:val="auto"/>
        </w:rPr>
      </w:pPr>
      <w:r>
        <w:rPr>
          <w:rFonts w:ascii="Arial" w:cs="Arial" w:eastAsia="Arial" w:hAnsi="Arial"/>
          <w:sz w:val="18"/>
          <w:szCs w:val="18"/>
          <w:color w:val="auto"/>
        </w:rPr>
        <w:t>Employment Agreement, dated May 12, 2014</w:t>
      </w:r>
      <w:r>
        <w:rPr>
          <w:rFonts w:ascii="Arial" w:cs="Arial" w:eastAsia="Arial" w:hAnsi="Arial"/>
          <w:sz w:val="29"/>
          <w:szCs w:val="29"/>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4" w:lineRule="auto"/>
        <w:rPr>
          <w:sz w:val="20"/>
          <w:szCs w:val="20"/>
          <w:color w:val="auto"/>
        </w:rPr>
      </w:pPr>
      <w:r>
        <w:rPr>
          <w:rFonts w:ascii="Arial" w:cs="Arial" w:eastAsia="Arial" w:hAnsi="Arial"/>
          <w:sz w:val="18"/>
          <w:szCs w:val="18"/>
          <w:color w:val="auto"/>
        </w:rPr>
        <w:t>Advisory Agreement, dated February 23, 2015</w:t>
      </w:r>
      <w:r>
        <w:rPr>
          <w:rFonts w:ascii="Arial" w:cs="Arial" w:eastAsia="Arial" w:hAnsi="Arial"/>
          <w:sz w:val="29"/>
          <w:szCs w:val="29"/>
          <w:color w:val="auto"/>
          <w:vertAlign w:val="superscript"/>
        </w:rPr>
        <w:t>12</w:t>
      </w:r>
    </w:p>
    <w:p>
      <w:pPr>
        <w:spacing w:after="0" w:line="185" w:lineRule="auto"/>
        <w:rPr>
          <w:sz w:val="20"/>
          <w:szCs w:val="20"/>
          <w:color w:val="auto"/>
        </w:rPr>
      </w:pPr>
      <w:r>
        <w:rPr>
          <w:rFonts w:ascii="Arial" w:cs="Arial" w:eastAsia="Arial" w:hAnsi="Arial"/>
          <w:sz w:val="18"/>
          <w:szCs w:val="18"/>
          <w:color w:val="auto"/>
        </w:rPr>
        <w:t>Stock Purchase Agreement, dated September 24, 2015</w:t>
      </w:r>
      <w:r>
        <w:rPr>
          <w:rFonts w:ascii="Arial" w:cs="Arial" w:eastAsia="Arial" w:hAnsi="Arial"/>
          <w:sz w:val="29"/>
          <w:szCs w:val="29"/>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Investor Rights Agreement, dated September 24, 2015</w:t>
      </w:r>
      <w:r>
        <w:rPr>
          <w:rFonts w:ascii="Arial" w:cs="Arial" w:eastAsia="Arial" w:hAnsi="Arial"/>
          <w:sz w:val="29"/>
          <w:szCs w:val="29"/>
          <w:color w:val="auto"/>
          <w:vertAlign w:val="superscript"/>
        </w:rPr>
        <w:t>13</w:t>
      </w:r>
    </w:p>
    <w:p>
      <w:pPr>
        <w:spacing w:after="0" w:line="184" w:lineRule="auto"/>
        <w:rPr>
          <w:sz w:val="20"/>
          <w:szCs w:val="20"/>
          <w:color w:val="auto"/>
        </w:rPr>
      </w:pPr>
      <w:r>
        <w:rPr>
          <w:rFonts w:ascii="Arial" w:cs="Arial" w:eastAsia="Arial" w:hAnsi="Arial"/>
          <w:sz w:val="18"/>
          <w:szCs w:val="18"/>
          <w:color w:val="auto"/>
        </w:rPr>
        <w:t>Indemnity Agreement, dated September 24, 2015</w:t>
      </w:r>
      <w:r>
        <w:rPr>
          <w:rFonts w:ascii="Arial" w:cs="Arial" w:eastAsia="Arial" w:hAnsi="Arial"/>
          <w:sz w:val="29"/>
          <w:szCs w:val="29"/>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Employment Agreement, dated January 4, 2016</w:t>
      </w:r>
      <w:r>
        <w:rPr>
          <w:rFonts w:ascii="Arial" w:cs="Arial" w:eastAsia="Arial" w:hAnsi="Arial"/>
          <w:sz w:val="29"/>
          <w:szCs w:val="29"/>
          <w:color w:val="auto"/>
          <w:vertAlign w:val="superscript"/>
        </w:rPr>
        <w:t>14</w:t>
      </w:r>
    </w:p>
    <w:p>
      <w:pPr>
        <w:spacing w:after="0" w:line="185" w:lineRule="auto"/>
        <w:rPr>
          <w:sz w:val="20"/>
          <w:szCs w:val="20"/>
          <w:color w:val="auto"/>
        </w:rPr>
      </w:pPr>
      <w:r>
        <w:rPr>
          <w:rFonts w:ascii="Arial" w:cs="Arial" w:eastAsia="Arial" w:hAnsi="Arial"/>
          <w:sz w:val="18"/>
          <w:szCs w:val="18"/>
          <w:color w:val="auto"/>
        </w:rPr>
        <w:t>Offer Letter, dated February 12, 2016</w:t>
      </w:r>
      <w:r>
        <w:rPr>
          <w:rFonts w:ascii="Arial" w:cs="Arial" w:eastAsia="Arial" w:hAnsi="Arial"/>
          <w:sz w:val="29"/>
          <w:szCs w:val="29"/>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4" w:lineRule="auto"/>
        <w:rPr>
          <w:sz w:val="20"/>
          <w:szCs w:val="20"/>
          <w:color w:val="auto"/>
        </w:rPr>
      </w:pPr>
      <w:r>
        <w:rPr>
          <w:rFonts w:ascii="Arial" w:cs="Arial" w:eastAsia="Arial" w:hAnsi="Arial"/>
          <w:sz w:val="18"/>
          <w:szCs w:val="18"/>
          <w:color w:val="auto"/>
        </w:rPr>
        <w:t>Amended and Restated 2013 Incentive Plan</w:t>
      </w:r>
      <w:r>
        <w:rPr>
          <w:rFonts w:ascii="Arial" w:cs="Arial" w:eastAsia="Arial" w:hAnsi="Arial"/>
          <w:sz w:val="29"/>
          <w:szCs w:val="29"/>
          <w:color w:val="auto"/>
          <w:vertAlign w:val="superscript"/>
        </w:rPr>
        <w:t>16</w:t>
      </w:r>
    </w:p>
    <w:p>
      <w:pPr>
        <w:spacing w:after="0" w:line="185" w:lineRule="auto"/>
        <w:rPr>
          <w:sz w:val="20"/>
          <w:szCs w:val="20"/>
          <w:color w:val="auto"/>
        </w:rPr>
      </w:pPr>
      <w:r>
        <w:rPr>
          <w:rFonts w:ascii="Arial" w:cs="Arial" w:eastAsia="Arial" w:hAnsi="Arial"/>
          <w:sz w:val="18"/>
          <w:szCs w:val="18"/>
          <w:color w:val="auto"/>
        </w:rPr>
        <w:t>List of Subsidiaries</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Consent of KLJ &amp; Associates, LLP, an Independent Registered Public Accounting Firm</w:t>
      </w:r>
    </w:p>
    <w:p>
      <w:pPr>
        <w:spacing w:after="0" w:line="141" w:lineRule="exact"/>
        <w:rPr>
          <w:sz w:val="20"/>
          <w:szCs w:val="20"/>
          <w:color w:val="auto"/>
        </w:rPr>
      </w:pPr>
    </w:p>
    <w:p>
      <w:pPr>
        <w:sectPr>
          <w:pgSz w:w="11900" w:h="16838" w:orient="portrait"/>
          <w:cols w:equalWidth="0" w:num="2">
            <w:col w:w="440" w:space="720"/>
            <w:col w:w="9180"/>
          </w:cols>
          <w:pgMar w:left="240" w:top="904" w:right="1319" w:bottom="1440" w:gutter="0" w:footer="0" w:header="0"/>
          <w:type w:val="continuous"/>
        </w:sectPr>
      </w:pPr>
    </w:p>
    <w:p>
      <w:pPr>
        <w:ind w:left="460" w:hanging="452"/>
        <w:spacing w:after="0"/>
        <w:tabs>
          <w:tab w:leader="none" w:pos="46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ind w:left="460" w:hanging="452"/>
        <w:spacing w:after="0" w:line="180" w:lineRule="auto"/>
        <w:tabs>
          <w:tab w:leader="none" w:pos="46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10-K, filed by the Company with the Securities and Exchange Commission on March 31, 2010.</w:t>
      </w:r>
    </w:p>
    <w:p>
      <w:pPr>
        <w:ind w:left="460" w:hanging="452"/>
        <w:spacing w:after="0" w:line="180" w:lineRule="auto"/>
        <w:tabs>
          <w:tab w:leader="none" w:pos="46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July 30, 2010.</w:t>
      </w:r>
    </w:p>
    <w:p>
      <w:pPr>
        <w:ind w:left="460" w:hanging="452"/>
        <w:spacing w:after="0" w:line="181" w:lineRule="auto"/>
        <w:tabs>
          <w:tab w:leader="none" w:pos="460"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18, 2013.</w:t>
      </w:r>
    </w:p>
    <w:p>
      <w:pPr>
        <w:ind w:left="460" w:hanging="452"/>
        <w:spacing w:after="0" w:line="180" w:lineRule="auto"/>
        <w:tabs>
          <w:tab w:leader="none" w:pos="460" w:val="left"/>
        </w:tabs>
        <w:numPr>
          <w:ilvl w:val="0"/>
          <w:numId w:val="15"/>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11, 2013.</w:t>
      </w:r>
    </w:p>
    <w:p>
      <w:pPr>
        <w:ind w:left="460" w:hanging="452"/>
        <w:spacing w:after="0" w:line="181" w:lineRule="auto"/>
        <w:tabs>
          <w:tab w:leader="none" w:pos="460"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August 15, 2013.</w:t>
      </w:r>
    </w:p>
    <w:p>
      <w:pPr>
        <w:ind w:left="460" w:hanging="452"/>
        <w:spacing w:after="0" w:line="180" w:lineRule="auto"/>
        <w:tabs>
          <w:tab w:leader="none" w:pos="46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20, 2013.</w:t>
      </w:r>
    </w:p>
    <w:p>
      <w:pPr>
        <w:ind w:left="460" w:hanging="452"/>
        <w:spacing w:after="0" w:line="180" w:lineRule="auto"/>
        <w:tabs>
          <w:tab w:leader="none" w:pos="460"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2, 2014.</w:t>
      </w:r>
    </w:p>
    <w:p>
      <w:pPr>
        <w:ind w:left="460" w:hanging="452"/>
        <w:spacing w:after="0" w:line="181" w:lineRule="auto"/>
        <w:tabs>
          <w:tab w:leader="none" w:pos="460"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March 18, 2014.</w:t>
      </w:r>
    </w:p>
    <w:p>
      <w:pPr>
        <w:ind w:left="460" w:hanging="452"/>
        <w:spacing w:after="0" w:line="180" w:lineRule="auto"/>
        <w:tabs>
          <w:tab w:leader="none" w:pos="46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S-1/A, filed by the Company with the Securities and Exchange Commission on May 12, 2014.</w:t>
      </w:r>
    </w:p>
    <w:p>
      <w:pPr>
        <w:spacing w:after="0" w:line="2" w:lineRule="exact"/>
        <w:rPr>
          <w:rFonts w:ascii="Arial" w:cs="Arial" w:eastAsia="Arial" w:hAnsi="Arial"/>
          <w:sz w:val="25"/>
          <w:szCs w:val="25"/>
          <w:color w:val="auto"/>
          <w:vertAlign w:val="superscript"/>
        </w:rPr>
      </w:pPr>
    </w:p>
    <w:p>
      <w:pPr>
        <w:ind w:left="460" w:hanging="452"/>
        <w:spacing w:after="0" w:line="186" w:lineRule="auto"/>
        <w:tabs>
          <w:tab w:leader="none" w:pos="4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May 14, 2014.</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S-1/A, filed by the Company with the Securities and Exchange Commission on June 1, 2015.</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September 30, 2015.</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January 8, 2016.</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February 19, 2016.</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20"/>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March 31, 2016.</w:t>
      </w:r>
    </w:p>
    <w:p>
      <w:pPr>
        <w:spacing w:after="0" w:line="200" w:lineRule="exact"/>
        <w:rPr>
          <w:sz w:val="20"/>
          <w:szCs w:val="20"/>
          <w:color w:val="auto"/>
        </w:rPr>
      </w:pPr>
    </w:p>
    <w:p>
      <w:pPr>
        <w:spacing w:after="0" w:line="2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340"/>
          </w:cols>
          <w:pgMar w:left="240" w:top="904" w:right="13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 to:</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 any Prospectus required by Section 10(a)(3) of the Securities Act of 1933, as amended;</w:t>
      </w:r>
    </w:p>
    <w:p>
      <w:pPr>
        <w:spacing w:after="0" w:line="225" w:lineRule="exact"/>
        <w:rPr>
          <w:rFonts w:ascii="Arial" w:cs="Arial" w:eastAsia="Arial" w:hAnsi="Arial"/>
          <w:sz w:val="18"/>
          <w:szCs w:val="18"/>
          <w:color w:val="auto"/>
        </w:rPr>
      </w:pPr>
    </w:p>
    <w:p>
      <w:pPr>
        <w:ind w:right="20" w:firstLine="8"/>
        <w:spacing w:after="0" w:line="293"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200" w:firstLine="8"/>
        <w:spacing w:after="0" w:line="277"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ind w:right="240" w:firstLine="656"/>
        <w:spacing w:after="0" w:line="264"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820" w:firstLine="656"/>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purposes of determining liability under the Securities Act of 1933 to any purchaser:</w:t>
      </w:r>
    </w:p>
    <w:p>
      <w:pPr>
        <w:spacing w:after="0" w:line="225" w:lineRule="exact"/>
        <w:rPr>
          <w:sz w:val="20"/>
          <w:szCs w:val="20"/>
          <w:color w:val="auto"/>
        </w:rPr>
      </w:pPr>
    </w:p>
    <w:p>
      <w:pPr>
        <w:ind w:right="20" w:firstLine="8"/>
        <w:spacing w:after="0" w:line="293" w:lineRule="auto"/>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4" w:lineRule="exact"/>
        <w:rPr>
          <w:rFonts w:ascii="Arial" w:cs="Arial" w:eastAsia="Arial" w:hAnsi="Arial"/>
          <w:sz w:val="16"/>
          <w:szCs w:val="16"/>
          <w:color w:val="auto"/>
        </w:rPr>
      </w:pPr>
    </w:p>
    <w:p>
      <w:pPr>
        <w:ind w:left="900" w:hanging="244"/>
        <w:spacing w:after="0"/>
        <w:tabs>
          <w:tab w:leader="none" w:pos="9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right="540" w:firstLine="8"/>
        <w:spacing w:after="0" w:line="27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120" w:firstLine="8"/>
        <w:spacing w:after="0" w:line="277" w:lineRule="auto"/>
        <w:tabs>
          <w:tab w:leader="none" w:pos="31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provisions described under Item 24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Rochester, Michigan, on April 8,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jc w:val="both"/>
        <w:spacing w:after="0"/>
        <w:tabs>
          <w:tab w:leader="none" w:pos="560" w:val="left"/>
        </w:tabs>
        <w:rPr>
          <w:sz w:val="20"/>
          <w:szCs w:val="20"/>
          <w:color w:val="auto"/>
        </w:rPr>
      </w:pPr>
      <w:r>
        <w:rPr>
          <w:rFonts w:ascii="Arial" w:cs="Arial" w:eastAsia="Arial" w:hAnsi="Arial"/>
          <w:sz w:val="18"/>
          <w:szCs w:val="18"/>
          <w:color w:val="auto"/>
        </w:rPr>
        <w:t>Title:</w:t>
        <w:tab/>
        <w:t>Chief Executive Officer and</w:t>
      </w:r>
    </w:p>
    <w:p>
      <w:pPr>
        <w:spacing w:after="0" w:line="9" w:lineRule="exact"/>
        <w:rPr>
          <w:sz w:val="20"/>
          <w:szCs w:val="20"/>
          <w:color w:val="auto"/>
        </w:rPr>
      </w:pPr>
    </w:p>
    <w:p>
      <w:pPr>
        <w:jc w:val="right"/>
        <w:ind w:right="88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William Febbo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U.S.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any of them, or of their substitute or substitutes, may lawfully do or cause to be done by virtue hereof.</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stated.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David Harrell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Chairman and Director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Hamilton</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Terence Hamilton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Vice President of Sales and Director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Halas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Gus Halas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Pinney</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Jack Pinney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O’Connor Vos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Lynn O’Connor Vos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165735</wp:posOffset>
            </wp:positionV>
            <wp:extent cx="5231130" cy="763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3113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Water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 48307</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OptimizeRx Corp., 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acted as counsel for OptimizeRx Corp., a Nevada corporation (the "Company"), in connection with the preparation of the registration statement on Form S-8 (the "Registration Statement") to be filed with the Securities and Exchange Commission (the "Commission") pursuant to the Securities Act of 1933, as amended (the "Act"), relating to the offering of 2,500,000 shares of the Company’s common stock (the “Shares”), which may be issued pursuant to the Company’s Amended and Restated 2013 Equity Incentive Plan (the “Plan”).</w:t>
      </w:r>
    </w:p>
    <w:p>
      <w:pPr>
        <w:spacing w:after="0" w:line="18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rendering the opinion set forth below, we have reviewed: (a) the Registration Statement and the exhibits attached thereto; (b) the Company's Articles of Incorporation, as amended; (c) the Company's Bylaws, as amended; (d) certain records of the Company's corporate proceedings as reflected in its minute books including resolutions of the board of directors approving the Plan; (e) the Plan; and (f) such statutes, records and other documents as we have deemed relevant. In our examination, we have assumed the genuineness of all signatures, the authenticity of all documents submitted to us as originals, and conformity with the originals of all documents submitted to us as copies thereof.</w:t>
      </w:r>
    </w:p>
    <w:p>
      <w:pPr>
        <w:spacing w:after="0" w:line="173"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Based upon the foregoing, we are of the opinion that the Shares have been validly authorized, and when the Registration Statement has become effective under the Act, such Shares will, when issued pursuant to the terms of the Plan, be legally issued, fully paid and non-assessable shares of the Company’s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7"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inclusion of our name and use of our opinion in connection with the Form S-8 Registration Statement filed with the Securities and Exchange Commission as counsel for the registrant, OptimizeRx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Doney Law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Doney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40"/>
          </w:cols>
          <w:pgMar w:left="240" w:top="908" w:right="91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439160" cy="823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3916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16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As independent registered public accountants, we hereby consent to the use of our audit report dated March 15, 2016, with respect to the financial statements of OptimizeRx Corporation in its registration statement Form S-8. We also consent to the reference of our firm under the caption “interest of named experts and counsel” in the registration statement.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April 6, 2016</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4"/>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lvl w:ilvl="1">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2"/>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bullet"/>
      <w:start w:val="1"/>
    </w:lvl>
  </w:abstractNum>
  <w:abstractNum w:abstractNumId="11">
    <w:nsid w:val="431BD7B7"/>
    <w:multiLevelType w:val="hybridMultilevel"/>
    <w:lvl w:ilvl="0">
      <w:lvlJc w:val="left"/>
      <w:lvlText w:val="2"/>
      <w:numFmt w:val="bullet"/>
      <w:start w:val="1"/>
    </w:lvl>
  </w:abstractNum>
  <w:abstractNum w:abstractNumId="12">
    <w:nsid w:val="3F2DBA31"/>
    <w:multiLevelType w:val="hybridMultilevel"/>
    <w:lvl w:ilvl="0">
      <w:lvlJc w:val="left"/>
      <w:lvlText w:val="3"/>
      <w:numFmt w:val="bullet"/>
      <w:start w:val="1"/>
    </w:lvl>
  </w:abstractNum>
  <w:abstractNum w:abstractNumId="13">
    <w:nsid w:val="7C83E458"/>
    <w:multiLevelType w:val="hybridMultilevel"/>
    <w:lvl w:ilvl="0">
      <w:lvlJc w:val="left"/>
      <w:lvlText w:val="4"/>
      <w:numFmt w:val="bullet"/>
      <w:start w:val="1"/>
    </w:lvl>
  </w:abstractNum>
  <w:abstractNum w:abstractNumId="14">
    <w:nsid w:val="257130A3"/>
    <w:multiLevelType w:val="hybridMultilevel"/>
    <w:lvl w:ilvl="0">
      <w:lvlJc w:val="left"/>
      <w:lvlText w:val="5"/>
      <w:numFmt w:val="bullet"/>
      <w:start w:val="1"/>
    </w:lvl>
  </w:abstractNum>
  <w:abstractNum w:abstractNumId="15">
    <w:nsid w:val="62BBD95A"/>
    <w:multiLevelType w:val="hybridMultilevel"/>
    <w:lvl w:ilvl="0">
      <w:lvlJc w:val="left"/>
      <w:lvlText w:val="6"/>
      <w:numFmt w:val="bullet"/>
      <w:start w:val="1"/>
    </w:lvl>
  </w:abstractNum>
  <w:abstractNum w:abstractNumId="16">
    <w:nsid w:val="436C6125"/>
    <w:multiLevelType w:val="hybridMultilevel"/>
    <w:lvl w:ilvl="0">
      <w:lvlJc w:val="left"/>
      <w:lvlText w:val="7"/>
      <w:numFmt w:val="bullet"/>
      <w:start w:val="1"/>
    </w:lvl>
  </w:abstractNum>
  <w:abstractNum w:abstractNumId="17">
    <w:nsid w:val="628C895D"/>
    <w:multiLevelType w:val="hybridMultilevel"/>
    <w:lvl w:ilvl="0">
      <w:lvlJc w:val="left"/>
      <w:lvlText w:val="8"/>
      <w:numFmt w:val="bullet"/>
      <w:start w:val="1"/>
    </w:lvl>
  </w:abstractNum>
  <w:abstractNum w:abstractNumId="18">
    <w:nsid w:val="333AB105"/>
    <w:multiLevelType w:val="hybridMultilevel"/>
    <w:lvl w:ilvl="0">
      <w:lvlJc w:val="left"/>
      <w:lvlText w:val="9"/>
      <w:numFmt w:val="bullet"/>
      <w:start w:val="1"/>
    </w:lvl>
  </w:abstractNum>
  <w:abstractNum w:abstractNumId="19">
    <w:nsid w:val="721DA317"/>
    <w:multiLevelType w:val="hybridMultilevel"/>
    <w:lvl w:ilvl="0">
      <w:lvlJc w:val="left"/>
      <w:lvlText w:val="%1"/>
      <w:numFmt w:val="decimal"/>
      <w:start w:val="10"/>
    </w:lvl>
  </w:abstractNum>
  <w:abstractNum w:abstractNumId="20">
    <w:nsid w:val="2443A858"/>
    <w:multiLevelType w:val="hybridMultilevel"/>
    <w:lvl w:ilvl="0">
      <w:lvlJc w:val="left"/>
      <w:lvlText w:val="%1"/>
      <w:numFmt w:val="lowerRoman"/>
      <w:start w:val="1"/>
    </w:lvl>
    <w:lvl w:ilvl="1">
      <w:lvlJc w:val="left"/>
      <w:lvlText w:val="(%2)"/>
      <w:numFmt w:val="decimal"/>
      <w:start w:val="1"/>
    </w:lvl>
  </w:abstractNum>
  <w:abstractNum w:abstractNumId="21">
    <w:nsid w:val="2D1D5AE9"/>
    <w:multiLevelType w:val="hybridMultilevel"/>
    <w:lvl w:ilvl="0">
      <w:lvlJc w:val="left"/>
      <w:lvlText w:val="(%1)"/>
      <w:numFmt w:val="lowerRoman"/>
      <w:start w:val="1"/>
    </w:lvl>
    <w:lvl w:ilvl="1">
      <w:lvlJc w:val="left"/>
      <w:lvlText w:val="(%2)"/>
      <w:numFmt w:val="decimal"/>
      <w:start w:val="2"/>
    </w:lvl>
  </w:abstractNum>
  <w:abstractNum w:abstractNumId="22">
    <w:nsid w:val="6763845E"/>
    <w:multiLevelType w:val="hybridMultilevel"/>
    <w:lvl w:ilvl="0">
      <w:lvlJc w:val="left"/>
      <w:lvlText w:val="(%1)"/>
      <w:numFmt w:val="lowerRoman"/>
      <w:start w:val="1"/>
    </w:lvl>
    <w:lvl w:ilvl="1">
      <w:lvlJc w:val="left"/>
      <w:lvlText w:val="(%2)"/>
      <w:numFmt w:val="decimal"/>
      <w:start w:val="5"/>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2019-12-08T19:25:08Z</dcterms:created>
  <dcterms:modified xsi:type="dcterms:W3CDTF">2019-12-08T19:25:08Z</dcterms:modified>
</cp:coreProperties>
</file>