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UNITED STATES</w:t>
      </w:r>
    </w:p>
    <w:p>
      <w:pPr>
        <w:spacing w:after="0" w:line="31"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___)*</w:t>
      </w:r>
    </w:p>
    <w:p>
      <w:pPr>
        <w:spacing w:after="0" w:line="186"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u w:val="single" w:color="auto"/>
          <w:color w:val="auto"/>
        </w:rPr>
        <w:t>OptimizeRx Corporation</w:t>
      </w:r>
    </w:p>
    <w:p>
      <w:pPr>
        <w:spacing w:after="0" w:line="34"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ind w:left="3700"/>
        <w:spacing w:after="0"/>
        <w:rPr>
          <w:sz w:val="20"/>
          <w:szCs w:val="20"/>
          <w:color w:val="auto"/>
        </w:rPr>
      </w:pPr>
      <w:r>
        <w:rPr>
          <w:rFonts w:ascii="Arial" w:cs="Arial" w:eastAsia="Arial" w:hAnsi="Arial"/>
          <w:sz w:val="22"/>
          <w:szCs w:val="22"/>
          <w:b w:val="1"/>
          <w:bCs w:val="1"/>
          <w:u w:val="single" w:color="auto"/>
          <w:color w:val="auto"/>
        </w:rPr>
        <w:t>Common Stock, par value $0.001 per share</w:t>
      </w:r>
    </w:p>
    <w:p>
      <w:pPr>
        <w:spacing w:after="0" w:line="14"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ind w:left="5180"/>
        <w:spacing w:after="0"/>
        <w:rPr>
          <w:sz w:val="20"/>
          <w:szCs w:val="20"/>
          <w:color w:val="auto"/>
        </w:rPr>
      </w:pPr>
      <w:r>
        <w:rPr>
          <w:rFonts w:ascii="Arial" w:cs="Arial" w:eastAsia="Arial" w:hAnsi="Arial"/>
          <w:sz w:val="22"/>
          <w:szCs w:val="22"/>
          <w:b w:val="1"/>
          <w:bCs w:val="1"/>
          <w:u w:val="single" w:color="auto"/>
          <w:color w:val="auto"/>
        </w:rPr>
        <w:t>68401U105</w:t>
      </w:r>
    </w:p>
    <w:p>
      <w:pPr>
        <w:spacing w:after="0" w:line="14"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ind w:left="4820"/>
        <w:spacing w:after="0"/>
        <w:rPr>
          <w:sz w:val="20"/>
          <w:szCs w:val="20"/>
          <w:color w:val="auto"/>
        </w:rPr>
      </w:pPr>
      <w:r>
        <w:rPr>
          <w:rFonts w:ascii="Arial" w:cs="Arial" w:eastAsia="Arial" w:hAnsi="Arial"/>
          <w:sz w:val="22"/>
          <w:szCs w:val="22"/>
          <w:b w:val="1"/>
          <w:bCs w:val="1"/>
          <w:u w:val="single" w:color="auto"/>
          <w:color w:val="auto"/>
        </w:rPr>
        <w:t>December 31, 2019</w:t>
      </w:r>
    </w:p>
    <w:p>
      <w:pPr>
        <w:spacing w:after="0" w:line="14" w:lineRule="exact"/>
        <w:rPr>
          <w:sz w:val="24"/>
          <w:szCs w:val="24"/>
          <w:color w:val="auto"/>
        </w:rPr>
      </w:pPr>
    </w:p>
    <w:p>
      <w:pPr>
        <w:ind w:left="3300"/>
        <w:spacing w:after="0"/>
        <w:rPr>
          <w:sz w:val="20"/>
          <w:szCs w:val="20"/>
          <w:color w:val="auto"/>
        </w:rPr>
      </w:pPr>
      <w:r>
        <w:rPr>
          <w:rFonts w:ascii="Arial" w:cs="Arial" w:eastAsia="Arial" w:hAnsi="Arial"/>
          <w:sz w:val="22"/>
          <w:szCs w:val="22"/>
          <w:color w:val="auto"/>
        </w:rPr>
        <w:t>(Date of Event which Requires Filing of this Statement)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580" w:right="9260" w:hanging="1"/>
        <w:spacing w:after="0" w:line="504" w:lineRule="auto"/>
        <w:tabs>
          <w:tab w:leader="none" w:pos="934"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[_] Rule 13d-1(c)</w:t>
      </w:r>
    </w:p>
    <w:p>
      <w:pPr>
        <w:ind w:left="580"/>
        <w:spacing w:after="0"/>
        <w:rPr>
          <w:rFonts w:ascii="Arial" w:cs="Arial" w:eastAsia="Arial" w:hAnsi="Arial"/>
          <w:sz w:val="19"/>
          <w:szCs w:val="19"/>
          <w:color w:val="auto"/>
        </w:rPr>
      </w:pPr>
      <w:r>
        <w:rPr>
          <w:rFonts w:ascii="Arial" w:cs="Arial" w:eastAsia="Arial" w:hAnsi="Arial"/>
          <w:sz w:val="22"/>
          <w:szCs w:val="22"/>
          <w:color w:val="auto"/>
        </w:rPr>
        <w:t>[_] Rule 13d-1(d)</w:t>
      </w:r>
    </w:p>
    <w:p>
      <w:pPr>
        <w:spacing w:after="0" w:line="20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13G</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14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CUSIP No.</w:t>
            </w:r>
          </w:p>
        </w:tc>
        <w:tc>
          <w:tcPr>
            <w:tcW w:w="172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68401U105</w:t>
            </w:r>
          </w:p>
        </w:tc>
      </w:tr>
    </w:tbl>
    <w:p>
      <w:pPr>
        <w:spacing w:after="0" w:line="238" w:lineRule="exact"/>
        <w:rPr>
          <w:sz w:val="20"/>
          <w:szCs w:val="20"/>
          <w:color w:val="auto"/>
        </w:rPr>
      </w:pPr>
    </w:p>
    <w:p>
      <w:pPr>
        <w:ind w:left="500" w:hanging="478"/>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4913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913630"/>
                    </a:xfrm>
                    <a:prstGeom prst="rect">
                      <a:avLst/>
                    </a:prstGeom>
                    <a:noFill/>
                  </pic:spPr>
                </pic:pic>
              </a:graphicData>
            </a:graphic>
          </wp:anchor>
        </w:drawing>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Harvey L. Poppel</w:t>
      </w:r>
    </w:p>
    <w:p>
      <w:pPr>
        <w:spacing w:after="0" w:line="23" w:lineRule="exact"/>
        <w:rPr>
          <w:sz w:val="20"/>
          <w:szCs w:val="20"/>
          <w:color w:val="auto"/>
        </w:rPr>
      </w:pPr>
    </w:p>
    <w:p>
      <w:pPr>
        <w:ind w:left="500" w:hanging="478"/>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24" w:lineRule="exact"/>
        <w:rPr>
          <w:rFonts w:ascii="Arial" w:cs="Arial" w:eastAsia="Arial" w:hAnsi="Arial"/>
          <w:sz w:val="18"/>
          <w:szCs w:val="18"/>
          <w:b w:val="1"/>
          <w:bCs w:val="1"/>
          <w:color w:val="auto"/>
        </w:rPr>
      </w:pPr>
    </w:p>
    <w:p>
      <w:pPr>
        <w:ind w:left="980" w:hanging="247"/>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[X] (1)</w:t>
      </w:r>
    </w:p>
    <w:p>
      <w:pPr>
        <w:spacing w:after="0" w:line="23" w:lineRule="exact"/>
        <w:rPr>
          <w:rFonts w:ascii="Arial" w:cs="Arial" w:eastAsia="Arial" w:hAnsi="Arial"/>
          <w:sz w:val="18"/>
          <w:szCs w:val="18"/>
          <w:color w:val="auto"/>
        </w:rPr>
      </w:pPr>
    </w:p>
    <w:p>
      <w:pPr>
        <w:ind w:left="980" w:hanging="247"/>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sz w:val="20"/>
          <w:szCs w:val="20"/>
          <w:color w:val="auto"/>
        </w:rPr>
      </w:pPr>
    </w:p>
    <w:p>
      <w:pPr>
        <w:ind w:left="500" w:hanging="478"/>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34" w:lineRule="exact"/>
        <w:rPr>
          <w:sz w:val="20"/>
          <w:szCs w:val="20"/>
          <w:color w:val="auto"/>
        </w:rPr>
      </w:pPr>
    </w:p>
    <w:p>
      <w:pPr>
        <w:ind w:left="500" w:hanging="478"/>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Florida, U.S.</w:t>
      </w:r>
    </w:p>
    <w:p>
      <w:pPr>
        <w:spacing w:after="0" w:line="23"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Number of</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5</w:t>
            </w:r>
          </w:p>
        </w:tc>
        <w:tc>
          <w:tcPr>
            <w:tcW w:w="9920" w:type="dxa"/>
            <w:vAlign w:val="bottom"/>
          </w:tcPr>
          <w:p>
            <w:pPr>
              <w:ind w:left="2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Shares</w:t>
            </w:r>
          </w:p>
        </w:tc>
        <w:tc>
          <w:tcPr>
            <w:tcW w:w="34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Beneficially</w:t>
            </w:r>
          </w:p>
        </w:tc>
        <w:tc>
          <w:tcPr>
            <w:tcW w:w="340" w:type="dxa"/>
            <w:vAlign w:val="bottom"/>
            <w:tcBorders>
              <w:bottom w:val="single" w:sz="8" w:color="auto"/>
            </w:tcBorders>
          </w:tcPr>
          <w:p>
            <w:pPr>
              <w:spacing w:after="0"/>
              <w:rPr>
                <w:sz w:val="20"/>
                <w:szCs w:val="20"/>
                <w:color w:val="auto"/>
              </w:rPr>
            </w:pPr>
          </w:p>
        </w:tc>
        <w:tc>
          <w:tcPr>
            <w:tcW w:w="9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1,060,693</w:t>
            </w:r>
          </w:p>
        </w:tc>
        <w:tc>
          <w:tcPr>
            <w:tcW w:w="0" w:type="dxa"/>
            <w:vAlign w:val="bottom"/>
          </w:tcPr>
          <w:p>
            <w:pPr>
              <w:spacing w:after="0"/>
              <w:rPr>
                <w:sz w:val="1"/>
                <w:szCs w:val="1"/>
                <w:color w:val="auto"/>
              </w:rPr>
            </w:pPr>
          </w:p>
        </w:tc>
      </w:tr>
      <w:tr>
        <w:trPr>
          <w:trHeight w:val="178"/>
        </w:trPr>
        <w:tc>
          <w:tcPr>
            <w:tcW w:w="1040" w:type="dxa"/>
            <w:vAlign w:val="bottom"/>
          </w:tcPr>
          <w:p>
            <w:pPr>
              <w:jc w:val="center"/>
              <w:ind w:right="10"/>
              <w:spacing w:after="0" w:line="178" w:lineRule="exact"/>
              <w:rPr>
                <w:sz w:val="20"/>
                <w:szCs w:val="20"/>
                <w:color w:val="auto"/>
              </w:rPr>
            </w:pPr>
            <w:r>
              <w:rPr>
                <w:rFonts w:ascii="Arial" w:cs="Arial" w:eastAsia="Arial" w:hAnsi="Arial"/>
                <w:sz w:val="18"/>
                <w:szCs w:val="18"/>
                <w:b w:val="1"/>
                <w:bCs w:val="1"/>
                <w:color w:val="auto"/>
                <w:w w:val="90"/>
              </w:rPr>
              <w:t>Owned by</w:t>
            </w:r>
          </w:p>
        </w:tc>
        <w:tc>
          <w:tcPr>
            <w:tcW w:w="340" w:type="dxa"/>
            <w:vAlign w:val="bottom"/>
          </w:tcPr>
          <w:p>
            <w:pPr>
              <w:jc w:val="right"/>
              <w:ind w:right="150"/>
              <w:spacing w:after="0" w:line="178" w:lineRule="exact"/>
              <w:rPr>
                <w:sz w:val="20"/>
                <w:szCs w:val="20"/>
                <w:color w:val="auto"/>
              </w:rPr>
            </w:pPr>
            <w:r>
              <w:rPr>
                <w:rFonts w:ascii="Arial" w:cs="Arial" w:eastAsia="Arial" w:hAnsi="Arial"/>
                <w:sz w:val="18"/>
                <w:szCs w:val="18"/>
                <w:b w:val="1"/>
                <w:bCs w:val="1"/>
                <w:color w:val="auto"/>
                <w:w w:val="79"/>
              </w:rPr>
              <w:t>6</w:t>
            </w:r>
          </w:p>
        </w:tc>
        <w:tc>
          <w:tcPr>
            <w:tcW w:w="9920" w:type="dxa"/>
            <w:vAlign w:val="bottom"/>
          </w:tcPr>
          <w:p>
            <w:pPr>
              <w:ind w:left="240"/>
              <w:spacing w:after="0" w:line="17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Each</w:t>
            </w:r>
          </w:p>
        </w:tc>
        <w:tc>
          <w:tcPr>
            <w:tcW w:w="34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Reporting</w:t>
            </w:r>
          </w:p>
        </w:tc>
        <w:tc>
          <w:tcPr>
            <w:tcW w:w="340" w:type="dxa"/>
            <w:vAlign w:val="bottom"/>
          </w:tcPr>
          <w:p>
            <w:pPr>
              <w:spacing w:after="0"/>
              <w:rPr>
                <w:sz w:val="18"/>
                <w:szCs w:val="18"/>
                <w:color w:val="auto"/>
              </w:rPr>
            </w:pPr>
          </w:p>
        </w:tc>
        <w:tc>
          <w:tcPr>
            <w:tcW w:w="9920" w:type="dxa"/>
            <w:vAlign w:val="bottom"/>
          </w:tcPr>
          <w:p>
            <w:pPr>
              <w:ind w:left="240"/>
              <w:spacing w:after="0"/>
              <w:rPr>
                <w:sz w:val="20"/>
                <w:szCs w:val="20"/>
                <w:color w:val="auto"/>
              </w:rPr>
            </w:pPr>
            <w:r>
              <w:rPr>
                <w:rFonts w:ascii="Arial" w:cs="Arial" w:eastAsia="Arial" w:hAnsi="Arial"/>
                <w:sz w:val="18"/>
                <w:szCs w:val="18"/>
                <w:color w:val="auto"/>
              </w:rPr>
              <w:t>1,060,693</w:t>
            </w:r>
          </w:p>
        </w:tc>
        <w:tc>
          <w:tcPr>
            <w:tcW w:w="0" w:type="dxa"/>
            <w:vAlign w:val="bottom"/>
          </w:tcPr>
          <w:p>
            <w:pPr>
              <w:spacing w:after="0"/>
              <w:rPr>
                <w:sz w:val="1"/>
                <w:szCs w:val="1"/>
                <w:color w:val="auto"/>
              </w:rPr>
            </w:pPr>
          </w:p>
        </w:tc>
      </w:tr>
      <w:tr>
        <w:trPr>
          <w:trHeight w:val="32"/>
        </w:trPr>
        <w:tc>
          <w:tcPr>
            <w:tcW w:w="10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8"/>
              </w:rPr>
              <w:t>Person</w:t>
            </w:r>
          </w:p>
        </w:tc>
        <w:tc>
          <w:tcPr>
            <w:tcW w:w="340" w:type="dxa"/>
            <w:vAlign w:val="bottom"/>
            <w:tcBorders>
              <w:bottom w:val="single" w:sz="8" w:color="auto"/>
            </w:tcBorders>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040" w:type="dxa"/>
            <w:vAlign w:val="bottom"/>
            <w:vMerge w:val="continue"/>
          </w:tcPr>
          <w:p>
            <w:pPr>
              <w:spacing w:after="0"/>
              <w:rPr>
                <w:sz w:val="14"/>
                <w:szCs w:val="14"/>
                <w:color w:val="auto"/>
              </w:rPr>
            </w:pPr>
          </w:p>
        </w:tc>
        <w:tc>
          <w:tcPr>
            <w:tcW w:w="340" w:type="dxa"/>
            <w:vAlign w:val="bottom"/>
          </w:tcPr>
          <w:p>
            <w:pPr>
              <w:jc w:val="right"/>
              <w:ind w:right="150"/>
              <w:spacing w:after="0" w:line="164" w:lineRule="exact"/>
              <w:rPr>
                <w:sz w:val="20"/>
                <w:szCs w:val="20"/>
                <w:color w:val="auto"/>
              </w:rPr>
            </w:pPr>
            <w:r>
              <w:rPr>
                <w:rFonts w:ascii="Arial" w:cs="Arial" w:eastAsia="Arial" w:hAnsi="Arial"/>
                <w:sz w:val="18"/>
                <w:szCs w:val="18"/>
                <w:b w:val="1"/>
                <w:bCs w:val="1"/>
                <w:color w:val="auto"/>
                <w:w w:val="79"/>
              </w:rPr>
              <w:t>7</w:t>
            </w:r>
          </w:p>
        </w:tc>
        <w:tc>
          <w:tcPr>
            <w:tcW w:w="9920" w:type="dxa"/>
            <w:vAlign w:val="bottom"/>
          </w:tcPr>
          <w:p>
            <w:pPr>
              <w:ind w:left="240"/>
              <w:spacing w:after="0" w:line="164"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34"/>
        </w:trPr>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rPr>
              <w:t>With:</w:t>
            </w:r>
          </w:p>
        </w:tc>
        <w:tc>
          <w:tcPr>
            <w:tcW w:w="340" w:type="dxa"/>
            <w:vAlign w:val="bottom"/>
          </w:tcPr>
          <w:p>
            <w:pPr>
              <w:spacing w:after="0"/>
              <w:rPr>
                <w:sz w:val="20"/>
                <w:szCs w:val="20"/>
                <w:color w:val="auto"/>
              </w:rPr>
            </w:pPr>
          </w:p>
        </w:tc>
        <w:tc>
          <w:tcPr>
            <w:tcW w:w="9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0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8</w:t>
            </w:r>
          </w:p>
        </w:tc>
        <w:tc>
          <w:tcPr>
            <w:tcW w:w="9920" w:type="dxa"/>
            <w:vAlign w:val="bottom"/>
          </w:tcPr>
          <w:p>
            <w:pPr>
              <w:ind w:left="24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1,060,693</w:t>
      </w:r>
    </w:p>
    <w:p>
      <w:pPr>
        <w:spacing w:after="0" w:line="23" w:lineRule="exact"/>
        <w:rPr>
          <w:sz w:val="20"/>
          <w:szCs w:val="20"/>
          <w:color w:val="auto"/>
        </w:rPr>
      </w:pPr>
    </w:p>
    <w:p>
      <w:pPr>
        <w:ind w:left="500" w:hanging="478"/>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1,060,693</w:t>
      </w:r>
    </w:p>
    <w:p>
      <w:pPr>
        <w:spacing w:after="0" w:line="23" w:lineRule="exact"/>
        <w:rPr>
          <w:sz w:val="20"/>
          <w:szCs w:val="20"/>
          <w:color w:val="auto"/>
        </w:rPr>
      </w:pPr>
    </w:p>
    <w:p>
      <w:pPr>
        <w:ind w:left="500" w:right="4220" w:hanging="478"/>
        <w:spacing w:after="0" w:line="383" w:lineRule="auto"/>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Arial" w:cs="Arial" w:eastAsia="Arial" w:hAnsi="Arial"/>
          <w:sz w:val="18"/>
          <w:szCs w:val="18"/>
          <w:color w:val="auto"/>
        </w:rPr>
        <w:t>[ ]</w:t>
      </w:r>
    </w:p>
    <w:p>
      <w:pPr>
        <w:spacing w:after="0" w:line="1" w:lineRule="exact"/>
        <w:rPr>
          <w:rFonts w:ascii="Arial" w:cs="Arial" w:eastAsia="Arial" w:hAnsi="Arial"/>
          <w:sz w:val="18"/>
          <w:szCs w:val="18"/>
          <w:b w:val="1"/>
          <w:bCs w:val="1"/>
          <w:color w:val="auto"/>
        </w:rPr>
      </w:pPr>
    </w:p>
    <w:p>
      <w:pPr>
        <w:ind w:left="500" w:right="7120" w:hanging="478"/>
        <w:spacing w:after="0" w:line="383" w:lineRule="auto"/>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7.30% (2)</w:t>
      </w:r>
    </w:p>
    <w:p>
      <w:pPr>
        <w:spacing w:after="0" w:line="1" w:lineRule="exact"/>
        <w:rPr>
          <w:rFonts w:ascii="Arial" w:cs="Arial" w:eastAsia="Arial" w:hAnsi="Arial"/>
          <w:sz w:val="18"/>
          <w:szCs w:val="18"/>
          <w:b w:val="1"/>
          <w:bCs w:val="1"/>
          <w:color w:val="auto"/>
        </w:rPr>
      </w:pPr>
    </w:p>
    <w:p>
      <w:pPr>
        <w:ind w:left="500" w:hanging="478"/>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2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both"/>
        <w:ind w:firstLine="8"/>
        <w:spacing w:after="0" w:line="274" w:lineRule="auto"/>
        <w:tabs>
          <w:tab w:leader="none" w:pos="31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This total which includes 1,060,693 common shares held directly by Harvey L. Poppel on behalf of Harvey L. Poppel, Lee, A. Poppel, Harvey L. Poppel IRA, Lee Poppel IRA, Dr. Clinton S. Poppel, Dr. Clinton S. Poppel 401K, Helen M Poppel IRA, Zhavier Fox IRA, Lucas F. Poppel, Alexander J. Poppel, Winston O. Poppel, Lucas F. Poppel IRA &amp; EDU, Alexander J. Poppel IRA &amp; EDU, Winston O. Poppel IRA &amp; EDU, Poptech, GC a trust owned by Lucas F. Poppel, Alexander J. Poppel and Winston O. Poppel; and Poptech, LP, a Family Limited Partnership controlled by Harvey L. &amp; Emily A. Poppel who are the sole members of Poptech, LLC, (Poptech, LLC is the sole General Partner of Poptech, LP.) Poptech, LLC does not directly own any securities of the Issuer. Poptech, LLC may be deemed to have shared power to vote or direct the vote of, and to dispose or direct the disposition of, the securities of the Issuer held by Poptech, LP but disclaims beneficial ownership except to their pecuniary interest therein. Harvey L. Poppel expressly disclaims status as a group for purposes of this Schedule 13G.</w:t>
      </w:r>
    </w:p>
    <w:p>
      <w:pPr>
        <w:spacing w:after="0" w:line="159" w:lineRule="exact"/>
        <w:rPr>
          <w:rFonts w:ascii="Arial" w:cs="Arial" w:eastAsia="Arial" w:hAnsi="Arial"/>
          <w:sz w:val="19"/>
          <w:szCs w:val="19"/>
          <w:color w:val="auto"/>
        </w:rPr>
      </w:pPr>
    </w:p>
    <w:p>
      <w:pPr>
        <w:ind w:firstLine="8"/>
        <w:spacing w:after="0" w:line="239" w:lineRule="auto"/>
        <w:tabs>
          <w:tab w:leader="none" w:pos="307" w:val="left"/>
        </w:tabs>
        <w:numPr>
          <w:ilvl w:val="0"/>
          <w:numId w:val="8"/>
        </w:numPr>
        <w:rPr>
          <w:rFonts w:ascii="Arial" w:cs="Arial" w:eastAsia="Arial" w:hAnsi="Arial"/>
          <w:sz w:val="22"/>
          <w:szCs w:val="22"/>
          <w:color w:val="auto"/>
        </w:rPr>
      </w:pPr>
      <w:r>
        <w:rPr>
          <w:rFonts w:ascii="Arial" w:cs="Arial" w:eastAsia="Arial" w:hAnsi="Arial"/>
          <w:sz w:val="22"/>
          <w:szCs w:val="22"/>
          <w:color w:val="auto"/>
        </w:rPr>
        <w:t>This percentage is calculated based upon 14,527,651 voting shares of the Issuers common stock outstanding as of December 31, 2019.</w:t>
      </w:r>
    </w:p>
    <w:p>
      <w:pPr>
        <w:spacing w:after="0"/>
        <w:rPr>
          <w:rFonts w:ascii="Arial" w:cs="Arial" w:eastAsia="Arial" w:hAnsi="Arial"/>
          <w:sz w:val="22"/>
          <w:szCs w:val="22"/>
          <w:color w:val="auto"/>
        </w:rPr>
      </w:pPr>
      <w:r>
        <w:rPr>
          <w:rFonts w:ascii="Arial" w:cs="Arial" w:eastAsia="Arial" w:hAnsi="Arial"/>
          <w:sz w:val="22"/>
          <w:szCs w:val="22"/>
          <w:color w:val="auto"/>
        </w:rPr>
        <w:t>Item 1.</w:t>
      </w:r>
    </w:p>
    <w:p>
      <w:pPr>
        <w:spacing w:after="0" w:line="182"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Issuer: </w:t>
      </w:r>
      <w:r>
        <w:rPr>
          <w:rFonts w:ascii="Arial" w:cs="Arial" w:eastAsia="Arial" w:hAnsi="Arial"/>
          <w:sz w:val="22"/>
          <w:szCs w:val="22"/>
          <w:color w:val="auto"/>
        </w:rPr>
        <w:t>OptimizeRx Corporation</w:t>
      </w:r>
    </w:p>
    <w:p>
      <w:pPr>
        <w:spacing w:after="0" w:line="206" w:lineRule="exact"/>
        <w:rPr>
          <w:rFonts w:ascii="Arial" w:cs="Arial" w:eastAsia="Arial" w:hAnsi="Arial"/>
          <w:sz w:val="22"/>
          <w:szCs w:val="22"/>
          <w:b w:val="1"/>
          <w:bCs w:val="1"/>
          <w:color w:val="auto"/>
        </w:rPr>
      </w:pPr>
    </w:p>
    <w:p>
      <w:pPr>
        <w:ind w:left="320" w:hanging="312"/>
        <w:spacing w:after="0"/>
        <w:tabs>
          <w:tab w:leader="none" w:pos="32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400 Water St. Ste. 200, Rochester, Michigan 48307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15"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 Harvey L. Poppel</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 110 El Mirasol, Palm Beach FL 33480</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U.S.</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and Class of Securities: </w:t>
      </w:r>
      <w:r>
        <w:rPr>
          <w:rFonts w:ascii="Arial" w:cs="Arial" w:eastAsia="Arial" w:hAnsi="Arial"/>
          <w:sz w:val="18"/>
          <w:szCs w:val="18"/>
          <w:color w:val="auto"/>
        </w:rPr>
        <w:t>Common stock, par value $0.001 per share</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68401U105</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 Not applicable</w:t>
      </w:r>
    </w:p>
    <w:p>
      <w:pPr>
        <w:spacing w:after="0" w:line="256" w:lineRule="exact"/>
        <w:rPr>
          <w:sz w:val="20"/>
          <w:szCs w:val="20"/>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Rule 13d-1(b)(1)(ii)(E);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720" w:hanging="1131"/>
        <w:spacing w:after="0" w:line="277"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non-U.S. institution in accordance with Rule 240.13d-1(b)(1)(ii)(J);</w:t>
      </w:r>
    </w:p>
    <w:p>
      <w:pPr>
        <w:spacing w:after="0" w:line="225" w:lineRule="exact"/>
        <w:rPr>
          <w:rFonts w:ascii="Arial" w:cs="Arial" w:eastAsia="Arial" w:hAnsi="Arial"/>
          <w:sz w:val="18"/>
          <w:szCs w:val="18"/>
          <w:color w:val="auto"/>
        </w:rPr>
      </w:pPr>
    </w:p>
    <w:p>
      <w:pPr>
        <w:ind w:left="1720" w:hanging="1131"/>
        <w:spacing w:after="0" w:line="277"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[_]Group, in accordance with Rule 240.13d-1(b)(1)(ii)(K). If filing as a non-U.S. institution in accordance with Rule 240.13d-1(b)(1)(ii) (J), please specify the type of institution: _____</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15"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 1,060,693 (1)</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7.30% (2)</w:t>
      </w:r>
    </w:p>
    <w:p>
      <w:pPr>
        <w:spacing w:after="0" w:line="2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252"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vote or to direct the vote: 1,060,693 (1)</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vote or to direct the vote: 1,060,693 (1)</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dispose or to direct the disposition of:</w:t>
      </w:r>
    </w:p>
    <w:p>
      <w:pPr>
        <w:spacing w:after="0" w:line="2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Shared power to dispose or to direct the disposition of: 1,060,693 (1)</w:t>
      </w:r>
    </w:p>
    <w:p>
      <w:pPr>
        <w:spacing w:after="0" w:line="222" w:lineRule="exact"/>
        <w:rPr>
          <w:sz w:val="20"/>
          <w:szCs w:val="20"/>
          <w:color w:val="auto"/>
        </w:rPr>
      </w:pPr>
    </w:p>
    <w:p>
      <w:pPr>
        <w:jc w:val="both"/>
        <w:ind w:firstLine="8"/>
        <w:spacing w:after="0" w:line="274" w:lineRule="auto"/>
        <w:tabs>
          <w:tab w:leader="none" w:pos="317"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This total which includes 1,060,693 common shares held directly by Harvey L. Poppel on behalf of Harvey L. Poppel, Lee A. Poppel, Harvey L. Poppel IRA, Lee Poppel IRA, Dr. Clinton S. Poppel, Dr. Clinton S. Poppel 401K, Helen M Poppel IRA, Zhavier Fox IRA, Lucas F. Poppel, Alexander J. Poppel, Winston O. Poppel, Lucas F. Poppel IRA &amp; EDU, Alexander J. Poppel IRA &amp; EDU, Winston O. Poppel IRA &amp; EDU, Poptech, GC a trust owned by Lucas F. Poppel, Alexander J. Poppel and Winston O. Poppel; and Poptech, LP, a Family Limited Partnership controlled by Harvey L. &amp; Emily A. Poppel who are the sole members of Poptech, LLC, (Poptech, LLC is the sole General Partner of Poptech, LP.) Poptech, LLC does not directly own any securities of the Issuer. Poptech, LLC may be deemed to have shared power to vote or direct the vote of, and to dispose or direct the disposition of, the securities of the Issuer held by Poptech, LP but disclaims beneficial ownership except to their pecuniary interest therein. Harvey L. Poppel expressly disclaims status as a group for purposes of this Schedule 13G.</w:t>
      </w:r>
    </w:p>
    <w:p>
      <w:pPr>
        <w:spacing w:after="0" w:line="158" w:lineRule="exact"/>
        <w:rPr>
          <w:rFonts w:ascii="Arial" w:cs="Arial" w:eastAsia="Arial" w:hAnsi="Arial"/>
          <w:sz w:val="19"/>
          <w:szCs w:val="19"/>
          <w:color w:val="auto"/>
        </w:rPr>
      </w:pPr>
    </w:p>
    <w:p>
      <w:pPr>
        <w:ind w:firstLine="8"/>
        <w:spacing w:after="0" w:line="251" w:lineRule="auto"/>
        <w:tabs>
          <w:tab w:leader="none" w:pos="307"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This percentage is calculated based upon 14,527,651 voting shares of the Issuers common stock outstanding as of December 31, 2019.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Ownership of Five Percent or Less of a Class. Not Applicable</w:t>
            </w:r>
          </w:p>
        </w:tc>
      </w:tr>
      <w:tr>
        <w:trPr>
          <w:trHeight w:val="418"/>
        </w:trPr>
        <w:tc>
          <w:tcPr>
            <w:tcW w:w="900" w:type="dxa"/>
            <w:vAlign w:val="bottom"/>
          </w:tcPr>
          <w:p>
            <w:pPr>
              <w:spacing w:after="0"/>
              <w:rPr>
                <w:sz w:val="24"/>
                <w:szCs w:val="24"/>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2"/>
              </w:rPr>
              <w:t>If this statement is being filed to report the fact that as of the date hereof the reporting person has ceased to be the beneficial owner of more</w:t>
            </w:r>
          </w:p>
        </w:tc>
      </w:tr>
      <w:tr>
        <w:trPr>
          <w:trHeight w:val="230"/>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than five percent of the class of securities, check the following [ ].</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Ownership of more than Five Percent on Behalf of Another Person. Not Applicable</w:t>
            </w:r>
          </w:p>
        </w:tc>
      </w:tr>
      <w:tr>
        <w:trPr>
          <w:trHeight w:val="414"/>
        </w:trPr>
        <w:tc>
          <w:tcPr>
            <w:tcW w:w="9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w w:val="92"/>
              </w:rPr>
              <w:t>Identification and classification of the subsidiary which acquired the security being reported on by the parent holding company or</w:t>
            </w:r>
          </w:p>
        </w:tc>
      </w:tr>
      <w:tr>
        <w:trPr>
          <w:trHeight w:val="234"/>
        </w:trPr>
        <w:tc>
          <w:tcPr>
            <w:tcW w:w="90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control person. Not Applicable</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Identification and classification of members of the group. Not Applicable</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Notice of Dissolution of Group. Not Applicable</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r>
      <w:tr>
        <w:trPr>
          <w:trHeight w:val="469"/>
        </w:trPr>
        <w:tc>
          <w:tcPr>
            <w:tcW w:w="900" w:type="dxa"/>
            <w:vAlign w:val="bottom"/>
          </w:tcPr>
          <w:p>
            <w:pPr>
              <w:spacing w:after="0"/>
              <w:rPr>
                <w:sz w:val="24"/>
                <w:szCs w:val="24"/>
                <w:color w:val="auto"/>
              </w:rPr>
            </w:pPr>
          </w:p>
        </w:tc>
        <w:tc>
          <w:tcPr>
            <w:tcW w:w="10560" w:type="dxa"/>
            <w:vAlign w:val="bottom"/>
          </w:tcPr>
          <w:p>
            <w:pPr>
              <w:ind w:left="4320"/>
              <w:spacing w:after="0"/>
              <w:rPr>
                <w:sz w:val="20"/>
                <w:szCs w:val="20"/>
                <w:color w:val="auto"/>
              </w:rPr>
            </w:pPr>
            <w:r>
              <w:rPr>
                <w:rFonts w:ascii="Arial" w:cs="Arial" w:eastAsia="Arial" w:hAnsi="Arial"/>
                <w:sz w:val="22"/>
                <w:szCs w:val="22"/>
                <w:color w:val="auto"/>
              </w:rPr>
              <w:t>Page 5 of 6</w:t>
            </w:r>
          </w:p>
        </w:tc>
      </w:tr>
      <w:tr>
        <w:trPr>
          <w:trHeight w:val="203"/>
        </w:trPr>
        <w:tc>
          <w:tcPr>
            <w:tcW w:w="900" w:type="dxa"/>
            <w:vAlign w:val="bottom"/>
          </w:tcPr>
          <w:p>
            <w:pPr>
              <w:spacing w:after="0"/>
              <w:rPr>
                <w:sz w:val="17"/>
                <w:szCs w:val="17"/>
                <w:color w:val="auto"/>
              </w:rPr>
            </w:pPr>
          </w:p>
        </w:tc>
        <w:tc>
          <w:tcPr>
            <w:tcW w:w="10560" w:type="dxa"/>
            <w:vAlign w:val="bottom"/>
          </w:tcPr>
          <w:p>
            <w:pPr>
              <w:spacing w:after="0"/>
              <w:rPr>
                <w:sz w:val="17"/>
                <w:szCs w:val="17"/>
                <w:color w:val="auto"/>
              </w:rPr>
            </w:pPr>
          </w:p>
        </w:tc>
      </w:tr>
      <w:tr>
        <w:trPr>
          <w:trHeight w:val="74"/>
        </w:trPr>
        <w:tc>
          <w:tcPr>
            <w:tcW w:w="900" w:type="dxa"/>
            <w:vAlign w:val="bottom"/>
            <w:shd w:val="clear" w:color="auto" w:fill="000000"/>
          </w:tcPr>
          <w:p>
            <w:pPr>
              <w:spacing w:after="0"/>
              <w:rPr>
                <w:sz w:val="6"/>
                <w:szCs w:val="6"/>
                <w:color w:val="auto"/>
              </w:rPr>
            </w:pPr>
          </w:p>
        </w:tc>
        <w:tc>
          <w:tcPr>
            <w:tcW w:w="10560" w:type="dxa"/>
            <w:vAlign w:val="bottom"/>
            <w:shd w:val="clear" w:color="auto" w:fill="000000"/>
          </w:tcPr>
          <w:p>
            <w:pPr>
              <w:spacing w:after="0"/>
              <w:rPr>
                <w:sz w:val="6"/>
                <w:szCs w:val="6"/>
                <w:color w:val="auto"/>
              </w:rPr>
            </w:pPr>
          </w:p>
        </w:tc>
      </w:tr>
    </w:tbl>
    <w:p>
      <w:pPr>
        <w:sectPr>
          <w:pgSz w:w="11900" w:h="16838" w:orient="portrait"/>
          <w:cols w:equalWidth="0" w:num="1">
            <w:col w:w="11460"/>
          </w:cols>
          <w:pgMar w:left="240" w:top="364" w:right="19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January 13,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Harvey L. Poppel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Harvey L. Poppel</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247"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lvl w:ilvl="1">
      <w:lvlJc w:val="left"/>
      <w:lvlText w:val="(%2)"/>
      <w:numFmt w:val="lowerLetter"/>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4"/>
      <w:numFmt w:val="bullet"/>
      <w:start w:val="1"/>
    </w:lvl>
  </w:abstractNum>
  <w:abstractNum w:abstractNumId="5">
    <w:nsid w:val="4DB127F8"/>
    <w:multiLevelType w:val="hybridMultilevel"/>
    <w:lvl w:ilvl="0">
      <w:lvlJc w:val="left"/>
      <w:lvlText w:val="9"/>
      <w:numFmt w:val="bullet"/>
      <w:start w:val="1"/>
    </w:lvl>
  </w:abstractNum>
  <w:abstractNum w:abstractNumId="6">
    <w:nsid w:val="216231B"/>
    <w:multiLevelType w:val="hybridMultilevel"/>
    <w:lvl w:ilvl="0">
      <w:lvlJc w:val="left"/>
      <w:lvlText w:val="%1"/>
      <w:numFmt w:val="decimal"/>
      <w:start w:val="10"/>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6"/>
    </w:lvl>
  </w:abstractNum>
  <w:abstractNum w:abstractNumId="12">
    <w:nsid w:val="109CF92E"/>
    <w:multiLevelType w:val="hybridMultilevel"/>
    <w:lvl w:ilvl="0">
      <w:lvlJc w:val="left"/>
      <w:lvlText w:val="(%1)"/>
      <w:numFmt w:val="lowerLetter"/>
      <w:start w:val="1"/>
    </w:lvl>
    <w:lvl w:ilvl="1">
      <w:lvlJc w:val="left"/>
      <w:lvlText w:val="(%2)"/>
      <w:numFmt w:val="lowerRoman"/>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2020-01-13T08:27:49Z</dcterms:created>
  <dcterms:modified xsi:type="dcterms:W3CDTF">2020-01-13T08:27:49Z</dcterms:modified>
</cp:coreProperties>
</file>