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0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30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20" w:type="dxa"/>
            <w:vAlign w:val="bottom"/>
            <w:gridSpan w:val="9"/>
          </w:tcPr>
          <w:p>
            <w:pPr>
              <w:jc w:val="center"/>
              <w:ind w:left="13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22, 2019</w:t>
            </w:r>
          </w:p>
        </w:tc>
        <w:tc>
          <w:tcPr>
            <w:tcW w:w="330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0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Nevada</w:t>
            </w:r>
          </w:p>
        </w:tc>
        <w:tc>
          <w:tcPr>
            <w:tcW w:w="352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100" w:type="dxa"/>
            <w:vAlign w:val="bottom"/>
            <w:tcBorders>
              <w:top w:val="single" w:sz="8" w:color="auto"/>
            </w:tcBorders>
          </w:tcPr>
          <w:p>
            <w:pPr>
              <w:jc w:val="center"/>
              <w:ind w:left="4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20" w:type="dxa"/>
            <w:vAlign w:val="bottom"/>
            <w:gridSpan w:val="10"/>
          </w:tcPr>
          <w:p>
            <w:pPr>
              <w:jc w:val="center"/>
              <w:ind w:right="250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3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4 – MATTERS RELATED TO ACCOUNTANTS AND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April 22, 2019, the Audit Committee of the Board of Directors of OptimizeRx Corp. (the “Company”) approved the engagement of Marcum LLP (the “New Accountant”) as the Company’s new independent registered public accounting firm to audit the Company’s financial statements for the fiscal year ending December 31, 2019 and simultaneously informed Sadler, Gibb &amp; Associates, LLC (the “Former Accountant”) of its dismissal and that the New Accountant would be auditing the firm’s financial statements from this point forward.</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Former Accountant’s audit report on the financial statements of the Company for the years ended December 31, 2018 and 2017 contained no adverse opinion or disclaimer of opinion, nor was it qualified or modified as to uncertainty, audit scope or accounting principles. The Former Accountant’s report on the Company’s internal control over financial reporting as of December 31, 2018 expressed an adverse opinion because of material weaknesses related to (i) ineffective segregation of duties assignments, and ineffective information technology general controls (ITGCs) in the areas of user access and change-management over a certain information technology (IT) system, used in the Company’s financial reporting processes. As a result, business process automated and manual controls that are dependent on appropriate segregation of duties and are dependent on the affected ITGCs were ineffective because they could have been adversely impacted and (ii) there were ineffective controls related to revenue including ineffective controls over the review and approval of a key revenue calculation spreadsheet and ineffective controls over the accuracy and completeness of activity data produced by the Issuer’s proprietary IT system related to user actions in an electronic environment. These deficiencies were a result of a design deficiency in the review and approval process and IT control processes lacking sufficient documentation.</w:t>
      </w:r>
    </w:p>
    <w:p>
      <w:pPr>
        <w:spacing w:after="0" w:line="18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2017, and through the interim period ended April 22, 2019, there were no “disagreements” (as such term is defined in Item 304 of Regulation S-K) with the Former Accountant on any matter of accounting principles or practices, financial statement disclosure, or auditing scope or procedures, which disagreements if not resolved to the satisfaction of the Former Accountant would have caused them to make reference thereto in their reports on the financial statements for such periods.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and through the interim period ended April 22, 2019, there were no “reportable events” (as such term is defined in Item 304 of Regulation S-K) other than the Former Accountant having advised the Company that the internal controls necessary for the Company to develop reliable financial statements do not exist for the reasons stated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retaining the New Accountant, the Company did not consult with the New Accountant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22, 2019, the Company provided the Former Accountant with its disclosures in the Current Report on Form 8-K disclosing the dismissal of the Former Accountant and requested in writing that the Former Accountant furnish the Company with a letter addressed to the Securities and Exchange Commission stating whether or not they agree with such disclosures. The Former Accountant’s response is filed as an exhibit to this Current Report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16.1</w:t>
      </w:r>
      <w:r>
        <w:rPr>
          <w:sz w:val="20"/>
          <w:szCs w:val="20"/>
          <w:color w:val="auto"/>
        </w:rPr>
        <w:tab/>
      </w:r>
      <w:hyperlink w:anchor="page4">
        <w:r>
          <w:rPr>
            <w:rFonts w:ascii="Times New Roman" w:cs="Times New Roman" w:eastAsia="Times New Roman" w:hAnsi="Times New Roman"/>
            <w:sz w:val="17"/>
            <w:szCs w:val="17"/>
            <w:u w:val="single" w:color="auto"/>
            <w:color w:val="0000EE"/>
          </w:rPr>
          <w:t>Letter from Sadler, Gibb &amp; Associates, LLC to the Securities and Exchange Commission</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P.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769870" cy="1174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98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OptimizeRx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the statements of OptimizeRx Corporation relating to the events described under Item 4.01 of Form 8-K dated April 22, 2019 and we agree with such statements as they pertain to our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Sadler, Gibb &amp; Associates,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Sadler, Gibb &amp;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292100</wp:posOffset>
            </wp:positionV>
            <wp:extent cx="6654800" cy="771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771525"/>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2019-12-28T13:27:37Z</dcterms:created>
  <dcterms:modified xsi:type="dcterms:W3CDTF">2019-12-28T13:27:37Z</dcterms:modified>
</cp:coreProperties>
</file>