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80" w:type="dxa"/>
            <w:vAlign w:val="bottom"/>
          </w:tcPr>
          <w:p>
            <w:pPr>
              <w:spacing w:after="0"/>
              <w:rPr>
                <w:sz w:val="20"/>
                <w:szCs w:val="20"/>
                <w:color w:val="auto"/>
              </w:rPr>
            </w:pPr>
          </w:p>
        </w:tc>
      </w:tr>
      <w:tr>
        <w:trPr>
          <w:trHeight w:val="410"/>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18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18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060" w:type="dxa"/>
            <w:vAlign w:val="bottom"/>
            <w:gridSpan w:val="7"/>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June 11, 2025</w:t>
            </w:r>
          </w:p>
        </w:tc>
        <w:tc>
          <w:tcPr>
            <w:tcW w:w="3180" w:type="dxa"/>
            <w:vAlign w:val="bottom"/>
          </w:tcPr>
          <w:p>
            <w:pPr>
              <w:spacing w:after="0"/>
              <w:rPr>
                <w:sz w:val="24"/>
                <w:szCs w:val="24"/>
                <w:color w:val="auto"/>
              </w:rPr>
            </w:pPr>
          </w:p>
        </w:tc>
      </w:tr>
      <w:tr>
        <w:trPr>
          <w:trHeight w:val="414"/>
        </w:trPr>
        <w:tc>
          <w:tcPr>
            <w:tcW w:w="3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318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4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80" w:type="dxa"/>
            <w:vAlign w:val="bottom"/>
          </w:tcPr>
          <w:p>
            <w:pPr>
              <w:spacing w:after="0"/>
              <w:rPr>
                <w:sz w:val="20"/>
                <w:szCs w:val="20"/>
                <w:color w:val="auto"/>
              </w:rPr>
            </w:pPr>
          </w:p>
        </w:tc>
      </w:tr>
      <w:tr>
        <w:trPr>
          <w:trHeight w:val="453"/>
        </w:trPr>
        <w:tc>
          <w:tcPr>
            <w:tcW w:w="300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40" w:type="dxa"/>
            <w:vAlign w:val="bottom"/>
            <w:gridSpan w:val="5"/>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001-38543</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3000" w:type="dxa"/>
            <w:vAlign w:val="bottom"/>
            <w:tcBorders>
              <w:top w:val="single" w:sz="8" w:color="auto"/>
            </w:tcBorders>
          </w:tcPr>
          <w:p>
            <w:pPr>
              <w:jc w:val="center"/>
              <w:ind w:left="53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060" w:type="dxa"/>
            <w:vAlign w:val="bottom"/>
            <w:gridSpan w:val="8"/>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260 Charles Street, Suite 302, Waltham, MA</w:t>
            </w:r>
          </w:p>
        </w:tc>
        <w:tc>
          <w:tcPr>
            <w:tcW w:w="31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20" w:type="dxa"/>
            <w:vAlign w:val="bottom"/>
            <w:tcBorders>
              <w:top w:val="single" w:sz="8" w:color="auto"/>
            </w:tcBorders>
            <w:gridSpan w:val="3"/>
          </w:tcPr>
          <w:p>
            <w:pPr>
              <w:spacing w:after="0"/>
              <w:rPr>
                <w:sz w:val="20"/>
                <w:szCs w:val="20"/>
                <w:color w:val="auto"/>
              </w:rPr>
            </w:pPr>
          </w:p>
        </w:tc>
        <w:tc>
          <w:tcPr>
            <w:tcW w:w="3180" w:type="dxa"/>
            <w:vAlign w:val="bottom"/>
            <w:tcBorders>
              <w:top w:val="single" w:sz="8" w:color="auto"/>
            </w:tcBorders>
          </w:tcPr>
          <w:p>
            <w:pPr>
              <w:jc w:val="center"/>
              <w:ind w:right="22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wp:posOffset>
            </wp:positionV>
            <wp:extent cx="2383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5.07 </w:t>
      </w:r>
      <w:r>
        <w:rPr>
          <w:rFonts w:ascii="Times New Roman" w:cs="Times New Roman" w:eastAsia="Times New Roman" w:hAnsi="Times New Roman"/>
          <w:sz w:val="18"/>
          <w:szCs w:val="18"/>
          <w:b w:val="1"/>
          <w:bCs w:val="1"/>
          <w:u w:val="single" w:color="auto"/>
          <w:color w:val="auto"/>
        </w:rPr>
        <w:t>Submission of Matters to a Vote of Security Holders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2025 Annual Meeting of Stockholders (“Annual Meeting”) was held on June 11, 2025. During the Annual Meeting, stockholders were asked to consider and vote upon three proposals: (1) to elect five directors, each to serve for a term that expires at the next annual meeting of stockholders and until his or her successor has been elected and qualified or until his or her earlier death, resignation or removal; (2) to approve, on an advisory basis, the compensation of the Company’s named executive officers; and (3) to ratify UHY LLP as the Company’s independent registered public accounting firm for the 2025 fiscal year ending on December 31, 2025.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the record date of April 29, 2025, there were 18,493,447 shares of the Company’s common stock issued and outstanding and entitled to vote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For each proposal, the results of the stockholder voting were as follows:</w:t>
      </w:r>
    </w:p>
    <w:p>
      <w:pPr>
        <w:spacing w:after="0" w:line="207" w:lineRule="exact"/>
        <w:rPr>
          <w:sz w:val="20"/>
          <w:szCs w:val="20"/>
          <w:color w:val="auto"/>
        </w:rPr>
      </w:pPr>
    </w:p>
    <w:p>
      <w:pPr>
        <w:ind w:left="340" w:right="28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nominees were each elected to serve as director for a term that expires at the next annual meeting of stockholders and until his or her successor has been elected and qualified or until his or her earlier death, resignation or removal based upon the following votes: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Broker</w:t>
            </w:r>
          </w:p>
        </w:tc>
      </w:tr>
      <w:tr>
        <w:trPr>
          <w:trHeight w:val="241"/>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Votes For</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Votes Withheld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Non-Votes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O’Connor Vos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7,678,993</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5,380,016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2,874,955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Catherine Klema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11,050,447</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2,008,562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2,874,955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Lang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8,291,707</w:t>
            </w:r>
          </w:p>
        </w:tc>
        <w:tc>
          <w:tcPr>
            <w:tcW w:w="13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4,767,302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2,874,955</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Spangler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7,413,854</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5,645,155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2,874,955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D. Wasson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8,809,348</w:t>
            </w:r>
          </w:p>
        </w:tc>
        <w:tc>
          <w:tcPr>
            <w:tcW w:w="13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4,249,661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2,874,955</w:t>
            </w:r>
          </w:p>
        </w:tc>
      </w:tr>
    </w:tbl>
    <w:p>
      <w:pPr>
        <w:spacing w:after="0" w:line="198" w:lineRule="exact"/>
        <w:rPr>
          <w:sz w:val="20"/>
          <w:szCs w:val="20"/>
          <w:color w:val="auto"/>
        </w:rPr>
      </w:pPr>
    </w:p>
    <w:p>
      <w:pPr>
        <w:ind w:left="340" w:right="6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the Company’s named executive officers, as described in the proxy statement, was approved on an advisory basis based upon the following votes: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Votes in Favor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Votes 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6"/>
        </w:trPr>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5,443,720</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3,857,653</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3,757,636</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2,874,955</w:t>
            </w:r>
          </w:p>
        </w:tc>
      </w:tr>
    </w:tbl>
    <w:p>
      <w:pPr>
        <w:spacing w:after="0" w:line="19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UHY LLP was ratified as the Company’s independent registered public accounting firm for the 2022 fiscal year based upon the following votes: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Votes in Favor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16"/>
        </w:trPr>
        <w:tc>
          <w:tcPr>
            <w:tcW w:w="36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15,162,244</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745,489</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26,231</w:t>
            </w:r>
          </w:p>
        </w:tc>
      </w:tr>
      <w:tr>
        <w:trPr>
          <w:trHeight w:val="655"/>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2025</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Marion Odence-Ford</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Marion Odence-Ford</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2025-06-16T15:34:05Z</dcterms:created>
  <dcterms:modified xsi:type="dcterms:W3CDTF">2025-06-16T15:34:05Z</dcterms:modified>
</cp:coreProperties>
</file>