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00" w:type="dxa"/>
            <w:vAlign w:val="bottom"/>
            <w:gridSpan w:val="6"/>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300" w:type="dxa"/>
            <w:vAlign w:val="bottom"/>
          </w:tcPr>
          <w:p>
            <w:pPr>
              <w:spacing w:after="0"/>
              <w:rPr>
                <w:sz w:val="20"/>
                <w:szCs w:val="20"/>
                <w:color w:val="auto"/>
              </w:rPr>
            </w:pPr>
          </w:p>
        </w:tc>
      </w:tr>
      <w:tr>
        <w:trPr>
          <w:trHeight w:val="410"/>
        </w:trPr>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00" w:type="dxa"/>
            <w:vAlign w:val="bottom"/>
            <w:gridSpan w:val="6"/>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30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20" w:type="dxa"/>
            <w:vAlign w:val="bottom"/>
            <w:gridSpan w:val="7"/>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3300" w:type="dxa"/>
            <w:vAlign w:val="bottom"/>
          </w:tcPr>
          <w:p>
            <w:pPr>
              <w:spacing w:after="0"/>
              <w:rPr>
                <w:sz w:val="18"/>
                <w:szCs w:val="18"/>
                <w:color w:val="auto"/>
              </w:rPr>
            </w:pPr>
          </w:p>
        </w:tc>
      </w:tr>
      <w:tr>
        <w:trPr>
          <w:trHeight w:val="238"/>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300" w:type="dxa"/>
            <w:vAlign w:val="bottom"/>
          </w:tcPr>
          <w:p>
            <w:pPr>
              <w:spacing w:after="0"/>
              <w:rPr>
                <w:sz w:val="20"/>
                <w:szCs w:val="20"/>
                <w:color w:val="auto"/>
              </w:rPr>
            </w:pPr>
          </w:p>
        </w:tc>
      </w:tr>
      <w:tr>
        <w:trPr>
          <w:trHeight w:val="432"/>
        </w:trPr>
        <w:tc>
          <w:tcPr>
            <w:tcW w:w="3100" w:type="dxa"/>
            <w:vAlign w:val="bottom"/>
          </w:tcPr>
          <w:p>
            <w:pPr>
              <w:spacing w:after="0"/>
              <w:rPr>
                <w:sz w:val="24"/>
                <w:szCs w:val="24"/>
                <w:color w:val="auto"/>
              </w:rPr>
            </w:pPr>
          </w:p>
        </w:tc>
        <w:tc>
          <w:tcPr>
            <w:tcW w:w="5020" w:type="dxa"/>
            <w:vAlign w:val="bottom"/>
            <w:gridSpan w:val="9"/>
          </w:tcPr>
          <w:p>
            <w:pPr>
              <w:jc w:val="center"/>
              <w:ind w:left="13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April 29, 2019</w:t>
            </w:r>
          </w:p>
        </w:tc>
        <w:tc>
          <w:tcPr>
            <w:tcW w:w="3300" w:type="dxa"/>
            <w:vAlign w:val="bottom"/>
          </w:tcPr>
          <w:p>
            <w:pPr>
              <w:spacing w:after="0"/>
              <w:rPr>
                <w:sz w:val="24"/>
                <w:szCs w:val="24"/>
                <w:color w:val="auto"/>
              </w:rPr>
            </w:pPr>
          </w:p>
        </w:tc>
      </w:tr>
      <w:tr>
        <w:trPr>
          <w:trHeight w:val="392"/>
        </w:trPr>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OptimizeRx Corporation</w:t>
            </w:r>
          </w:p>
        </w:tc>
        <w:tc>
          <w:tcPr>
            <w:tcW w:w="1500" w:type="dxa"/>
            <w:vAlign w:val="bottom"/>
            <w:gridSpan w:val="3"/>
          </w:tcPr>
          <w:p>
            <w:pPr>
              <w:spacing w:after="0"/>
              <w:rPr>
                <w:sz w:val="24"/>
                <w:szCs w:val="24"/>
                <w:color w:val="auto"/>
              </w:rPr>
            </w:pPr>
          </w:p>
        </w:tc>
        <w:tc>
          <w:tcPr>
            <w:tcW w:w="3300" w:type="dxa"/>
            <w:vAlign w:val="bottom"/>
          </w:tcPr>
          <w:p>
            <w:pPr>
              <w:spacing w:after="0"/>
              <w:rPr>
                <w:sz w:val="24"/>
                <w:szCs w:val="24"/>
                <w:color w:val="auto"/>
              </w:rPr>
            </w:pPr>
          </w:p>
        </w:tc>
      </w:tr>
      <w:tr>
        <w:trPr>
          <w:trHeight w:val="237"/>
        </w:trPr>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300" w:type="dxa"/>
            <w:vAlign w:val="bottom"/>
          </w:tcPr>
          <w:p>
            <w:pPr>
              <w:spacing w:after="0"/>
              <w:rPr>
                <w:sz w:val="20"/>
                <w:szCs w:val="20"/>
                <w:color w:val="auto"/>
              </w:rPr>
            </w:pPr>
          </w:p>
        </w:tc>
      </w:tr>
      <w:tr>
        <w:trPr>
          <w:trHeight w:val="453"/>
        </w:trPr>
        <w:tc>
          <w:tcPr>
            <w:tcW w:w="31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Nevada</w:t>
            </w:r>
          </w:p>
        </w:tc>
        <w:tc>
          <w:tcPr>
            <w:tcW w:w="3520" w:type="dxa"/>
            <w:vAlign w:val="bottom"/>
            <w:gridSpan w:val="6"/>
          </w:tcPr>
          <w:p>
            <w:pPr>
              <w:jc w:val="center"/>
              <w:ind w:left="1650"/>
              <w:spacing w:after="0"/>
              <w:rPr>
                <w:sz w:val="20"/>
                <w:szCs w:val="20"/>
                <w:color w:val="auto"/>
              </w:rPr>
            </w:pPr>
            <w:r>
              <w:rPr>
                <w:rFonts w:ascii="Times New Roman" w:cs="Times New Roman" w:eastAsia="Times New Roman" w:hAnsi="Times New Roman"/>
                <w:sz w:val="18"/>
                <w:szCs w:val="18"/>
                <w:color w:val="auto"/>
                <w:w w:val="99"/>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3100" w:type="dxa"/>
            <w:vAlign w:val="bottom"/>
            <w:tcBorders>
              <w:top w:val="single" w:sz="8" w:color="auto"/>
            </w:tcBorders>
          </w:tcPr>
          <w:p>
            <w:pPr>
              <w:jc w:val="center"/>
              <w:ind w:left="49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of incorporation)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8120" w:type="dxa"/>
            <w:vAlign w:val="bottom"/>
            <w:gridSpan w:val="10"/>
          </w:tcPr>
          <w:p>
            <w:pPr>
              <w:jc w:val="center"/>
              <w:ind w:right="250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330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56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3"/>
          </w:tcPr>
          <w:p>
            <w:pPr>
              <w:spacing w:after="0"/>
              <w:rPr>
                <w:sz w:val="20"/>
                <w:szCs w:val="20"/>
                <w:color w:val="auto"/>
              </w:rPr>
            </w:pPr>
          </w:p>
        </w:tc>
        <w:tc>
          <w:tcPr>
            <w:tcW w:w="3300" w:type="dxa"/>
            <w:vAlign w:val="bottom"/>
            <w:tcBorders>
              <w:top w:val="single" w:sz="8" w:color="auto"/>
            </w:tcBorders>
          </w:tcPr>
          <w:p>
            <w:pPr>
              <w:jc w:val="center"/>
              <w:ind w:right="22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292100</wp:posOffset>
            </wp:positionV>
            <wp:extent cx="43478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Registrant’s Business and Operations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Item 5.02 concerning the entry into a material definitive agreement is incorporated by reference in this Item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 Corporate Governance and Management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Principal Officers; Election of Directors; Appointment of Principal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April 29, 2019, we have appointed Mr. Stephen Silvestro as our Chief Commercial Officer.</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Mr. Silvestro, age 41, has been with at CCH® Tagetik as its Vice President and General Manager from January 2018 to his change in employment with us. From April 2017 to January 2018, Mr. Silvestro was with Prognos as its Chief Commercial Officer and, before that, from September 2007 to April 2017, he was with Decision Resources Group in various capacitates with him latest serving as Executive Vice President, Head of Global Sales.</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Mr. Silvestro received his Bachelor’s degree in Italian and Business Management from Brigham Young University in 2002 and his Master’s Degree in Business Management from Harvard University in 2011.</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Aside from that provided above, Mr. Silvestro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Mr. Silvestro and any of our directors or executive officers.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Aside from the following, Mr. Silvestro has not had any material direct or indirect interest in any of our transactions or proposed transactions over the last two years.</w:t>
      </w:r>
    </w:p>
    <w:p>
      <w:pPr>
        <w:spacing w:after="0" w:line="162"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On April 29, 2019, we entered into an agreement with Mr. Silvestro to act as Chief Commercial Officer of our company. Pursuant to the agreement, Mr. Silvestro will receive an annual base salary of $280,000 and he will receive a onetime sign-on bonus of $30,000, $15,000 paid with his first paycheck and another $15,000 paid at the 90-day anniversary. Mr. Silvestro is also eligible for a bonus of up to 40% of his base salary based on our executive bonus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will award to Mr. Silvestro 90,000 shares of our restricted stock that will vest all at one time upon completion of 5 years of service.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agreement further provides that if Mr. Silvestro’s employment with us is involuntarily terminated without cause, Mr. Silvestro will be entitled to receive a severance payment of twelve months of his applicable base pay.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agreement contains a Business Protection Agreement that contains restrictive covenants that include a non-compete both during his employment and for a period of one year thereafter, and an inventions assignment clause both during his employment and for a period of six months thereafter. The agreement also contains a confidentiality provision.</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is qualified in its entirety by reference to the full text of the agreement, which is filed as Exhibit 10.1 to this Current Report on Form 8-K and is incorporated by reference herein.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April 29, 2019, we issued a press release concerning the appointment of Mr. Silvestro to the new position of Chief Commercial Officer of our company. A copy of the press release is attached as Exhibit 99.1 to this Current Report on Form 8-K.</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53"/>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506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7"/>
                <w:szCs w:val="17"/>
                <w:color w:val="auto"/>
              </w:rPr>
            </w:pPr>
          </w:p>
        </w:tc>
        <w:tc>
          <w:tcPr>
            <w:tcW w:w="756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Employment Agreement, dated April 29, 2019, by and between OptimizeRx Corp. and Stephen Silvestro</w:t>
              </w:r>
            </w:hyperlink>
          </w:p>
        </w:tc>
        <w:tc>
          <w:tcPr>
            <w:tcW w:w="2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260" w:type="dxa"/>
            <w:vAlign w:val="bottom"/>
            <w:gridSpan w:val="3"/>
          </w:tcPr>
          <w:p>
            <w:pPr>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Press release, dated April 29, 2019</w:t>
              </w:r>
            </w:hyperlink>
          </w:p>
        </w:tc>
        <w:tc>
          <w:tcPr>
            <w:tcW w:w="0" w:type="dxa"/>
            <w:vAlign w:val="bottom"/>
          </w:tcPr>
          <w:p>
            <w:pPr>
              <w:spacing w:after="0"/>
              <w:rPr>
                <w:sz w:val="1"/>
                <w:szCs w:val="1"/>
                <w:color w:val="auto"/>
              </w:rPr>
            </w:pPr>
          </w:p>
        </w:tc>
      </w:tr>
      <w:tr>
        <w:trPr>
          <w:trHeight w:val="703"/>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top w:val="single" w:sz="8" w:color="0000EE"/>
              <w:bottom w:val="single" w:sz="8" w:color="auto"/>
            </w:tcBorders>
          </w:tcPr>
          <w:p>
            <w:pPr>
              <w:spacing w:after="0"/>
              <w:rPr>
                <w:sz w:val="24"/>
                <w:szCs w:val="24"/>
                <w:color w:val="auto"/>
              </w:rPr>
            </w:pPr>
          </w:p>
        </w:tc>
        <w:tc>
          <w:tcPr>
            <w:tcW w:w="5060" w:type="dxa"/>
            <w:vAlign w:val="bottom"/>
            <w:tcBorders>
              <w:bottom w:val="single" w:sz="8" w:color="auto"/>
            </w:tcBorders>
          </w:tcPr>
          <w:p>
            <w:pPr>
              <w:jc w:val="right"/>
              <w:ind w:right="2852"/>
              <w:spacing w:after="0"/>
              <w:rPr>
                <w:sz w:val="20"/>
                <w:szCs w:val="20"/>
                <w:color w:val="auto"/>
              </w:rPr>
            </w:pPr>
            <w:r>
              <w:rPr>
                <w:rFonts w:ascii="Times New Roman" w:cs="Times New Roman" w:eastAsia="Times New Roman" w:hAnsi="Times New Roman"/>
                <w:sz w:val="22"/>
                <w:szCs w:val="22"/>
                <w:color w:val="auto"/>
              </w:rPr>
              <w:t>2</w:t>
            </w: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2019</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0"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157480</wp:posOffset>
            </wp:positionV>
            <wp:extent cx="3567430" cy="951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743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updated agreement made and entered into this March 18, 2019, by and between OptimizeRx Corporation, a Nevada Company, hereinafter referred to as “Employer” and Stephen Silvestro, hereinafter referred to as the “Employee”.</w:t>
      </w:r>
    </w:p>
    <w:p>
      <w:pPr>
        <w:spacing w:after="0" w:line="16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Employer is a preferred digital communication channel for life sciences to the point-of-care and desires Stephen Silvestro to serve as the Chief Commercial Officer for the company.</w:t>
      </w:r>
    </w:p>
    <w:p>
      <w:pPr>
        <w:spacing w:after="0" w:line="162"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7"/>
          <w:szCs w:val="17"/>
          <w:u w:val="single" w:color="auto"/>
          <w:color w:val="auto"/>
        </w:rPr>
        <w:t>Base Compensation</w:t>
      </w:r>
      <w:r>
        <w:rPr>
          <w:rFonts w:ascii="Times New Roman" w:cs="Times New Roman" w:eastAsia="Times New Roman" w:hAnsi="Times New Roman"/>
          <w:sz w:val="17"/>
          <w:szCs w:val="17"/>
          <w:color w:val="auto"/>
        </w:rPr>
        <w:t>. Your annual base salary is $280,000, effective April 29, 2019, payable at a rate of 11,666.67 per semi-monthly pay period, representing payment for all hours worked (“Base Compensation”). Your Base Compensation is payable in accordance with the Company’s regular practices.</w:t>
      </w:r>
    </w:p>
    <w:p>
      <w:pPr>
        <w:spacing w:after="0" w:line="13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u w:val="single" w:color="auto"/>
          <w:color w:val="auto"/>
        </w:rPr>
        <w:t>Sign-on Bonus.</w:t>
      </w:r>
      <w:r>
        <w:rPr>
          <w:rFonts w:ascii="Times New Roman" w:cs="Times New Roman" w:eastAsia="Times New Roman" w:hAnsi="Times New Roman"/>
          <w:sz w:val="18"/>
          <w:szCs w:val="18"/>
          <w:color w:val="auto"/>
        </w:rPr>
        <w:t xml:space="preserve"> You will be granted a onetime sign-on bonus of $30,000, $15,000 paid with first paycheck and another $15,000 paid at your 90-day anniversary.</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xml:space="preserve"> In addition to your Base Compensation, you will be eligible to participate in the Company’s executive bonus plan, subject to its terms and conditions, with an annual target bonus of 40 % of your Base Compensation. Subject to board approval and registration of the plans and related legal compliance, you will also have the option to take the bonus in equity or in a split 50/50 arrangement with 50% in cash and 50 % in equity. The option to take all, or a portion, of your bonus in equity is at your discretion.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Chief Commercial Officer, you will be granted 90,000 shares of restricted stock that will vest all at one time upon completion of 5 years of service. The grant is subject to approval by the Board of Directors and the grant date is anticipated to be your start date of April 29, 2019.</w:t>
      </w:r>
    </w:p>
    <w:p>
      <w:pPr>
        <w:spacing w:after="0" w:line="16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xml:space="preserve"> In addition to your compensation, you will have the opportunity to participate in various Company benefit programs generally offered to employees, pursuant to the terms and conditions of such programs, including applicable waiting periods prior to eligibility. Currently, we offer employees a 401(k) plan, group medical and dental insurance and short and long-term disability benefits. Please note that the Company reserves the right to change or discontinue any of our benefits, plans, providers, and policies, at any time. Benefits would commence on the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following your starting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spacing w:after="0" w:line="266" w:lineRule="auto"/>
        <w:rPr>
          <w:sz w:val="20"/>
          <w:szCs w:val="20"/>
          <w:color w:val="auto"/>
        </w:rPr>
      </w:pPr>
      <w:r>
        <w:rPr>
          <w:rFonts w:ascii="Times New Roman" w:cs="Times New Roman" w:eastAsia="Times New Roman" w:hAnsi="Times New Roman"/>
          <w:sz w:val="18"/>
          <w:szCs w:val="18"/>
          <w:u w:val="single" w:color="auto"/>
          <w:color w:val="auto"/>
        </w:rPr>
        <w:t>Job Responsibilities</w:t>
      </w:r>
      <w:r>
        <w:rPr>
          <w:rFonts w:ascii="Times New Roman" w:cs="Times New Roman" w:eastAsia="Times New Roman" w:hAnsi="Times New Roman"/>
          <w:sz w:val="18"/>
          <w:szCs w:val="18"/>
          <w:color w:val="auto"/>
        </w:rPr>
        <w:t>. As Chief Commerical Officer reporting to the CEO, you are an essential member and part of our corporate management and an officer in the company that is responsible for directing our sales force, expanding our customer base, integrating and training all acquisitions and or new solutions, and achieving overall sales goals. In addition, you will direct the launch of new customer sets with data and larger enterprise deals with pharma.</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You shall use your best efforts and devote your full time and attention to the business of the Company on a full-time basis and shall at all times faithfully and industriously and to the best of your ability, experience and talent, perform all of the duties that may be required of you pursuant to the terms hereof. During the term hereof you shall not engage in any other new employment or consulting activities without the express written consent of the Company other than civic, charitable and/or religious activities, directing your own passive investments and/or serving on boards of directors of other entities so long as such activities do not interfere or conflict with your duties hereunder as reasonably determined by the Company.</w:t>
      </w:r>
    </w:p>
    <w:p>
      <w:pPr>
        <w:spacing w:after="0" w:line="18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The Company will reimburse you for all approved business travel costs incurred by you pursuant to the terms of the Company travel policy.</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xml:space="preserve"> Please note that you are not being offered employment for a definite period of time, and that the Company may terminate your employment at any time for any reason, with or without cause or notice, except as prohibited by law. Nothing in this offer to you should be interpreted as creating anything other than an at-will employment relationship. You also have the right to terminate your employment with the company at any time for any reason on thirty days’ prior written notice.</w:t>
      </w:r>
    </w:p>
    <w:p>
      <w:pPr>
        <w:spacing w:after="0" w:line="18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u w:val="single" w:color="auto"/>
          <w:color w:val="auto"/>
        </w:rPr>
        <w:t>Business Protection Agreement.</w:t>
      </w:r>
      <w:r>
        <w:rPr>
          <w:rFonts w:ascii="Times New Roman" w:cs="Times New Roman" w:eastAsia="Times New Roman" w:hAnsi="Times New Roman"/>
          <w:sz w:val="18"/>
          <w:szCs w:val="18"/>
          <w:color w:val="auto"/>
        </w:rPr>
        <w:t xml:space="preserve"> The Company considers the protection of its confidential information, proprietary materials and goodwill to be extremely important. Accordingly, as a condition of your continued employment with the Company and the increase in bonus potential reflected herein, you will be required to execute and return to the Company the enclosed Business Protection Agreement.</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Conflicts of Interest and Gifts. You will promptly</w:t>
      </w:r>
      <w:r>
        <w:rPr>
          <w:rFonts w:ascii="Times New Roman" w:cs="Times New Roman" w:eastAsia="Times New Roman" w:hAnsi="Times New Roman"/>
          <w:sz w:val="18"/>
          <w:szCs w:val="18"/>
          <w:color w:val="auto"/>
        </w:rPr>
        <w:t xml:space="preserve"> disclose all current and potential interests, direct or indirect, in any entity dealing with the Company which may affect actions and decisions made by you as a representative of the Company, and fully disclose any gift which raises any reasonable possibility of conflict of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You will comply with all applicable laws and Company policies in performing your duties hereunder including federal and state securities 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 If your employment agreement is terminated at any time by the Company without cause, which termination shall be effective</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immediately upon the date of delivery of written notice to you (or at such later date as otherwise specified in such notice), the Company shall continue to pay you, as severance pay, the monthly portion of your Base Compensation for a period of twelve (12) months following such termination, subject to your continued compliance with the terms and conditions of this Agreement and the Business Protection Agreement.</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Except as set forth herein, or as set forth in your stock agreements, or as may be required by applicable law, you have no right to any specific compensation or benefits, and the Company shall have no obligations to pay any salary, bonus, severance payment, accrued vacation or other amounts in connection with any termination of your employment or attributable to the period after termination.</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 w:name="page7"/>
    <w:bookmarkEnd w:id="6"/>
    <w:p>
      <w:pPr>
        <w:ind w:right="60"/>
        <w:spacing w:after="0" w:line="255" w:lineRule="auto"/>
        <w:rPr>
          <w:sz w:val="20"/>
          <w:szCs w:val="20"/>
          <w:color w:val="auto"/>
        </w:rPr>
      </w:pPr>
      <w:r>
        <w:rPr>
          <w:rFonts w:ascii="Times New Roman" w:cs="Times New Roman" w:eastAsia="Times New Roman" w:hAnsi="Times New Roman"/>
          <w:sz w:val="18"/>
          <w:szCs w:val="18"/>
          <w:u w:val="single" w:color="auto"/>
          <w:color w:val="auto"/>
        </w:rPr>
        <w:t>409A</w:t>
      </w:r>
      <w:r>
        <w:rPr>
          <w:rFonts w:ascii="Times New Roman" w:cs="Times New Roman" w:eastAsia="Times New Roman" w:hAnsi="Times New Roman"/>
          <w:sz w:val="18"/>
          <w:szCs w:val="18"/>
          <w:color w:val="auto"/>
        </w:rPr>
        <w:t>. To the extent that any provision of this letter agreement is ambiguous as to its exemption or compliance with Code Section 409A, the provision will be read in such a manner so that all payments hereunder are exempt from Code Section 409A to the maximum permissible extent, and for any payments where such construction is not tenable, that those payments comply with Code Section 409A to the maximum permissible extent. To the extent any payment under this letter agreement may be classified as a “short-term deferral” within the meaning of Code Section 409A, such payment shall be deemed a short-term deferral, even if it may also qualify for an exemption from Code Section 409A under another provision of Code Section 409A. Payments pursuant to this agreement (or referenced in this agreement) are intended to constitute separate payments for purposes of Section 1.409A-2(b)(2) of the regulations under Code Section 409A.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280G</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If any of the payments or benefits received or to be received by you from the Company (including, without limitation, any payment or benefits received in connection with a Change in Control or the termination of your employment, whether pursuant to the terms of this letter agreement or any other plan, arrangement, or agreement, or otherwise) (all such payments collectively referred to herein as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280G Payments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constitute “parachute payments” within the meaning of Section 280G of the Code and will be subject to the excise tax imposed under Section 4999 of the Code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Excise Tax</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Company shall pay to you, no later than the time such Excise Tax is required to be paid by you or withheld by the Company, an additional amount equal to the sum of the Excise Tax payable by you, plus the amount necessary to put you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185"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7"/>
          <w:szCs w:val="17"/>
          <w:u w:val="single" w:color="auto"/>
          <w:color w:val="auto"/>
        </w:rPr>
        <w:t>Required I-9 Documentation.</w:t>
      </w:r>
      <w:r>
        <w:rPr>
          <w:rFonts w:ascii="Times New Roman" w:cs="Times New Roman" w:eastAsia="Times New Roman" w:hAnsi="Times New Roman"/>
          <w:sz w:val="17"/>
          <w:szCs w:val="17"/>
          <w:color w:val="auto"/>
        </w:rPr>
        <w:t xml:space="preserve"> Your employment with the Company is also subject to you providing, if you have not already done so, the Company with proof of your legal right to work in the United States by completing the Form I-9 and providing Company with the accepted documents specified on the Form I-9.</w:t>
      </w:r>
    </w:p>
    <w:p>
      <w:pPr>
        <w:spacing w:after="0" w:line="13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Certifications.</w:t>
      </w:r>
      <w:r>
        <w:rPr>
          <w:rFonts w:ascii="Times New Roman" w:cs="Times New Roman" w:eastAsia="Times New Roman" w:hAnsi="Times New Roman"/>
          <w:sz w:val="18"/>
          <w:szCs w:val="18"/>
          <w:color w:val="auto"/>
        </w:rPr>
        <w:t xml:space="preserve"> By signing this letter, you certify to the Company that you are free to enter into and fully perform the duties of your position, and that you are not subject to any employment, confidentiality, non-competition or other agreement that would restrict your performance for the Company.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Additionally, by signing this letter, you certify that you will not disclose to or use for the benefit of the Company any trade secret or confidential or proprietary information of any previous employer. You further affirm that you have not divulged or used any such information for the benefit of the Company, and that you have not and will not misappropriate any such information from any former employer.</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offer letter and your signed Business Protection Agreement, state the terms of your employment and supersede and cancel any prior oral or written representations, offers or promises made by the Company and any understandings or agreements, whether written or oral, between the Company and you.</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Accepted by Employer:</w:t>
            </w: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Accepted by Employee:</w:t>
            </w: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William J. Febbo</w:t>
            </w:r>
          </w:p>
        </w:tc>
        <w:tc>
          <w:tcPr>
            <w:tcW w:w="2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April 29, 2019</w:t>
            </w:r>
          </w:p>
        </w:tc>
        <w:tc>
          <w:tcPr>
            <w:tcW w:w="27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 Stephen Silvestro</w:t>
            </w:r>
          </w:p>
        </w:tc>
        <w:tc>
          <w:tcPr>
            <w:tcW w:w="16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April 29, 2019</w:t>
            </w:r>
          </w:p>
        </w:tc>
      </w:tr>
      <w:tr>
        <w:trPr>
          <w:trHeight w:val="234"/>
        </w:trPr>
        <w:tc>
          <w:tcPr>
            <w:tcW w:w="20" w:type="dxa"/>
            <w:vAlign w:val="bottom"/>
          </w:tcPr>
          <w:p>
            <w:pPr>
              <w:spacing w:after="0"/>
              <w:rPr>
                <w:sz w:val="20"/>
                <w:szCs w:val="20"/>
                <w:color w:val="auto"/>
              </w:rPr>
            </w:pPr>
          </w:p>
        </w:tc>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J. Febbo</w:t>
            </w:r>
          </w:p>
        </w:tc>
        <w:tc>
          <w:tcPr>
            <w:tcW w:w="162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95"/>
              </w:rPr>
              <w:t>(Date)</w:t>
            </w:r>
          </w:p>
        </w:tc>
        <w:tc>
          <w:tcPr>
            <w:tcW w:w="8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Stephen Silvestro</w:t>
            </w:r>
          </w:p>
        </w:tc>
        <w:tc>
          <w:tcPr>
            <w:tcW w:w="162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95"/>
              </w:rPr>
              <w:t>(Date)</w:t>
            </w:r>
          </w:p>
        </w:tc>
        <w:tc>
          <w:tcPr>
            <w:tcW w:w="20" w:type="dxa"/>
            <w:vAlign w:val="bottom"/>
          </w:tcPr>
          <w:p>
            <w:pPr>
              <w:spacing w:after="0"/>
              <w:rPr>
                <w:sz w:val="20"/>
                <w:szCs w:val="20"/>
                <w:color w:val="auto"/>
              </w:rPr>
            </w:pPr>
          </w:p>
        </w:tc>
      </w:tr>
      <w:tr>
        <w:trPr>
          <w:trHeight w:val="637"/>
        </w:trPr>
        <w:tc>
          <w:tcPr>
            <w:tcW w:w="20" w:type="dxa"/>
            <w:vAlign w:val="bottom"/>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right"/>
              <w:ind w:right="1670"/>
              <w:spacing w:after="0"/>
              <w:rPr>
                <w:sz w:val="20"/>
                <w:szCs w:val="20"/>
                <w:color w:val="auto"/>
              </w:rPr>
            </w:pPr>
            <w:r>
              <w:rPr>
                <w:rFonts w:ascii="Times New Roman" w:cs="Times New Roman" w:eastAsia="Times New Roman" w:hAnsi="Times New Roman"/>
                <w:sz w:val="18"/>
                <w:szCs w:val="18"/>
                <w:color w:val="auto"/>
              </w:rPr>
              <w:t>3</w:t>
            </w:r>
          </w:p>
        </w:tc>
        <w:tc>
          <w:tcPr>
            <w:tcW w:w="2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157480</wp:posOffset>
            </wp:positionV>
            <wp:extent cx="3336290" cy="643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3629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Strengthens Executive Leadership with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Appointment of Chief Commercial Officer</w:t>
      </w:r>
    </w:p>
    <w:p>
      <w:pPr>
        <w:spacing w:after="0" w:line="20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i w:val="1"/>
          <w:iCs w:val="1"/>
          <w:color w:val="auto"/>
        </w:rPr>
        <w:t>Stephen Silvestro Brings more than 20 Years’ Experience in Direct Operations, Sales, and</w:t>
      </w:r>
    </w:p>
    <w:p>
      <w:pPr>
        <w:spacing w:after="0" w:line="2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Partner Network Growth, to Lead Revenue Activities and Strengthen the Go-to-Market</w:t>
      </w:r>
    </w:p>
    <w:p>
      <w:pPr>
        <w:spacing w:after="0" w:line="203"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Mich., (April 29, 2019) — </w:t>
      </w:r>
      <w:r>
        <w:rPr>
          <w:rFonts w:ascii="Times New Roman" w:cs="Times New Roman" w:eastAsia="Times New Roman" w:hAnsi="Times New Roman"/>
          <w:sz w:val="18"/>
          <w:szCs w:val="18"/>
          <w:color w:val="auto"/>
        </w:rPr>
        <w:t>OptimizeRx Corp. (NASDAQ: OPRX), a leading platform for digital health messaging in the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has appointed Stephen Silvestro to the new position of chief commercial officer. Silvestro will be responsible for driving OptimizeRx’s platform revenue growth including enterprise level direct-to-patient and direct-to-provider product adoption to improve patient outcomes.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thrilled to welcome Steve to the team, as he brings important experience, depth of knowledge and a shared determination to provide affordability and adherence solutions that link the health care and life sciences industries,” said Will Febbo, CEO at OptimizeRx. “During his tenure at Decision Resources Group, he was an instrumental leader in the growth of the company from $30 million to $180 million in revenue. His customer-first philosophy is greatly aligned to our values at OptimizeRx.</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are confident in the market appetite for our solutions. We believe Steve will drive incredible growth with our core clients and take the company to the next level in terms of reach, revenue and earnings.”</w:t>
      </w:r>
    </w:p>
    <w:p>
      <w:pPr>
        <w:spacing w:after="0" w:line="16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OptimizeRx is the largest point-of -care network in the U.S. reaching over half the ambulatory market. Through their digital health platform, pharma companies have critical access to doctors and their patients to provide medication information and savings. The acquisition of CareSpeak and announcement of expansion into health and hospital systems reflect technology capabilities to deliver savings and adherence messages throughout the entire care continuum.</w:t>
      </w:r>
    </w:p>
    <w:p>
      <w:pPr>
        <w:spacing w:after="0" w:line="15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Silvestro commented: “It’s an exciting time to join the OptimizeRx team. We see a sustained growth opportunity for the business driven by strong industry momentum to improve connections between pharma, healthcare providers and patients. There is ample room to grow with more than $1 billion of total addressable market. This opportunity is amplified by the more than $528 billion non-adherence impact which simply isn’t acceptable.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 w:name="page9"/>
    <w:bookmarkEnd w:id="8"/>
    <w:p>
      <w:pPr>
        <w:ind w:right="100"/>
        <w:spacing w:after="0" w:line="266" w:lineRule="auto"/>
        <w:rPr>
          <w:sz w:val="20"/>
          <w:szCs w:val="20"/>
          <w:color w:val="auto"/>
        </w:rPr>
      </w:pPr>
      <w:r>
        <w:rPr>
          <w:rFonts w:ascii="Times New Roman" w:cs="Times New Roman" w:eastAsia="Times New Roman" w:hAnsi="Times New Roman"/>
          <w:sz w:val="18"/>
          <w:szCs w:val="18"/>
          <w:color w:val="auto"/>
        </w:rPr>
        <w:t>“I’m passionate about improving outcomes for patients, and OptimizeRx provides a unique vehicle to help. I’m excited to help lead the organization through its next phase of growth and to bring some of the best practices and strong commercial discipline from my years of building and leading best in class commercial organizations.”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Silvestro previously served as vice president and general manager at CCH Tagetik, a division of Wolters Kluwer. Prior pharma leadership experience includes executive positions with Prognos, Decision Resources Group and D.M.S. Silvestro has extensive channel expertise in biopharma commercialization, global market access, market research, analytics, enterprise SaaS solutions and strategy.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Silvestro received a master’s degree in Business Management from Harvard University. He also holds undergraduate degrees from Brigham Young University in both Business and Italian. He is fluent in English, Italian, Spanish and conversational in French. He will be based in Boston, Massachusetts.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OptimizeRx, visit 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w:t>
      </w:r>
    </w:p>
    <w:p>
      <w:pPr>
        <w:ind w:right="20"/>
        <w:spacing w:after="0" w:line="261" w:lineRule="auto"/>
        <w:rPr>
          <w:sz w:val="20"/>
          <w:szCs w:val="20"/>
          <w:color w:val="auto"/>
        </w:rPr>
      </w:pPr>
      <w:r>
        <w:rPr>
          <w:rFonts w:ascii="Times New Roman" w:cs="Times New Roman" w:eastAsia="Times New Roman" w:hAnsi="Times New Roman"/>
          <w:sz w:val="18"/>
          <w:szCs w:val="18"/>
          <w:color w:val="auto"/>
        </w:rPr>
        <w:t>industry, OptimizeRx provides a direct channel for pharma companies to communicate with healthcare providers right within their workflow and also directly to patients.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860-800-2344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nicolebrooks@innsena.com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20"/>
      </w:cols>
      <w:pgMar w:left="24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2019-12-28T13:08:26Z</dcterms:created>
  <dcterms:modified xsi:type="dcterms:W3CDTF">2019-12-28T13:08:26Z</dcterms:modified>
</cp:coreProperties>
</file>