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11,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480" w:type="dxa"/>
            <w:vAlign w:val="bottom"/>
            <w:gridSpan w:val="3"/>
          </w:tcPr>
          <w:p>
            <w:pPr>
              <w:ind w:left="1540"/>
              <w:spacing w:after="0"/>
              <w:rPr>
                <w:sz w:val="20"/>
                <w:szCs w:val="20"/>
                <w:color w:val="auto"/>
              </w:rPr>
            </w:pPr>
            <w:r>
              <w:rPr>
                <w:rFonts w:ascii="Arial" w:cs="Arial" w:eastAsia="Arial" w:hAnsi="Arial"/>
                <w:sz w:val="18"/>
                <w:szCs w:val="18"/>
                <w:color w:val="auto"/>
              </w:rPr>
              <w:t>Nevada</w:t>
            </w:r>
          </w:p>
        </w:tc>
        <w:tc>
          <w:tcPr>
            <w:tcW w:w="296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20" w:type="dxa"/>
            <w:vAlign w:val="bottom"/>
            <w:tcBorders>
              <w:top w:val="single" w:sz="8" w:color="auto"/>
            </w:tcBorders>
          </w:tcPr>
          <w:p>
            <w:pPr>
              <w:ind w:left="840"/>
              <w:spacing w:after="0" w:line="201" w:lineRule="exact"/>
              <w:rPr>
                <w:sz w:val="20"/>
                <w:szCs w:val="20"/>
                <w:color w:val="auto"/>
              </w:rPr>
            </w:pPr>
            <w:r>
              <w:rPr>
                <w:rFonts w:ascii="Arial" w:cs="Arial" w:eastAsia="Arial" w:hAnsi="Arial"/>
                <w:sz w:val="18"/>
                <w:szCs w:val="18"/>
                <w:color w:val="auto"/>
              </w:rPr>
              <w:t>(State or other jurisdiction</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80" w:type="dxa"/>
            <w:vAlign w:val="bottom"/>
            <w:gridSpan w:val="3"/>
          </w:tcPr>
          <w:p>
            <w:pPr>
              <w:ind w:left="1200"/>
              <w:spacing w:after="0"/>
              <w:rPr>
                <w:sz w:val="20"/>
                <w:szCs w:val="20"/>
                <w:color w:val="auto"/>
              </w:rPr>
            </w:pPr>
            <w:r>
              <w:rPr>
                <w:rFonts w:ascii="Arial" w:cs="Arial" w:eastAsia="Arial" w:hAnsi="Arial"/>
                <w:sz w:val="18"/>
                <w:szCs w:val="18"/>
                <w:color w:val="auto"/>
              </w:rPr>
              <w:t>of incorporation)</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2"/>
        </w:trPr>
        <w:tc>
          <w:tcPr>
            <w:tcW w:w="4480" w:type="dxa"/>
            <w:vAlign w:val="bottom"/>
            <w:tcBorders>
              <w:bottom w:val="single" w:sz="8" w:color="auto"/>
            </w:tcBorders>
            <w:gridSpan w:val="3"/>
          </w:tcPr>
          <w:p>
            <w:pPr>
              <w:ind w:left="1220"/>
              <w:spacing w:after="0"/>
              <w:rPr>
                <w:sz w:val="20"/>
                <w:szCs w:val="20"/>
                <w:color w:val="auto"/>
              </w:rPr>
            </w:pPr>
            <w:r>
              <w:rPr>
                <w:rFonts w:ascii="Arial" w:cs="Arial" w:eastAsia="Arial" w:hAnsi="Arial"/>
                <w:sz w:val="18"/>
                <w:szCs w:val="18"/>
                <w:color w:val="auto"/>
                <w:w w:val="94"/>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80" w:type="dxa"/>
            <w:vAlign w:val="bottom"/>
            <w:gridSpan w:val="3"/>
          </w:tcPr>
          <w:p>
            <w:pPr>
              <w:ind w:left="1340"/>
              <w:spacing w:after="0"/>
              <w:rPr>
                <w:sz w:val="20"/>
                <w:szCs w:val="20"/>
                <w:color w:val="auto"/>
              </w:rPr>
            </w:pPr>
            <w:r>
              <w:rPr>
                <w:rFonts w:ascii="Arial" w:cs="Arial" w:eastAsia="Arial" w:hAnsi="Arial"/>
                <w:sz w:val="18"/>
                <w:szCs w:val="18"/>
                <w:color w:val="auto"/>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0"/>
        </w:trPr>
        <w:tc>
          <w:tcPr>
            <w:tcW w:w="36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790"/>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On March 11, 2020, we issued a press release announcing that we secured two additional enterprise-level engagements, expanding access for two clients across the entire OptimizeRx platform. A copy of the press release is attached as Exhibit 99.1 to this Current Report on Form 8-K.</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11,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2020</w:t>
      </w: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165735</wp:posOffset>
            </wp:positionV>
            <wp:extent cx="1877060"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70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Secures Two Additional Enterprise Clients on Newly Integrated Digital Healthcare Platform</w:t>
      </w:r>
    </w:p>
    <w:p>
      <w:pPr>
        <w:spacing w:after="0" w:line="225"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 xml:space="preserve">ROCHESTER, Mich. – March 11, 2020 – </w:t>
      </w:r>
      <w:r>
        <w:rPr>
          <w:rFonts w:ascii="Arial" w:cs="Arial" w:eastAsia="Arial" w:hAnsi="Arial"/>
          <w:sz w:val="16"/>
          <w:szCs w:val="16"/>
          <w:color w:val="auto"/>
        </w:rPr>
        <w:t>OptimizeRx Corp. (Nasdaq: OPRX), a leading provider of digital health solutions for life science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and payers, has secured two additional enterprise-level engagements, expanding access for two clients across the entire OptimizeRx platform.</w:t>
      </w:r>
    </w:p>
    <w:p>
      <w:pPr>
        <w:spacing w:after="0" w:line="12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“These two wins demonstrate continued traction in converting our clients from individual solutions to enterprise platform engagements, allowing them to benefit from a full set of solutions across our network,” said OptimizeRx chief commercial officer, Steve Silvestro. “They also reflect a growing broader interest in enterprise engagements for our expanded platform, which now covers all touchpoints throughout the patient care journey.</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reason for this interest is simple: our enterprise engagements produce strong results from improved interoperability between our point-of-care and direct-to-patient communications, which all works together to deliver better outcomes. Also, in these times of limited travel, our digital healthcare platform supports the flow of critical communications for industry and healthcare providers regardless of their location.”</w:t>
      </w:r>
    </w:p>
    <w:p>
      <w:pPr>
        <w:spacing w:after="0" w:line="18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OptimizeRx’s newly integrated platform enables unprecedented transparency into patient medication behavior and provides access to patient-provider-pharma communication across the care continuum and in a variety of care settings. Pharmaceutical companies, healthcare providers (HCPs) and payers are now better able to efficiently and effectively address patient medication affordability and therapeutic adherence. This is largely due to improvements in communication and increased level of digital health messages transmitted between HCPs, manufacturers, patients and payers.</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According to company CEO, William Febbo: "We are very pleased with our continued conversion of the pipeline of enterprise-level opportunities. We believe our up-sell opportunity of converting our existing clients from individual solutions to enterprise platform engagements is over $100 million. While naturally this will not be realized overnight, we are encouraged by our progress and expect to see continued growth from our integrated platform approach.”</w:t>
      </w:r>
    </w:p>
    <w:p>
      <w:pPr>
        <w:spacing w:after="0" w:line="18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“Such enterprise deals also enable us to increase our revenue per customer, as well as provide a more predictable and consistent revenue stream,” added Febbo. “As we address the industry need for greater collaboration, we see our investments in technology, channel, solutions and our sales team driving continued adoption of our platform.”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also directly to patients.</w:t>
      </w:r>
    </w:p>
    <w:p>
      <w:pPr>
        <w:spacing w:after="0" w:line="29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42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2020-03-11T10:41:47Z</dcterms:created>
  <dcterms:modified xsi:type="dcterms:W3CDTF">2020-03-11T10:41:47Z</dcterms:modified>
</cp:coreProperties>
</file>