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rPr>
              <w:t>FORM 8-K</w:t>
            </w:r>
          </w:p>
        </w:tc>
        <w:tc>
          <w:tcPr>
            <w:tcW w:w="31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9"/>
              </w:rPr>
              <w:t>CURRENT REPORT</w:t>
            </w:r>
          </w:p>
        </w:tc>
        <w:tc>
          <w:tcPr>
            <w:tcW w:w="316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0"/>
              </w:rPr>
              <w:t>Pursuant to Section 13 or 15(d) of</w:t>
            </w:r>
          </w:p>
        </w:tc>
        <w:tc>
          <w:tcPr>
            <w:tcW w:w="316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16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080" w:type="dxa"/>
            <w:vAlign w:val="bottom"/>
            <w:gridSpan w:val="7"/>
          </w:tcPr>
          <w:p>
            <w:pPr>
              <w:jc w:val="center"/>
              <w:ind w:left="90"/>
              <w:spacing w:after="0"/>
              <w:rPr>
                <w:sz w:val="20"/>
                <w:szCs w:val="20"/>
                <w:color w:val="auto"/>
              </w:rPr>
            </w:pPr>
            <w:r>
              <w:rPr>
                <w:rFonts w:ascii="Arial" w:cs="Arial" w:eastAsia="Arial" w:hAnsi="Arial"/>
                <w:sz w:val="18"/>
                <w:szCs w:val="18"/>
                <w:b w:val="1"/>
                <w:bCs w:val="1"/>
                <w:color w:val="auto"/>
                <w:w w:val="92"/>
              </w:rPr>
              <w:t>Date of Report (Date of Earliest Event Reported): May 26, 2021</w:t>
            </w:r>
          </w:p>
        </w:tc>
        <w:tc>
          <w:tcPr>
            <w:tcW w:w="316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3"/>
              </w:rPr>
              <w:t>OptimizeRx Corporation</w:t>
            </w:r>
          </w:p>
        </w:tc>
        <w:tc>
          <w:tcPr>
            <w:tcW w:w="316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(Exact name of registrant as specified in charter)</w:t>
            </w:r>
          </w:p>
        </w:tc>
        <w:tc>
          <w:tcPr>
            <w:tcW w:w="3160" w:type="dxa"/>
            <w:vAlign w:val="bottom"/>
          </w:tcPr>
          <w:p>
            <w:pPr>
              <w:spacing w:after="0"/>
              <w:rPr>
                <w:sz w:val="20"/>
                <w:szCs w:val="20"/>
                <w:color w:val="auto"/>
              </w:rPr>
            </w:pPr>
          </w:p>
        </w:tc>
      </w:tr>
      <w:tr>
        <w:trPr>
          <w:trHeight w:val="452"/>
        </w:trPr>
        <w:tc>
          <w:tcPr>
            <w:tcW w:w="300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Nevada</w:t>
            </w:r>
          </w:p>
        </w:tc>
        <w:tc>
          <w:tcPr>
            <w:tcW w:w="444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0"/>
              </w:rPr>
              <w:t>001-38543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300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2"/>
              </w:rPr>
              <w:t>(State or other jurisdiction</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4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60" w:type="dxa"/>
            <w:vAlign w:val="bottom"/>
          </w:tcPr>
          <w:p>
            <w:pPr>
              <w:jc w:val="center"/>
              <w:ind w:right="4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80" w:type="dxa"/>
            <w:vAlign w:val="bottom"/>
            <w:gridSpan w:val="8"/>
          </w:tcPr>
          <w:p>
            <w:pPr>
              <w:jc w:val="center"/>
              <w:ind w:right="254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16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9"/>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$0.001 Par Value</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of Directors of OptimizeRx Corporation (the “Company”) has determined to hold the Company’s annual meeting of stockholders (the “Annual Meeting”) on Thursday, August 19, 2021, at a time and place to be specified in the Company’s proxy materials for the Annual Meeting.</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the scheduled date of the Annual Meeting is more than 30 days prior to the anniversary date of the Company’s 2020 annual meeting of stockholders, prior deadlines regarding the submission of stockholder proposals in connection with the Annual Meeting are no longer applicable. Pursuant to Rule 14a-5(f) under the Securities Exchange Act of 1934, as amended (the “Exchange Act”), the Company is providing notice of certain revised deadlines for the submission of stockholder proposals in connection with the Annual Meeting. In order for a stockholder proposal submitted pursuant to Rule 14a-8 under the Exchange Act (“Rule 14a-8”) to be considered timely for inclusion in the Company’s proxy statement and form of proxy for the Annual Meeting, such proposal must be received by the Company by June 17, 2021. The Company has determined this to be a reasonable time prior to the printing and mailing of our definitive proxy statement for the Annual Meeting. In addition, in order for a stockholder proposal made other than pursuant to Rule 14a-8 to be considered timely, such proposal must also be received by the Company by June 17, 2021. Stockholders should submit proposals to the Company’s principal executive offices, 400 Water Street, Suite 200, Rochester, MI 48307, Attention: Corporate Secretary. The Company reserves the right to reject, rule out of order or take other appropriate action with respect to any proposal that does not comply with these and other applicable requirements.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May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Doug Baker</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2021-05-27T19:28:21Z</dcterms:created>
  <dcterms:modified xsi:type="dcterms:W3CDTF">2021-05-27T19:28:21Z</dcterms:modified>
</cp:coreProperties>
</file>