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4880" w:type="dxa"/>
            <w:vAlign w:val="bottom"/>
            <w:gridSpan w:val="9"/>
          </w:tcPr>
          <w:p>
            <w:pPr>
              <w:jc w:val="center"/>
              <w:ind w:left="130"/>
              <w:spacing w:after="0"/>
              <w:rPr>
                <w:sz w:val="20"/>
                <w:szCs w:val="20"/>
                <w:color w:val="auto"/>
              </w:rPr>
            </w:pPr>
            <w:r>
              <w:rPr>
                <w:rFonts w:ascii="Arial" w:cs="Arial" w:eastAsia="Arial" w:hAnsi="Arial"/>
                <w:sz w:val="18"/>
                <w:szCs w:val="18"/>
                <w:color w:val="auto"/>
                <w:w w:val="91"/>
              </w:rPr>
              <w:t>Date of Report (Date of earliest event reported): May 4, 2020</w:t>
            </w:r>
          </w:p>
        </w:tc>
        <w:tc>
          <w:tcPr>
            <w:tcW w:w="3280" w:type="dxa"/>
            <w:vAlign w:val="bottom"/>
          </w:tcPr>
          <w:p>
            <w:pPr>
              <w:spacing w:after="0"/>
              <w:rPr>
                <w:sz w:val="24"/>
                <w:szCs w:val="24"/>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color w:val="auto"/>
                <w:w w:val="93"/>
              </w:rPr>
              <w:t>OptimizeRx Corporation</w:t>
            </w:r>
          </w:p>
        </w:tc>
        <w:tc>
          <w:tcPr>
            <w:tcW w:w="328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39"/>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86"/>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jc w:val="center"/>
              <w:ind w:right="2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60" w:type="dxa"/>
            <w:vAlign w:val="bottom"/>
            <w:gridSpan w:val="10"/>
          </w:tcPr>
          <w:p>
            <w:pPr>
              <w:jc w:val="center"/>
              <w:ind w:right="2440"/>
              <w:spacing w:after="0"/>
              <w:rPr>
                <w:sz w:val="20"/>
                <w:szCs w:val="20"/>
                <w:color w:val="auto"/>
              </w:rPr>
            </w:pPr>
            <w:r>
              <w:rPr>
                <w:rFonts w:ascii="Arial" w:cs="Arial" w:eastAsia="Arial" w:hAnsi="Arial"/>
                <w:sz w:val="18"/>
                <w:szCs w:val="18"/>
                <w:color w:val="auto"/>
                <w:w w:val="89"/>
              </w:rPr>
              <w:t>400 Water Street, Suite 200, Rochester, MI</w:t>
            </w: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13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100" w:type="dxa"/>
            <w:vAlign w:val="bottom"/>
            <w:gridSpan w:val="4"/>
          </w:tcPr>
          <w:p>
            <w:pPr>
              <w:spacing w:after="0"/>
              <w:rPr>
                <w:sz w:val="20"/>
                <w:szCs w:val="20"/>
                <w:color w:val="auto"/>
              </w:rPr>
            </w:pPr>
            <w:r>
              <w:rPr>
                <w:rFonts w:ascii="Arial" w:cs="Arial" w:eastAsia="Arial" w:hAnsi="Arial"/>
                <w:sz w:val="18"/>
                <w:szCs w:val="18"/>
                <w:color w:val="auto"/>
                <w:w w:val="90"/>
              </w:rPr>
              <w:t>or revised financial accounting standards provided pursuant to Section 13(a) of the Exchange Act.</w:t>
            </w:r>
          </w:p>
        </w:tc>
        <w:tc>
          <w:tcPr>
            <w:tcW w:w="4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9"/>
        </w:trPr>
        <w:tc>
          <w:tcPr>
            <w:tcW w:w="4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4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r>
      <w:tr>
        <w:trPr>
          <w:trHeight w:val="28"/>
        </w:trPr>
        <w:tc>
          <w:tcPr>
            <w:tcW w:w="4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682"/>
        </w:trPr>
        <w:tc>
          <w:tcPr>
            <w:tcW w:w="4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4, 2020, we issued a press release announcing the results of operations for the quarter ended March 31, 2020. The press release is furnished with this Current Report on Form 8-K as Exhibit 99.1.</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4, 2020</w:t>
        </w:r>
      </w:hyperlink>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154305</wp:posOffset>
            </wp:positionV>
            <wp:extent cx="236601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660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First Quarter 2020 Results; Revenue Up 46% to a Record $7.6 Million</w:t>
      </w:r>
    </w:p>
    <w:p>
      <w:pPr>
        <w:spacing w:after="0" w:line="225"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ROCHESTER, Mich., (May 4, 2020) — </w:t>
      </w:r>
      <w:r>
        <w:rPr>
          <w:rFonts w:ascii="Arial" w:cs="Arial" w:eastAsia="Arial" w:hAnsi="Arial"/>
          <w:sz w:val="16"/>
          <w:szCs w:val="16"/>
          <w:color w:val="auto"/>
        </w:rPr>
        <w:t>OptimizeRx Corp. (Nasdaq: OPRX), a leading provider of digital health solutions for life science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payers and providers, reported results for the first quarter ended March 31, 2020. Quarterly comparisons are to the same year-ago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2020 Financial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year over year revenue increased 46% to a record $7.6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Year over year gross profit increased 20% to $4.3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totaled $15.2 million at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2020 Operational Highlights</w:t>
      </w:r>
    </w:p>
    <w:p>
      <w:pPr>
        <w:spacing w:after="0" w:line="229" w:lineRule="exact"/>
        <w:rPr>
          <w:sz w:val="20"/>
          <w:szCs w:val="20"/>
          <w:color w:val="auto"/>
        </w:rPr>
      </w:pPr>
    </w:p>
    <w:p>
      <w:pPr>
        <w:ind w:left="340" w:right="5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Secured several multi-million-dollar enterprise-level engagements for access to OptimizeRx’s fully integrated communications platform, further transitioning the company to a recurring revenue model.</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OptimizeRx Innovation Lab launched first health technology solution aimed at increasing speed-to-therapy for patients by providing timely access to enrollment forms within the provider workflow.</w:t>
      </w:r>
    </w:p>
    <w:p>
      <w:pPr>
        <w:spacing w:after="0" w:line="170" w:lineRule="exact"/>
        <w:rPr>
          <w:rFonts w:ascii="Arial" w:cs="Arial" w:eastAsia="Arial" w:hAnsi="Arial"/>
          <w:sz w:val="18"/>
          <w:szCs w:val="18"/>
          <w:color w:val="auto"/>
        </w:rPr>
      </w:pPr>
    </w:p>
    <w:p>
      <w:pPr>
        <w:ind w:left="340" w:right="58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Launched text message alert program that delivers coronavirus information from the Centers for Disease Control and Prevention. The alerts are distributed through the company’s digital health information network used by leading electronic health record providers.</w:t>
      </w:r>
    </w:p>
    <w:p>
      <w:pPr>
        <w:spacing w:after="0" w:line="146" w:lineRule="exact"/>
        <w:rPr>
          <w:rFonts w:ascii="Arial" w:cs="Arial" w:eastAsia="Arial" w:hAnsi="Arial"/>
          <w:sz w:val="17"/>
          <w:szCs w:val="17"/>
          <w:color w:val="auto"/>
        </w:rPr>
      </w:pPr>
    </w:p>
    <w:p>
      <w:pPr>
        <w:ind w:left="340" w:right="2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appointment of Todd Inman as chief technology officer, bringing to the position more than 30 years of experience delivering innovations across the healthcare technology industry.</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Introduced and hosted new webinar series covering a range of topics around using digital health technology to improve patient care, engagement and outcomes.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2020 Financial Summary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revenue in the first quarter of 2020 increased 46% to a record $7.6 million versus $5.2 million in the same year-ago quarter. The quarterly increase was due to increased sales of messaging solutions.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140"/>
        <w:spacing w:after="0" w:line="286" w:lineRule="auto"/>
        <w:rPr>
          <w:sz w:val="20"/>
          <w:szCs w:val="20"/>
          <w:color w:val="auto"/>
        </w:rPr>
      </w:pPr>
      <w:r>
        <w:rPr>
          <w:rFonts w:ascii="Arial" w:cs="Arial" w:eastAsia="Arial" w:hAnsi="Arial"/>
          <w:sz w:val="17"/>
          <w:szCs w:val="17"/>
          <w:color w:val="auto"/>
        </w:rPr>
        <w:t>Gross margin decreased to 57.3% in the first quarter of 2020 from 69.6% in the year-ago quarter. The decrease was due to an unusually favorable product mix in the year-ago period that had a high percentage of launch assistance services and other nonrecurring revenue that was not subject to revenue share expense. The company expects its gross margin to improve on a quarter-over-quarter basis for the balance of the year.</w:t>
      </w:r>
    </w:p>
    <w:p>
      <w:pPr>
        <w:spacing w:after="0" w:line="16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Operating expenses totaled $6.6 million, up from $3.5 million in the same year-ago quarter. The increase was related to the company building a stronger base for future growth by expanding its product line, building out its sales organization and integrating two acquisitions over the last 18 months.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loss on a GAAP basis in the first quarter of 2020 was $2.2 million or $(0.15) per share, as compared to a net income of $6,500 or $0.00 per share in the year-ago quarter.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Non-GAAP net loss for the first quarter of 2020 was $830,000 or $(0.06) per share, compared to non-GAAP net income of $981,000 or $0.08 per share in the same year-ago period (see definition of these non-GAAP measures and reconciliation to GAAP, below).</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While the company expects to return to profitability as its revenue grows, expenses related to investments in growth initiatives or non-cash charges could result in a loss in any given quarter. Given the opportunity at hand as discussed below, the company is focused on top-line growth while maintaining a strong balance sheet.</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and cash equivalents totaled $15.2 million at March 31, 2020, as compared to $18.9 million at December 31, 2019. The decrease was primarily due to cash used in operating activities. The company has continued to operate debt-free and expects to return to being cash-flow positive on a quarterly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top-line growth in the first quarter demonstrates the confidence our clients have in our digital health platform to deliver strong ROI, as well as validates the investments we made last year in our commercial team and platform extensions,” said OptimizeRx CEO, William Febbo. “Given the disruption and uncertainty created by COVID-19, having digital connectivity at the point-of-care has become even more relevant and our solutions are positioned very well.</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seeing an accelerated adoption of our platform, so clients can deliver critical information to providers and patients when and where it is needed the most, to assure adherence, affordability and effective care management.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connectivity to physicians we have built-out over the years, along with a measure of exclusivity by integrating our platform into leading EHR and e-prescribe systems, is becoming a must-have access point for our clients. Today, we reach 60% of the ambulatory market, and particularly at the point-of-care where a provider delivers care and prescribes.</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“Backed by years of strong return on investment on programs, we have become deeply entrenched in our client base. We currently work with the world’s top 20 pharmaceutical companies and more than 60 other major clients – all of which have multiple siloed businesses in need of our services. The trust we have earned supports our continued shift to a SaaS-based, enterprise-level recurring revenue model. In fact, we continue to receive positive responses to proposals for enterprise-level engagements, which presently have a combined average annualized contract value of more than $3.6 million.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“We sit squarely in one of the fastest growing segments of health technology, which is point-of-care communications. This is where there is tremendous client demand for greater connectivity that is effective, transparent and measurable. Our addressable market is much larger today than even two months ago given the sudden need and adoption for telehealth technology. We are perfectly situated within this market, uniquely able to effect digital communication among providers, patients and the healthcare industry.</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“Medical conferences, medical liaisons and live advisory boards have all been disrupted during the COVID-19 pandemic. We see this driving greater demand for digital communication that delivers mission-critical information, and particularly for our suite of solutions which offers tremendous value to all constituencies in healthcare.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strong tailwinds at our back. Most of our clients have decided to proceed with new launches, mostly due the complexities and costs around preparation, and as part of an overall strategy designed to prevent any substantial disruption. The FDA has committed to accelerating approvals of new medications and indications, so many new novel therapies will be coming to market over the coming months and years. We expect this to provide a healthy pipeline of new opportunities.</w:t>
      </w:r>
    </w:p>
    <w:p>
      <w:pPr>
        <w:spacing w:after="0" w:line="18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“Looking out to the remainder of 2020, we will be intensifying our focus on organic growth, increasing our market share, and securing more recurring revenue through enterprise-level engagements. We believe we have the team, platform and balance sheet to unlock much more value for all our stakeholders, and keep us on track for another year of strong growth and market expansion.”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Monday May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1-800-458-4148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2817301</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May 25, 2020, as well as available for replay via the Investors section of the OptimizeRx website at 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2817301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earnings release includes a presentation of non-GAAP net income (loss) and non-GAAP earnings (loss) per share or non-GAAP EPS, both of which are non-GAAP financial measures.</w:t>
      </w:r>
    </w:p>
    <w:p>
      <w:pPr>
        <w:spacing w:after="0" w:line="170" w:lineRule="exact"/>
        <w:rPr>
          <w:sz w:val="20"/>
          <w:szCs w:val="20"/>
          <w:color w:val="auto"/>
        </w:rPr>
      </w:pPr>
    </w:p>
    <w:p>
      <w:pPr>
        <w:jc w:val="both"/>
        <w:ind w:right="240"/>
        <w:spacing w:after="0" w:line="275"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5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three months periods ended March 31,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r>
        <w:rPr>
          <w:rFonts w:ascii="Arial" w:cs="Arial" w:eastAsia="Arial" w:hAnsi="Arial"/>
          <w:sz w:val="18"/>
          <w:szCs w:val="18"/>
          <w:color w:val="auto"/>
        </w:rPr>
        <w:t>®</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go to OptimizeRx.com, and follow the company on Twitter and LinkedIn.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15,210,069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18,852,680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9,061,520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7,418,025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3,035,205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871,043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27,306,794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27,141,748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170,123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14,740,031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5,980,607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6,238,453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2,496,498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2,550,587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531,844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559,863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4,993,215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5,151,102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16,013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80,727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28,758,208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29,320,763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56,235,125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56,638,525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548,100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492,995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1,674,477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1,800,635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2,640,249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1,618,438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491,438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580,014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9,471,743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6,107,513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418,390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448,753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3,138,390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5,668,753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12,610,133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none issued and outstanding at March 31, 2020 or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166,666,667 shares authorized, 14,646,747 and 14,600,579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March 31, 2020 and December 31, 2019,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78,272,268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(35,628,541)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(33,424,610)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43,624,992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44,862,259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56,235,125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56,638,525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41"/>
              <w:spacing w:after="0"/>
              <w:rPr>
                <w:sz w:val="20"/>
                <w:szCs w:val="20"/>
                <w:color w:val="auto"/>
              </w:rPr>
            </w:pPr>
            <w:r>
              <w:rPr>
                <w:rFonts w:ascii="Arial" w:cs="Arial" w:eastAsia="Arial" w:hAnsi="Arial"/>
                <w:sz w:val="18"/>
                <w:szCs w:val="18"/>
                <w:color w:val="auto"/>
                <w:w w:val="91"/>
              </w:rPr>
              <w:t>For the Three Months Ended</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7,584,602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5,209,434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3,241,763</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1,583,480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4,342,839</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3,625,954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6,602,091</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3,493,789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(2,259,252)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132,165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55,321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22,364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55,321</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(125,636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(2,203,931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14,609,499</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12,077,829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14,609,499</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13,077,917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1"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(2,203,931)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non-cash lease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519,669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190,301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754,512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530,312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issued for board service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106,034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(1,643,495)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1,554,953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(2,099,448)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55,105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173,810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1,021,811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(776,514)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(154,473)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(1,034,454)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(88,576)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35,199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(3,738,826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889,969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equipment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(15,937)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(15,937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112,152</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343,785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112,152</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343,785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(3,642,611)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18,852,680</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8,914,034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15,210,069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10,133,940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Non-cash effect of cumulative adjustments to accumulated deficit</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Lease liabilities arising from right of use assets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non-GAAP to GAAP Financial Measures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8540"/>
        <w:spacing w:after="0"/>
        <w:rPr>
          <w:sz w:val="20"/>
          <w:szCs w:val="20"/>
          <w:color w:val="auto"/>
        </w:rPr>
      </w:pPr>
      <w:r>
        <w:rPr>
          <w:rFonts w:ascii="Arial" w:cs="Arial" w:eastAsia="Arial" w:hAnsi="Arial"/>
          <w:sz w:val="16"/>
          <w:szCs w:val="16"/>
          <w:color w:val="auto"/>
        </w:rPr>
        <w:t>For the Three Months Ended</w:t>
      </w:r>
    </w:p>
    <w:p>
      <w:pPr>
        <w:spacing w:after="0" w:line="32"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March 31,</w:t>
      </w:r>
    </w:p>
    <w:p>
      <w:pPr>
        <w:sectPr>
          <w:pgSz w:w="11900" w:h="16838" w:orient="portrait"/>
          <w:cols w:equalWidth="0" w:num="1">
            <w:col w:w="11240"/>
          </w:cols>
          <w:pgMar w:left="320" w:top="904" w:right="3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Loss related to the fair value of contingent consideration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1"/>
                <w:szCs w:val="21"/>
                <w:color w:val="auto"/>
              </w:rPr>
            </w:pPr>
          </w:p>
        </w:tc>
      </w:tr>
      <w:tr>
        <w:trPr>
          <w:trHeight w:val="202"/>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5"/>
              </w:rPr>
              <w:t>(2,203,931)</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6,529</w:t>
            </w:r>
          </w:p>
        </w:tc>
        <w:tc>
          <w:tcPr>
            <w:tcW w:w="20" w:type="dxa"/>
            <w:vAlign w:val="bottom"/>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519,669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190,501</w:t>
            </w:r>
          </w:p>
        </w:tc>
      </w:tr>
      <w:tr>
        <w:trPr>
          <w:trHeight w:val="230"/>
        </w:trPr>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854,512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636,346</w:t>
            </w:r>
          </w:p>
        </w:tc>
      </w:tr>
      <w:tr>
        <w:trPr>
          <w:trHeight w:val="237"/>
        </w:trPr>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148,000</w:t>
            </w:r>
          </w:p>
        </w:tc>
      </w:tr>
      <w:tr>
        <w:trPr>
          <w:trHeight w:val="250"/>
        </w:trPr>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(829,750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981,376</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w:t>
            </w: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220" w:type="dxa"/>
            <w:vAlign w:val="bottom"/>
          </w:tcPr>
          <w:p>
            <w:pPr>
              <w:ind w:left="180"/>
              <w:spacing w:after="0"/>
              <w:rPr>
                <w:sz w:val="20"/>
                <w:szCs w:val="20"/>
                <w:color w:val="auto"/>
              </w:rPr>
            </w:pPr>
            <w:r>
              <w:rPr>
                <w:rFonts w:ascii="Arial" w:cs="Arial" w:eastAsia="Arial" w:hAnsi="Arial"/>
                <w:sz w:val="18"/>
                <w:szCs w:val="18"/>
                <w:color w:val="auto"/>
              </w:rPr>
              <w:t>Basic</w:t>
            </w:r>
          </w:p>
        </w:tc>
        <w:tc>
          <w:tcPr>
            <w:tcW w:w="46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14,609,499</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12,077,829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20" w:type="dxa"/>
            <w:vAlign w:val="bottom"/>
            <w:vMerge w:val="continue"/>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14,609,499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13,077,917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460" w:type="dxa"/>
            <w:vAlign w:val="bottom"/>
            <w:vMerge w:val="restart"/>
          </w:tcPr>
          <w:p>
            <w:pPr>
              <w:jc w:val="right"/>
              <w:ind w:right="29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2020-05-05T07:31:50Z</dcterms:created>
  <dcterms:modified xsi:type="dcterms:W3CDTF">2020-05-05T07:31:50Z</dcterms:modified>
</cp:coreProperties>
</file>