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4000" w:right="2320" w:hanging="1672"/>
        <w:spacing w:after="0" w:line="484" w:lineRule="auto"/>
        <w:tabs>
          <w:tab w:leader="none" w:pos="25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2022</w:t>
      </w:r>
    </w:p>
    <w:p>
      <w:pPr>
        <w:spacing w:after="0" w:line="29" w:lineRule="exact"/>
        <w:rPr>
          <w:rFonts w:ascii="MS PGothic" w:cs="MS PGothic" w:eastAsia="MS PGothic" w:hAnsi="MS PGothic"/>
          <w:sz w:val="18"/>
          <w:szCs w:val="18"/>
          <w:color w:val="auto"/>
        </w:rPr>
      </w:pPr>
    </w:p>
    <w:p>
      <w:pPr>
        <w:ind w:left="3520" w:right="2580" w:hanging="922"/>
        <w:spacing w:after="0" w:line="498" w:lineRule="auto"/>
        <w:tabs>
          <w:tab w:leader="none" w:pos="280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001-38543</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7220" w:type="dxa"/>
            <w:vAlign w:val="bottom"/>
            <w:gridSpan w:val="7"/>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26-1265381</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7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800" w:type="dxa"/>
            <w:vAlign w:val="bottom"/>
            <w:tcBorders>
              <w:top w:val="single" w:sz="8" w:color="auto"/>
            </w:tcBorders>
          </w:tcPr>
          <w:p>
            <w:pPr>
              <w:jc w:val="center"/>
              <w:ind w:right="6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20" w:type="dxa"/>
            <w:vAlign w:val="bottom"/>
          </w:tcPr>
          <w:p>
            <w:pPr>
              <w:spacing w:after="0"/>
              <w:rPr>
                <w:sz w:val="24"/>
                <w:szCs w:val="24"/>
                <w:color w:val="auto"/>
              </w:rPr>
            </w:pPr>
          </w:p>
        </w:tc>
        <w:tc>
          <w:tcPr>
            <w:tcW w:w="7220" w:type="dxa"/>
            <w:vAlign w:val="bottom"/>
            <w:gridSpan w:val="7"/>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8"/>
              </w:rPr>
              <w:t>400 Water Street</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 xml:space="preserve"> Suite 200</w:t>
            </w:r>
          </w:p>
        </w:tc>
      </w:tr>
      <w:tr>
        <w:trPr>
          <w:trHeight w:val="198"/>
        </w:trPr>
        <w:tc>
          <w:tcPr>
            <w:tcW w:w="4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40" w:type="dxa"/>
            <w:vAlign w:val="bottom"/>
            <w:gridSpan w:val="6"/>
          </w:tcPr>
          <w:p>
            <w:pPr>
              <w:jc w:val="center"/>
              <w:ind w:right="47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Rochester, MI, 48307</w:t>
            </w:r>
          </w:p>
        </w:tc>
      </w:tr>
      <w:tr>
        <w:trPr>
          <w:trHeight w:val="20"/>
        </w:trPr>
        <w:tc>
          <w:tcPr>
            <w:tcW w:w="4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37"/>
        </w:trPr>
        <w:tc>
          <w:tcPr>
            <w:tcW w:w="4020" w:type="dxa"/>
            <w:vAlign w:val="bottom"/>
          </w:tcPr>
          <w:p>
            <w:pPr>
              <w:spacing w:after="0"/>
              <w:rPr>
                <w:sz w:val="20"/>
                <w:szCs w:val="20"/>
                <w:color w:val="auto"/>
              </w:rPr>
            </w:pPr>
          </w:p>
        </w:tc>
        <w:tc>
          <w:tcPr>
            <w:tcW w:w="7220" w:type="dxa"/>
            <w:vAlign w:val="bottom"/>
            <w:gridSpan w:val="7"/>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248-651-6568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under Section 12(b) of the Exchange Act:</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72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sectPr>
      </w:pPr>
    </w:p>
    <w:p>
      <w:pPr>
        <w:spacing w:after="0" w:line="147"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Large accelerated filer</w:t>
      </w:r>
    </w:p>
    <w:p>
      <w:pPr>
        <w:spacing w:after="0" w:line="58"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58"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9"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00" w:lineRule="exact"/>
        <w:rPr>
          <w:sz w:val="24"/>
          <w:szCs w:val="24"/>
          <w:color w:val="auto"/>
        </w:rPr>
      </w:pPr>
    </w:p>
    <w:p>
      <w:pPr>
        <w:sectPr>
          <w:pgSz w:w="11900" w:h="16838" w:orient="portrait"/>
          <w:cols w:equalWidth="0" w:num="2">
            <w:col w:w="5600" w:space="720"/>
            <w:col w:w="4920"/>
          </w:cols>
          <w:pgMar w:left="320" w:top="513" w:right="339" w:bottom="1440" w:gutter="0" w:footer="0" w:header="0"/>
          <w:type w:val="continuous"/>
        </w:sectPr>
      </w:pPr>
    </w:p>
    <w:p>
      <w:pPr>
        <w:spacing w:after="0" w:line="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18,023,056 common shares as of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60" w:type="dxa"/>
            <w:vAlign w:val="bottom"/>
            <w:gridSpan w:val="6"/>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53"/>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60" w:type="dxa"/>
            <w:vAlign w:val="bottom"/>
            <w:gridSpan w:val="7"/>
            <w:shd w:val="clear" w:color="auto" w:fill="CCEEFF"/>
          </w:tcPr>
          <w:p>
            <w:pPr>
              <w:jc w:val="center"/>
              <w:ind w:right="292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62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960" w:type="dxa"/>
            <w:vAlign w:val="bottom"/>
            <w:gridSpan w:val="6"/>
            <w:shd w:val="clear" w:color="auto" w:fill="CCEEFF"/>
          </w:tcPr>
          <w:p>
            <w:pPr>
              <w:jc w:val="center"/>
              <w:ind w:right="302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64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64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28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financial statements included in this Form 10-Q are as follows:</w:t>
      </w:r>
    </w:p>
    <w:p>
      <w:pPr>
        <w:spacing w:after="0" w:line="225" w:lineRule="exact"/>
        <w:rPr>
          <w:sz w:val="20"/>
          <w:szCs w:val="20"/>
          <w:color w:val="auto"/>
        </w:rPr>
      </w:pPr>
    </w:p>
    <w:p>
      <w:pPr>
        <w:ind w:left="800" w:hanging="439"/>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Balance Sheets as of June 30, 2022 (unaudited) and December 31,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800" w:hanging="439"/>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Statements of Operations for the three and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hanging="439"/>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Statements of Changes in Stockholders’ Equity for the three and six months ended June 30, 2022 and 2021</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EE"/>
        </w:rPr>
        <w:t>(unaudited);</w:t>
      </w:r>
    </w:p>
    <w:p>
      <w:pPr>
        <w:spacing w:after="0" w:line="9" w:lineRule="exact"/>
        <w:rPr>
          <w:sz w:val="20"/>
          <w:szCs w:val="20"/>
          <w:color w:val="auto"/>
        </w:rPr>
      </w:pPr>
    </w:p>
    <w:p>
      <w:pPr>
        <w:ind w:left="800" w:hanging="439"/>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Statements of Cash Flows for the six months ended June 30, 2022 and 2021 (unaudited);</w:t>
      </w:r>
    </w:p>
    <w:p>
      <w:pPr>
        <w:spacing w:after="0" w:line="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0000EE"/>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June 30,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414"/>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87,392,970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84,681,770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18,732,849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24,800,585</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4,280,843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5,630,655</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110,406,662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115,113,010</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22,673,820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14,740,031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13,933,072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10,646,654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278,513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328,820</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12,859</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36,898,265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25,728,364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147,448,264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140,985,192</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1,296,041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606,808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1,638,791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2,902,836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2,376,836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4,378,216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90,982</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1,041,919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1,389,907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6,441,260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189,802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236,726</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6,631,062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9,605,475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(See note 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June 30, 2022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18,174,182 and 17,860,975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June 30, 2022 and December 31, 2021,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18,188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183,698,497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166,615,514</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(42,899,470)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(35,253,658)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140,817,202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131,379,717</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147,448,264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140,985,192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color w:val="auto"/>
              </w:rPr>
              <w:t>For the 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13,978,665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13,625,639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27,710,195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24,854,850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4,988,716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5,580,964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10,618,574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10,685,567</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8,989,949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8,044,675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17,091,621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4,981,549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3,906,796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10,287,416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7,487,612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4,025,323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897,038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7,199,421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1,604,191</w:t>
            </w: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3,891,607</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2,900,702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7,274,416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5,375,649</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12,898,479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7,704,536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24,761,253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(3,908,530)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340,139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(7,669,632)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23,816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11,961</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23,820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12,892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(3,884,714)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(7,645,812)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(3,884,714</w:t>
            </w:r>
          </w:p>
        </w:tc>
        <w:tc>
          <w:tcPr>
            <w:tcW w:w="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(7,645,812</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18,122,500</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17,347,096</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18,000,958</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16,720,114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18,122,500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18,104,807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18,000,958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16,720,114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per share – basic</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Income (loss) per share –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22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Common Stock</w:t>
            </w:r>
          </w:p>
        </w:tc>
        <w:tc>
          <w:tcPr>
            <w:tcW w:w="212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Additional</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80" w:type="dxa"/>
            <w:vAlign w:val="bottom"/>
          </w:tcPr>
          <w:p>
            <w:pPr>
              <w:spacing w:after="0"/>
              <w:rPr>
                <w:sz w:val="19"/>
                <w:szCs w:val="19"/>
                <w:color w:val="auto"/>
              </w:rPr>
            </w:pPr>
          </w:p>
        </w:tc>
        <w:tc>
          <w:tcPr>
            <w:tcW w:w="2220" w:type="dxa"/>
            <w:vAlign w:val="bottom"/>
            <w:gridSpan w:val="5"/>
            <w:vMerge w:val="continue"/>
          </w:tcPr>
          <w:p>
            <w:pPr>
              <w:spacing w:after="0"/>
              <w:rPr>
                <w:sz w:val="19"/>
                <w:szCs w:val="19"/>
                <w:color w:val="auto"/>
              </w:rPr>
            </w:pPr>
          </w:p>
        </w:tc>
        <w:tc>
          <w:tcPr>
            <w:tcW w:w="212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Paid in</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1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Deficit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17,860,975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$ 166,615,514</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(35,253,658)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$ 131,379,717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258,100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restricted stock units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13,627</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3,174,098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(3,761,098)</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(3,761,098)</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17,902,608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17,903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170,047,698</w:t>
            </w:r>
          </w:p>
        </w:tc>
        <w:tc>
          <w:tcPr>
            <w:tcW w:w="12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 (39,014,756</w:t>
            </w:r>
            <w:r>
              <w:rPr>
                <w:rFonts w:ascii="Times New Roman" w:cs="Times New Roman" w:eastAsia="Times New Roman" w:hAnsi="Times New Roman"/>
                <w:sz w:val="29"/>
                <w:szCs w:val="29"/>
                <w:color w:val="auto"/>
                <w:vertAlign w:val="superscript"/>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131,050,845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43,701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572,303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acquisition</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240,741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9,374,214</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(12,868)</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(321,041)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(321,054)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4,025,323</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(3,884,714)</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(3,884,714)</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2022</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18,187,050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18,188</w:t>
            </w:r>
          </w:p>
        </w:tc>
        <w:tc>
          <w:tcPr>
            <w:tcW w:w="11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(12,868</w:t>
            </w:r>
            <w:r>
              <w:rPr>
                <w:rFonts w:ascii="Times New Roman" w:cs="Times New Roman" w:eastAsia="Times New Roman" w:hAnsi="Times New Roman"/>
                <w:sz w:val="29"/>
                <w:szCs w:val="29"/>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(13</w:t>
            </w:r>
            <w:r>
              <w:rPr>
                <w:rFonts w:ascii="Times New Roman" w:cs="Times New Roman" w:eastAsia="Times New Roman" w:hAnsi="Times New Roman"/>
                <w:sz w:val="29"/>
                <w:szCs w:val="29"/>
                <w:color w:val="auto"/>
                <w:vertAlign w:val="superscript"/>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183,698,497</w:t>
            </w:r>
          </w:p>
        </w:tc>
        <w:tc>
          <w:tcPr>
            <w:tcW w:w="12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 (42,899,470</w:t>
            </w:r>
            <w:r>
              <w:rPr>
                <w:rFonts w:ascii="Times New Roman" w:cs="Times New Roman" w:eastAsia="Times New Roman" w:hAnsi="Times New Roman"/>
                <w:sz w:val="29"/>
                <w:szCs w:val="29"/>
                <w:color w:val="auto"/>
                <w:vertAlign w:val="superscript"/>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140,817,202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ind w:left="7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Paid in</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Capital</w:t>
            </w:r>
          </w:p>
        </w:tc>
        <w:tc>
          <w:tcPr>
            <w:tcW w:w="16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Deficit</w:t>
            </w:r>
          </w:p>
        </w:tc>
        <w:tc>
          <w:tcPr>
            <w:tcW w:w="16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15,223,340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85,590,428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(35,631,737)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49,973,914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of common shares, net of offering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1,523,750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70,670,012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70,671,536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510,803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1,119,500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582,159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(637,377)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(637,377)</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17,260,588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158,087,090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(36,269,114)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121,835,237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as board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125,089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232,806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1,590,535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771,947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352,100</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17,495,429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17,495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160,574,661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(35,917,014</w:t>
            </w:r>
            <w:r>
              <w:rPr>
                <w:rFonts w:ascii="Times New Roman" w:cs="Times New Roman" w:eastAsia="Times New Roman" w:hAnsi="Times New Roman"/>
                <w:sz w:val="29"/>
                <w:szCs w:val="29"/>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124,675,142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For the Six Months Ended</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(7,645,812)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(285,277)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1,049,656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7,199,421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issued for board service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loss on accounts receivable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98,727</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5,969,009</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(88,221)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1,266,478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64,232</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187,211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(2,001,379)</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(1,628,556)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(1,264,045)</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(393,778)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(347,989)</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33,814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1,855,654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(41,335)</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EvinceMed acquisition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 including intellectual property rights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(145,257)</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(176,822)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of common stock, net of offering costs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70,671,536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(321,054)</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830,474</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2,710,778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(1,610,813)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509,420</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71,771,501</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73,406,679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84,681,770</w:t>
            </w: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10,516,776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87,392,970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83,923,455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Reduction of EvinceMed purchase price for amounts previously paid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Shares issued in connection with acquisition</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9,374,455</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right of use assets</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 AND 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OptimizeRx Corporation and its wholly owned subsidiaries (collectively, the “Company”, “we”, “our”, or “us”).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for the three and six months ended June 30, 2022 and 2021 have been prepared by us without audit pursuant to the rules and regulations of the U.S. Securities and Exchange Commission (“SEC”). In the opinion of management, all adjustments necessary to present fairly our financial position at June 30, 2022, and our results of operations, changes in stockholders’ equity, and cash flows for the six months ended June 30, 2022 and 2021, have been made. Those adjustments consist of normal and recurring adjustments. The condensed consolidated balance sheet as of December 31, 2021, has been derived from the audited condensed consolidated balance sheet as of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note disclosures, including a detailed discussion about the Company’s significant accounting policies, normally included in our annual financial statements prepared in accordance with generally accepted accounting principles have been condensed or omitted. These condensed consolidated financial statements should be read in conjunction with a reading of the financial statements and notes thereto included in our Annual Report on Form 10-K for the fiscal year ended December 31, 2021, as filed with the U.S. Securities and Exchange Commission on February 28,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six months ended June 30, 2022, are not necessarily indicative of the results to be expected for the full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NEW ACCOUNTING STANDARDS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15, 2020, with early adoption permitted. The Company adopted this standard effective January 1, 2021. The adoption of this standard did not have a material effect on our financial position,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ASU Topic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8"/>
          <w:szCs w:val="18"/>
          <w:color w:val="auto"/>
        </w:rPr>
        <w:t>,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Company is currently evaluating the effect of this pronouncement on its Consolidated Financial Statements, but it is not expected to have a material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ACQUISITIONS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14, 2022, we completed the acquisition of substantially all of the assets of EvinceMed Corp., a privately held leading provider of delivering end-to-end automation for specialty pharmaceutical transactions. We completed the acquisition to expand the breadth of the solutions we offer our customers, particularly where specialty medications are involved, The acquisition includes the full Market Access Management Platform for supporting pharma manufacturers, hub providers and pharmacies to improve patient access, speed to therapy and activation of affordability programs. With the EvinceMed platform, OptimizeRx is able to help patients get access to the drugs they need by simplifying the prescribing process for specialty medications, automating manual steps to determine drug eligibility and affordability, and introducing electronic enrollment and medical documentation within workflow across the OptimizeRx network of electronic health record (EHR) systems, ePrescribing platforms, and account-based marketing technologies.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consideration was comprised of $2.0 million in cash, the issuance of 240,741 shares of common stock valued at $9,374,455, and $708,334 of amounts previously paid. The total purchase price was $12,082,788.54. Of the 240,741 shares of common stock, 185,185 were issued at closing and 55,556 were issued but held back to secure potential adjustments to the purchase price that may result from the indemnification obligations of EvinceMed and the EvinceMed shareholder indemnitors. The holdback amount will be released twelve months from the closing, subject to any adjustments for the payment by EvinceMed and the shareholder indemnitors for its and their indemnification obligations. The purchase price was allocated to acquired technology totaling $4,149,000 with an estimated useful life of 8 years and the remaining $7,933,789 was allocated to goodwill. Goodwill represents the processes and synergies expected by integrating those processes with our own. The full amount of goodwill will be deductible for tax purposes using a fifteen year life. The increase in goodwill for the period is fully accounted for by this acquisition. We determined pro forma data was immaterial for financial reporting purposes. The initial accounting is provisional and subject to change based on the completion of formal valuations.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costs of approximately $19,739 were expensed as incurred.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REVENUES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$3,847,737 and $2,110,865 at June 30, 2022, and December 31, 2021, respectively. Amounts billed in advance of revenue recognition are presented as deferred revenue on the condensed consolidated balance sheets.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several signed contracts with customers for the distribution of messaging, or other services, which include payment in advance. The payments are not recorded as revenue until the revenue is earned under our revenue recognition policy. Deferred revenue was $1,041,919 and $1,389,907 as of June 30, 2022 and December 31, 2021, respectively. The contracts are all short term in nature and all revenue is expected to be recognized within 12 months, or less. Following is a summary of activity for the deferred revenue account for the quarter ended June 30.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(6,013,181)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(3,361,479)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5,916,318</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3,523,824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March 31</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1,293,044</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448,140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(7,373,802)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(1,962,240)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7,122,677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1,833,709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1,041,919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319,609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is earned from life sciences companies, such as pharmaceutical and biotech companies, or medical device makers. A small portion of our revenue is earned from other sources, such as associations and technology companies. A break down is set forth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8"/>
                <w:szCs w:val="18"/>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Science Companies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13,138,681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13,313,044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26,519,358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24,256,404</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839,984</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312,595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1,190,837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598,446</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13,978,665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13,625,639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27,710,195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24,854,850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LEASES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operating leases for office space in two multitenant facilities with lease terms greater than 12 months, which are recorded as assets and liabilities on our condensed consolidated balance sheets. These leases include our corporate headquarters, located in Rochester, Michigan, and a technical facility in Zagreb, Croatia. We also had a lease on office space in Cranbury, New Jersey, which expired in January 2022. We did not renew the New Jersey lease. For leases that contain renewal options, we have only assumed renewal for the headquarters lease. 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and occasional rent for transient meeting and office spaces in shared office space facilities.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Company’s lease cost consists of the following components, each of which is included in operating expenses within the Company’s condensed consolidated statements of operations: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color w:val="auto"/>
        </w:rPr>
        <w:t>Three Months</w:t>
      </w:r>
    </w:p>
    <w:p>
      <w:pPr>
        <w:spacing w:after="0" w:line="27"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4" w:lineRule="exact"/>
        <w:rPr>
          <w:sz w:val="20"/>
          <w:szCs w:val="20"/>
          <w:color w:val="auto"/>
        </w:rPr>
      </w:pPr>
    </w:p>
    <w:p>
      <w:pPr>
        <w:ind w:left="645" w:hanging="645"/>
        <w:spacing w:after="0"/>
        <w:tabs>
          <w:tab w:leader="none" w:pos="64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23,333</w:t>
      </w:r>
    </w:p>
    <w:p>
      <w:pPr>
        <w:spacing w:after="0" w:line="38" w:lineRule="exact"/>
        <w:rPr>
          <w:rFonts w:ascii="Times New Roman" w:cs="Times New Roman" w:eastAsia="Times New Roman" w:hAnsi="Times New Roman"/>
          <w:sz w:val="17"/>
          <w:szCs w:val="17"/>
          <w:color w:val="auto"/>
        </w:rPr>
      </w:pPr>
    </w:p>
    <w:p>
      <w:pPr>
        <w:ind w:left="64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-260350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-5502910</wp:posOffset>
            </wp:positionH>
            <wp:positionV relativeFrom="paragraph">
              <wp:posOffset>21590</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0" w:lineRule="exact"/>
        <w:rPr>
          <w:sz w:val="20"/>
          <w:szCs w:val="20"/>
          <w:color w:val="auto"/>
        </w:rPr>
      </w:pPr>
    </w:p>
    <w:p>
      <w:pPr>
        <w:ind w:left="645" w:hanging="645"/>
        <w:spacing w:after="0"/>
        <w:tabs>
          <w:tab w:leader="none" w:pos="6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200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left="135" w:right="105"/>
        <w:spacing w:after="0" w:line="263" w:lineRule="auto"/>
        <w:rPr>
          <w:sz w:val="20"/>
          <w:szCs w:val="20"/>
          <w:color w:val="auto"/>
        </w:rPr>
      </w:pPr>
      <w:r>
        <w:rPr>
          <w:rFonts w:ascii="Times New Roman" w:cs="Times New Roman" w:eastAsia="Times New Roman" w:hAnsi="Times New Roman"/>
          <w:sz w:val="18"/>
          <w:szCs w:val="18"/>
          <w:color w:val="auto"/>
        </w:rPr>
        <w:t>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029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15" w:hanging="615"/>
        <w:spacing w:after="0"/>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49,747</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21,899</w:t>
      </w:r>
    </w:p>
    <w:p>
      <w:pPr>
        <w:spacing w:after="0" w:line="58" w:lineRule="exact"/>
        <w:rPr>
          <w:sz w:val="20"/>
          <w:szCs w:val="20"/>
          <w:color w:val="auto"/>
        </w:rPr>
      </w:pPr>
    </w:p>
    <w:p>
      <w:pPr>
        <w:ind w:left="615" w:hanging="615"/>
        <w:spacing w:after="0"/>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55" w:space="720"/>
            <w:col w:w="1125" w:space="225"/>
            <w:col w:w="1215"/>
          </w:cols>
          <w:pgMar w:left="320" w:top="873"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the future minimum lease payments to be made under operating leases as of June 30, 2022: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49,010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98,019</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80,177</w:t>
            </w:r>
          </w:p>
        </w:tc>
      </w:tr>
      <w:tr>
        <w:trPr>
          <w:trHeight w:val="23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70,224</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277,475</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remaining lease term at June 30, 2022 for operating leases is 3.2 years and the weighted average discount rate used in calculating the operating lease asset and liability is 4.5%. Cash paid for amounts included in the measurement of lease liabilities was $45,599 and $62,069 for the six months ended June 30, 2022 and 2021, respectively. For the six months ended June 30, 2022 and 2021, payments on lease obligations were $52,168 and $71,397, respectively, and amortization on the right of use assets was $52,662 and $60,013,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STOCKHOLDERS’ EQUITY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quarters ended June 30, 2022 and March 31, 2022, we issued 43,701 and 28,006 shares of our common stock, respectively, and received proceeds of $572,347 and $258,128, respectively, in connection with the exercise of stock options under our 2013 equity incentive plan.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quarters ended June 30, 2021 and March 31, 2021, we issued 232,806 shares and 510,803 shares of our common stock, respectively, and received proceeds of $1,590,767 and $1,120,011, respectively, in connection with the exercise of stock options under our 2013 equity incentive plan. Of the shares issued in the quarter ended March 31, 2021, a total of 368,329 shares were issued in a cashless transaction related to 394,739 expiring options using the net settled method whereby 26,410 options were used to pay the purchase price. The remaining 116,064 shares issued in connection with the exercise of options were all issued for cash.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2022, the Board authorized a share repurchase program, under which the Company may repurchase up to $20 million of its outstanding common stock. Through June 30, 2022, we repurchased 12,868 shares of our common stock for a total of $321,054. These shares were recorded as Treasury Shares using the par value method.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2021, in an underwritten primary offering, we issued 1,523,750 shares of our common stock for gross proceeds of $75,425,625. In connection with this transaction, we incurred equity issuance costs of $4,754,089 related to payments to the underwriter, advisors and legal fees associated with the transaction, resulting in net proceeds to the Company of $70,671,536.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previous director’s compensation plan called for issuance of shares of common stock each quarter to each independent director. In 2021, we issued 2,695 shares valued at $124,994 in the quarter ended March 31, 2021 and 2,035 shares valued at $125,091 in the quarter ended June 30, 2021. Our current non-employee director's compensation program calls for the grant of restricted stock units with a one year vesting period. Therefore, no shares were issued to our independent directors during the periods ending March 31 and June 30,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STOCK BASED COMPENSATION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 fair value method to account for stock-based compensation, including both options and restricted stock units. We recorded $2,242,553 and $954,434 in compensation expense in the six months ended June 30, 2022 and 2021, respectively, related to options issued under our equity compensation plans. This includes expense related to options issued in prior years for which the requisite service period for those options includes the current period as well as options issued in the current period. During the three months ended June 30, 2022, we granted certain performance based options, the expense for which will be recorded over time once the achievement of the performance is deemed probable. There was no expense related to these options recorded during the period. The fair value of these instruments was calculated using the Black-Scholes option pricing model. There is $12,883,915 of remaining expense related to unvested options to be recognized in the future over a weighted average period of 2.3 years. The total intrinsic value of outstanding options at June 30, 2022 was $4,451,689.</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$4,956,868 and $399,672 in compensation expense related to restricted stock units in the six months ended June 30, 2022 and 2021, respectively. These units vest over time, based on market conditions, or when certain performance requirements are met. We issued 13,627 shares during the period ended March 31, 2022 for restricted stock units vested. Of the $4,956,868 recorded in compensation expense, $3,023,422 is related to market-based equity grants. There was no expense recorded in relation to the performance based grants. The expense related to the market-based grants was calculated using a Monte Carlo simulation. There is $20,877,781 of remaining expense related to unvested restricted stock units to be recognized in the future over a weighted average period of 2.2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EARNINGS (LOSS) PER SHARE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by the weighted average number of common shares outstanding during the period.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shares related to options and restricted stock units included in diluted EPS is based on the “Treasury Stock Method” prescribed in ASC 260-10, Earnings per Share.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includable in the calculation of EPS in respect of the stock options and restricted stock units is dependent on this average stock price and will increase as the average stock price increases.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1"/>
              <w:spacing w:after="0" w:line="256" w:lineRule="exact"/>
              <w:rPr>
                <w:sz w:val="20"/>
                <w:szCs w:val="20"/>
                <w:color w:val="auto"/>
              </w:rPr>
            </w:pPr>
            <w:r>
              <w:rPr>
                <w:rFonts w:ascii="Times New Roman" w:cs="Times New Roman" w:eastAsia="Times New Roman" w:hAnsi="Times New Roman"/>
                <w:sz w:val="16"/>
                <w:szCs w:val="16"/>
                <w:color w:val="auto"/>
              </w:rPr>
              <w:t>(3,884,714</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352,100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(7,645,812</w:t>
            </w:r>
            <w:r>
              <w:rPr>
                <w:rFonts w:ascii="Times New Roman" w:cs="Times New Roman" w:eastAsia="Times New Roman" w:hAnsi="Times New Roman"/>
                <w:sz w:val="29"/>
                <w:szCs w:val="29"/>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(285,277</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used in computing 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18,122,500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17,347,096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18,000,958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16,720,114</w:t>
            </w: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Effect of dilutive stock options, warrants, and unvested restricted stock unit</w:t>
            </w:r>
          </w:p>
        </w:tc>
        <w:tc>
          <w:tcPr>
            <w:tcW w:w="200" w:type="dxa"/>
            <w:vAlign w:val="bottom"/>
          </w:tcPr>
          <w:p>
            <w:pPr>
              <w:spacing w:after="0"/>
              <w:rPr>
                <w:sz w:val="17"/>
                <w:szCs w:val="17"/>
                <w:color w:val="auto"/>
              </w:rPr>
            </w:pPr>
          </w:p>
        </w:tc>
        <w:tc>
          <w:tcPr>
            <w:tcW w:w="118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757,711</w:t>
            </w:r>
          </w:p>
        </w:tc>
        <w:tc>
          <w:tcPr>
            <w:tcW w:w="200" w:type="dxa"/>
            <w:vAlign w:val="bottom"/>
          </w:tcPr>
          <w:p>
            <w:pPr>
              <w:spacing w:after="0"/>
              <w:rPr>
                <w:sz w:val="17"/>
                <w:szCs w:val="17"/>
                <w:color w:val="auto"/>
              </w:rPr>
            </w:pPr>
          </w:p>
        </w:tc>
        <w:tc>
          <w:tcPr>
            <w:tcW w:w="11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96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18,122,500</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18,104,807</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18,000,958</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16,720,114</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1"/>
              <w:spacing w:after="0" w:line="256" w:lineRule="exact"/>
              <w:rPr>
                <w:sz w:val="20"/>
                <w:szCs w:val="20"/>
                <w:color w:val="auto"/>
              </w:rPr>
            </w:pPr>
            <w:r>
              <w:rPr>
                <w:rFonts w:ascii="Times New Roman" w:cs="Times New Roman" w:eastAsia="Times New Roman" w:hAnsi="Times New Roman"/>
                <w:sz w:val="16"/>
                <w:szCs w:val="16"/>
                <w:color w:val="auto"/>
              </w:rPr>
              <w:t>(0.21</w:t>
            </w:r>
            <w:r>
              <w:rPr>
                <w:rFonts w:ascii="Times New Roman" w:cs="Times New Roman" w:eastAsia="Times New Roman" w:hAnsi="Times New Roman"/>
                <w:sz w:val="29"/>
                <w:szCs w:val="29"/>
                <w:color w:val="auto"/>
                <w:vertAlign w:val="superscript"/>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(0.42</w:t>
            </w:r>
            <w:r>
              <w:rPr>
                <w:rFonts w:ascii="Times New Roman" w:cs="Times New Roman" w:eastAsia="Times New Roman" w:hAnsi="Times New Roman"/>
                <w:sz w:val="29"/>
                <w:szCs w:val="29"/>
                <w:color w:val="auto"/>
                <w:vertAlign w:val="superscript"/>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(0.02</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calculation of diluted earnings per share is included for 2022 or the six months ended June 30, 2021, as the effect of the calculation would be anti-dilutive.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common shares potentially issuable upon the exercise of certain options or for unvested restricted stock unit awards are reflected in the table below.</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Weighted average number of shares for the periods ended </w:t>
      </w:r>
      <w:r>
        <w:rPr>
          <w:rFonts w:ascii="Times New Roman" w:cs="Times New Roman" w:eastAsia="Times New Roman" w:hAnsi="Times New Roman"/>
          <w:sz w:val="18"/>
          <w:szCs w:val="18"/>
          <w:color w:val="auto"/>
        </w:rPr>
        <w:t>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Unvested restricted stock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currently involved in any material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41"/>
        </w:trPr>
        <w:tc>
          <w:tcPr>
            <w:tcW w:w="1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r>
      <w:tr>
        <w:trPr>
          <w:trHeight w:val="236"/>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427"/>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156,018</w:t>
            </w:r>
          </w:p>
        </w:tc>
        <w:tc>
          <w:tcPr>
            <w:tcW w:w="2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659,700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176,996</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652,103</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63,541</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77,221</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94,942</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219,559</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757,711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254,217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747,045</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00" w:lineRule="exact"/>
        <w:rPr>
          <w:sz w:val="20"/>
          <w:szCs w:val="20"/>
          <w:color w:val="auto"/>
        </w:rPr>
      </w:pPr>
    </w:p>
    <w:p>
      <w:pPr>
        <w:sectPr>
          <w:pgSz w:w="11900" w:h="16838" w:orient="portrait"/>
          <w:cols w:equalWidth="0" w:num="2">
            <w:col w:w="5320" w:space="660"/>
            <w:col w:w="5260"/>
          </w:cols>
          <w:pgMar w:left="320" w:top="873"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 on Form 10-K for the year ended December 31, 2021, we had net operating loss carry-forwards for federal income tax purposes of $26.4 million as of December 31, 2021. Accordingly, no federal income tax expense or benefit is recorded in the current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2022, we received proceeds of $219,630 and issued 68,751 shares of common stock in conjunction with the exercise of 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purchased 219,877 shares of our common stock for an average price of $22.91.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(or</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Shares that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216"/>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245"/>
        </w:trPr>
        <w:tc>
          <w:tcPr>
            <w:tcW w:w="5980" w:type="dxa"/>
            <w:vAlign w:val="bottom"/>
            <w:vMerge w:val="continue"/>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16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Programs (1)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Programs (1)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7/1/22 - 7/31/22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151,815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151,815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16,274,782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8/1/22 - 8/8/22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68,062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14,642,602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855-10, we have analyzed events and transactions that occurred subsequent to June 30, 2022 through the date these financial statements were issued and have determined that we do not have any other material subsequent events to disclose or recognize in these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Actual results could differ materially from those expressed in or implied by such forward-looking statements due to a variety of factors, including: disruptions to our business or the business of our customers due to the global pandemic; the inability to support our technology and scale our operations successfully, developing and implementing new and updated applications, features and services for our portals may be more difficult and expensive and take longer than expected; dependence on a concentrated group of customers; inability to maintain contracts with electronic prescription platforms,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candidates, complete acquisitions or integrate acquisitions successfully; inability to attract and retain key employees; economic, political, regulatory and other risks arising from our international operations; inability to protect our intellectual property; cybersecurity incidents; reduction in the performance, reliability and availability of our network infrastructure; lack of a consistent active trading market for our common stock; and volatility in the market price of our common stock.</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2021. Moreover, we operate in a rapidly changing and competitive environment. New risk factors emerge from time to time, and it is not possible for management to predict all such risk factors.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Corporation is a digital health technology company incorporated in the State of Nevada. We enable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COVID-19 pandemic has continued to create unprecedented challenges in the healthcare industry which has increased the demand for unique solutions ranging from access to accurate and timely information to increasing the accessibility of medications and care management. The COVID-19 pandemic did not have a material net impact on our financial statements during the first and second quarters of 2022. We continue to monitor the impact of COVID-19 on our operations and key stakeholders. The Company cannot reasonably predict the ultimate impact of the COVID-19 pandemic, including the extent of any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acceptance, safety and efficacy of vaccines, and global economic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Highlights through July 2022</w:t>
      </w:r>
    </w:p>
    <w:p>
      <w:pPr>
        <w:spacing w:after="0" w:line="22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sales of $14.0 million for the quarter ended June 30, 2022, a 2.59% increase over the same period in 2021.</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sales of $27.7 million for the six months ended June 30, 2022, a 11.49% increase over the same period in 2021.</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positive cash flow from operations of $4.4 million for the six months ended June 30,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EvinceMed platform and related assets.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new key performance indicators to increase transparency and provide investors additional ways to chart our ability to execute against our “land and expand” strategy.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Company’s first Environmental, Social and Governance (ESG)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developed a number of key performance indicators in the first quarter of the year and intend to monitor these going forward, to evaluate our business, measure our performance, identify trends affecting our business and make strategic decisions.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Average revenue per top 20 pharmaceutical manufacturer. </w:t>
      </w:r>
      <w:r>
        <w:rPr>
          <w:rFonts w:ascii="Times New Roman" w:cs="Times New Roman" w:eastAsia="Times New Roman" w:hAnsi="Times New Roman"/>
          <w:sz w:val="18"/>
          <w:szCs w:val="18"/>
          <w:color w:val="auto"/>
        </w:rPr>
        <w:t>Average revenue per top 20 pharmaceutical manufacturer is calculated by taking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the Company recognized through pharmaceutical manufacturers listed in Fierce Pharma’s “The top 20 pharma companies by 2020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believes it also provides investors with a transparent way to chart our progress in penetrating this important customer segment.</w:t>
      </w:r>
    </w:p>
    <w:p>
      <w:pPr>
        <w:spacing w:after="0" w:line="18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Rolling</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8660" w:val="left"/>
          <w:tab w:leader="none" w:pos="9060" w:val="left"/>
          <w:tab w:leader="none" w:pos="10000" w:val="left"/>
          <w:tab w:leader="none" w:pos="10400" w:val="left"/>
        </w:tabs>
        <w:rPr>
          <w:sz w:val="20"/>
          <w:szCs w:val="20"/>
          <w:color w:val="auto"/>
        </w:rPr>
      </w:pPr>
      <w:r>
        <w:rPr>
          <w:rFonts w:ascii="Times New Roman" w:cs="Times New Roman" w:eastAsia="Times New Roman" w:hAnsi="Times New Roman"/>
          <w:sz w:val="18"/>
          <w:szCs w:val="18"/>
          <w:color w:val="auto"/>
        </w:rPr>
        <w:t>Average revenue per top 20 pharmaceutical manufacturer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2,389,969</w:t>
        <w:tab/>
        <w:t>$</w:t>
      </w:r>
      <w:r>
        <w:rPr>
          <w:sz w:val="20"/>
          <w:szCs w:val="20"/>
          <w:color w:val="auto"/>
        </w:rPr>
        <w:tab/>
      </w:r>
      <w:r>
        <w:rPr>
          <w:rFonts w:ascii="Times New Roman" w:cs="Times New Roman" w:eastAsia="Times New Roman" w:hAnsi="Times New Roman"/>
          <w:sz w:val="18"/>
          <w:szCs w:val="18"/>
          <w:color w:val="auto"/>
        </w:rPr>
        <w:t>2,361,254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Percent of top 20 pharmaceutical manufacturers that are customers. </w:t>
      </w:r>
      <w:r>
        <w:rPr>
          <w:rFonts w:ascii="Times New Roman" w:cs="Times New Roman" w:eastAsia="Times New Roman" w:hAnsi="Times New Roman"/>
          <w:sz w:val="18"/>
          <w:szCs w:val="18"/>
          <w:color w:val="auto"/>
        </w:rPr>
        <w:t>Percent of top 20 pharmaceutical manufacturers that are customers is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taking the number of revenue generating customers that are pharmaceutical manufacturers listed in Fierce Pharma’s “The top 20 pharma companies by 2020 revenue” over the last 12 months, which is then divided by 20—which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The increase from twelve months ended June 30, 2021 to the twelve months ended June 30, 2022 reflects continued penetration into this core customer base and reflects two new top 20 pharma customers in the twelve months ended June 30, 2022.</w:t>
      </w:r>
    </w:p>
    <w:p>
      <w:pPr>
        <w:spacing w:after="0" w:line="18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Rolling</w:t>
      </w:r>
    </w:p>
    <w:p>
      <w:pPr>
        <w:spacing w:after="0" w:line="2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Percent of total revenue attributable to top 20 pharmaceutical manufacturers. </w:t>
      </w:r>
      <w:r>
        <w:rPr>
          <w:rFonts w:ascii="Times New Roman" w:cs="Times New Roman" w:eastAsia="Times New Roman" w:hAnsi="Times New Roman"/>
          <w:sz w:val="18"/>
          <w:szCs w:val="18"/>
          <w:color w:val="auto"/>
        </w:rPr>
        <w:t>Percent of total revenue attributable to top 20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is calculated by taking the total revenue the Company recognized through pharmaceutical manufacturers listed in Fierce Pharma’s “The top 20 pharma companies by 2020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w:t>
      </w:r>
    </w:p>
    <w:p>
      <w:pPr>
        <w:spacing w:after="0" w:line="183"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Rolling</w:t>
      </w:r>
    </w:p>
    <w:p>
      <w:pPr>
        <w:spacing w:after="0" w:line="2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Net revenue retention is a comparison of revenue generated from all customers in the previous twelve-month period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the twelve months ended June 30, 2021 was higher as a result of unplanned disruption to the industry caused by the Covid-19 pandemic. Our customers shifted funds previously designated for in-person events to digital marketing throughout the initial quarters of the pandemic. By the middle of 2021, while the pandemic continued, there was less disruption and customers shift towards digital solutions became more normalized.</w:t>
      </w:r>
    </w:p>
    <w:p>
      <w:pPr>
        <w:spacing w:after="0" w:line="18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Rolling</w:t>
      </w:r>
    </w:p>
    <w:p>
      <w:pPr>
        <w:spacing w:after="0" w:line="2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full-time employee. </w:t>
      </w:r>
      <w:r>
        <w:rPr>
          <w:rFonts w:ascii="Times New Roman" w:cs="Times New Roman" w:eastAsia="Times New Roman" w:hAnsi="Times New Roman"/>
          <w:sz w:val="18"/>
          <w:szCs w:val="18"/>
          <w:color w:val="auto"/>
        </w:rPr>
        <w:t>We define revenue per average full-time employee as total revenue over the last twelve months divided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has remained consistently strong in comparing year over year data.</w:t>
      </w:r>
    </w:p>
    <w:p>
      <w:pPr>
        <w:spacing w:after="0" w:line="18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Rolling</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8660" w:val="left"/>
          <w:tab w:leader="none" w:pos="9200" w:val="left"/>
          <w:tab w:leader="none" w:pos="10000" w:val="left"/>
          <w:tab w:leader="none" w:pos="10520" w:val="left"/>
        </w:tabs>
        <w:rPr>
          <w:sz w:val="20"/>
          <w:szCs w:val="20"/>
          <w:color w:val="auto"/>
        </w:rPr>
      </w:pPr>
      <w:r>
        <w:rPr>
          <w:rFonts w:ascii="Times New Roman" w:cs="Times New Roman" w:eastAsia="Times New Roman" w:hAnsi="Times New Roman"/>
          <w:sz w:val="18"/>
          <w:szCs w:val="18"/>
          <w:color w:val="auto"/>
        </w:rPr>
        <w:t>Revenue per average full-time employee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661,319</w:t>
        <w:tab/>
        <w:t>$</w:t>
      </w:r>
      <w:r>
        <w:rPr>
          <w:sz w:val="20"/>
          <w:szCs w:val="20"/>
          <w:color w:val="auto"/>
        </w:rPr>
        <w:tab/>
      </w:r>
      <w:r>
        <w:rPr>
          <w:rFonts w:ascii="Times New Roman" w:cs="Times New Roman" w:eastAsia="Times New Roman" w:hAnsi="Times New Roman"/>
          <w:sz w:val="18"/>
          <w:szCs w:val="18"/>
          <w:color w:val="auto"/>
        </w:rPr>
        <w:t>668,395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revenue for the three months ended June 30, 2022 was approximately $14.0 million, an increase of 2.6% over the approximately $13.6 million from the same period in 2021. Our total revenue for the six months ended June 30, 2022 was approximately $27.7 million, an increase of 11.5% over the approximately $24.9 million from the same period in 2021. The increased revenue resulted from increases in sales of our access solutions.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revenues will grow for the balance of 2022 as a result of the new clients we secured in the first half of the year as well as those we expect to pick up for the remainder of the year. In addition, we believe that the foundations we laid in the first half of the year, will result in steady growth for the second half of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 of revenue decreased from $5.6 million to $5.0 million primarily as a result of the solution and channel mix, in the quarter ended June 30, 2022, as compared to the same period in 2021. The cost of revenue for the six month period ended June 30, 2022 decreased from $10.7 million to $10.6 million, as compared to the same period in 2021. This improvement was a result of solution mix, both as it relates to solutions and the partners through which the messages are delivered and increases in the type of services we provide that are not subject to revenue share. Additional discussion is included in the gross margin section below.</w:t>
      </w:r>
    </w:p>
    <w:tbl>
      <w:tblPr>
        <w:tblLayout w:type="fixed"/>
        <w:tblInd w:w="0" w:type="dxa"/>
        <w:tblCellMar>
          <w:top w:w="0" w:type="dxa"/>
          <w:left w:w="0" w:type="dxa"/>
          <w:bottom w:w="0" w:type="dxa"/>
          <w:right w:w="0" w:type="dxa"/>
        </w:tblCellMar>
      </w:tblPr>
      <w:tr>
        <w:trPr>
          <w:trHeight w:val="201"/>
        </w:trPr>
        <w:tc>
          <w:tcPr>
            <w:tcW w:w="5840" w:type="dxa"/>
            <w:vAlign w:val="bottom"/>
          </w:tcPr>
          <w:p>
            <w:pPr>
              <w:spacing w:after="0"/>
              <w:rPr>
                <w:sz w:val="17"/>
                <w:szCs w:val="17"/>
                <w:color w:val="auto"/>
              </w:rPr>
            </w:pPr>
          </w:p>
        </w:tc>
        <w:tc>
          <w:tcPr>
            <w:tcW w:w="2760" w:type="dxa"/>
            <w:vAlign w:val="bottom"/>
            <w:gridSpan w:val="6"/>
          </w:tcPr>
          <w:p>
            <w:pPr>
              <w:jc w:val="center"/>
              <w:ind w:right="280"/>
              <w:spacing w:after="0" w:line="201" w:lineRule="exact"/>
              <w:rPr>
                <w:sz w:val="20"/>
                <w:szCs w:val="20"/>
                <w:color w:val="auto"/>
              </w:rPr>
            </w:pPr>
            <w:r>
              <w:rPr>
                <w:rFonts w:ascii="Times New Roman" w:cs="Times New Roman" w:eastAsia="Times New Roman" w:hAnsi="Times New Roman"/>
                <w:sz w:val="18"/>
                <w:szCs w:val="18"/>
                <w:color w:val="auto"/>
                <w:w w:val="99"/>
              </w:rPr>
              <w:t>For the Three Months Ended</w:t>
            </w:r>
          </w:p>
        </w:tc>
        <w:tc>
          <w:tcPr>
            <w:tcW w:w="2640" w:type="dxa"/>
            <w:vAlign w:val="bottom"/>
            <w:gridSpan w:val="5"/>
          </w:tcPr>
          <w:p>
            <w:pPr>
              <w:jc w:val="center"/>
              <w:ind w:right="180"/>
              <w:spacing w:after="0" w:line="201" w:lineRule="exact"/>
              <w:rPr>
                <w:sz w:val="20"/>
                <w:szCs w:val="20"/>
                <w:color w:val="auto"/>
              </w:rPr>
            </w:pPr>
            <w:r>
              <w:rPr>
                <w:rFonts w:ascii="Times New Roman" w:cs="Times New Roman" w:eastAsia="Times New Roman" w:hAnsi="Times New Roman"/>
                <w:sz w:val="18"/>
                <w:szCs w:val="18"/>
                <w:color w:val="auto"/>
                <w:w w:val="99"/>
              </w:rPr>
              <w:t>For the Six Months Ended</w:t>
            </w:r>
          </w:p>
        </w:tc>
      </w:tr>
      <w:tr>
        <w:trPr>
          <w:trHeight w:val="241"/>
        </w:trPr>
        <w:tc>
          <w:tcPr>
            <w:tcW w:w="5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8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reflected in the table above, our gross margin, which is the difference between our revenues and our cost of revenues, increased for the quarter ended June 30, 2022, compared with the prior year, as a result of solution mix. In general, there has been an increase in the percentage of activity flowing through our lower cost channels compared with a year ago. Additionally, revenue increases in our access solutions includes a much higher percentage of program design, which carries a higher margin than the delivery of the actual messages. We expect our gross margin to remain relatively constant for the balance of the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from approximately $7.7 million for the three months ended June 30, 2021 to approximately $12.9 million for the same period in 2022, an increase of approximately 67%. Operating expenses increased from approximately $14.5 million for the six months ended June 30, 2021 to approximately $24.8 million for the same period in 2022, an increase of approximately 71%. This increase in expense is due to investment in, and expansion of, our workforce to enable future growth. Stock based compensation, a noncash expense, had the greatest increase over prior year and is discussed in greater detail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detail of expenditures by major category is reflected in the table below.</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60" w:type="dxa"/>
            <w:vAlign w:val="bottom"/>
          </w:tcPr>
          <w:p>
            <w:pPr>
              <w:spacing w:after="0"/>
              <w:rPr>
                <w:sz w:val="24"/>
                <w:szCs w:val="24"/>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59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4,981,549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3,906,796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10,287,416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7,487,612</w:t>
            </w: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4,025,323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897,038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7,199,421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1,604,191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Contractors and Consultants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583,458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486,577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1,010,084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785,963</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206,478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317,996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Board Compensation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99,625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161,500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434,780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448,598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923,707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769,818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50,701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51,019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101,422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340,628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255,680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576,268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384,565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Infrastructure Costs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602,917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256,291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1,212,546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469,570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Integration Incentives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443,889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244,600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869,444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563,158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89,586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257,484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268,295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545,396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Facility, and Other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461,428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783,498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524,480</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578,117</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527,958</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1,049,656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1,054,138</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12,898,479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7,704,536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24,761,253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14,467,452</w:t>
            </w:r>
          </w:p>
        </w:tc>
        <w:tc>
          <w:tcPr>
            <w:tcW w:w="100" w:type="dxa"/>
            <w:vAlign w:val="bottom"/>
          </w:tcPr>
          <w:p>
            <w:pPr>
              <w:spacing w:after="0"/>
              <w:rPr>
                <w:sz w:val="22"/>
                <w:szCs w:val="22"/>
                <w:color w:val="auto"/>
              </w:rPr>
            </w:pPr>
          </w:p>
        </w:tc>
      </w:tr>
      <w:tr>
        <w:trPr>
          <w:trHeight w:val="21"/>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operating expense related to salaries, wages, and benefits and other human resource related costs is due to the expansion of our team to support additional growth. We expect our compensation expense for the remaining two quarters of 2022 to only be marginally higher to the expenses recognized for the period ended June 30, 2022. Since June 30, 2021, we have added to our staff in several key areas, including product development, sales, and IT, and the addition of our Chief Financial Officer/Chief Operations Officer. During the past 12 months we hired 26 net additional employees.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Stock-based compensation increased by $3.1 million from $0.9 million for the three months ended June 30, 2021 to $4.0 million for the same period in 2022 and by $5.6 million from $1.6 million for the six months ended June 30, 2021 to $7.2 million for the same period in 2022. Stock based compensation is awarded to all full-time employees upon their start date as well as to certain key employees to encourage high performance. In the fourth quarter of 2021, we issued a significant market-based grant with a requisite service period of less than 3 years. The expense for the market-based award is amortized over the expected service period. The impact on year to date expense is $3.0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Contractors and consultants increased compared to the same period in prior year as we have incurred consulting costs associated with building a scalable infrastructure and increased development work for customers and channels.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 expenses increased significantly as a result of relaxed travel restrictions related to the Covid-19 pandemic.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Professional fees increased 20% for the six month period over prior year primarily as a result of fees related to management’s assessment of internal controls and external audit fees due to Sarbanes-Oxley. Previously we were exempt from the Sarbanes-Oxley Act Section 404B requirement. For the three month period ended June 30, 2022, professional fees were consistent with the same period in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advertising and promotion increased over the same period prior year as we continue to invest in growth initiatives. The increase is also partially attributed to attendance at and sponsorships of in-person conferences in the first half of 2022 compared to virtual conferences from the first half of 2021 when travel and in-person events were still restricted.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Technology infrastructure costs increased due to continued investment in our operating systems to facilitate new products as well as the implementation of additional software products to increase efficiency and information dissemination.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Integration incentives, which represent payments to partners for access and/or exclusivity, increased because of new agreements signed in the second half of 2021. These payments are usually made in lump sums and expensed over the term of the contracts. These expenses are an important part of our ability to expand our network.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Data costs decreased from the same period in the prior year as we have continued to evaluate our data vendors and partner with the most effective and relevant providers.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All other variances in the table above are the result of normal fluctuations in activity.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operating expenses in the second half of 2022 to be marginally higher than that of the six month period ending June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a net loss of approximately $3.9 million for the three months ended June 30, 2022, as compared to net income of approximately $0.4 million during the same period in 2021. We had a net loss of approximately $7.6 million for the six months ended June 30, 2022, as compared to a net loss of approximately $0.3 million during the same period in 2021. The reasons and specific components associated with the change are discussed above. Overall, the net loss resulted from significant investments made in our people and technology infrastructure. The net loss reflected in the 2022 periods were effected by significant noncash expenses of $4.7 million and $8.3 million for the three and six month periods,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we had total current assets of approximately $110.4 million, compared with current liabilities of approximately $6.4 million, resulting in working capital of approximately $104.0 million and a current ratio of approximately 17.1 to 1. This represents an increase from our working capital of approximately $105.7 million and current ratio of 12.3 to 1 at December 31,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activities provided $4.4 million during the six months ended June 30, 2022, compared with $1.9 million in the same period in 2021. We had a net loss of $7.6 million for the six month period ended June 30, 2022, but non-cash expenses of $8.3 million and working capital generated by the collection of receivables offset the loss. The cash provided in the 2021 period was the result of our net loss increased by non-cash expenses, partially offset by working capital used in the reduction of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proceeds from financing activities of approximately $0.5 million during the six months ended June 30, 2022. We collected $0.8 million related to the exercise of stock options during the period, partially offset by $0.3 million used to repurchase 12,868 shares of common stock. For the same period in 2021, we raised $70.7 million in a public offering of our common stock as well as generated $2.7 million from the issuance of shares related to the exercise of stock options. These proceeds in 2021 were partially offset by the payment of $1.6 million in earnout payments from a previous acquisition.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funds generated from operations, together with existing cash, will be sufficient to finance our current operations and planned growth for the next twelve (12) months. In addition, we believe we can generate the cash needed to operate beyond the next 12 months from operations. However, we may seek additional debt or equity financing to supplement cash from operations to fund acquisitions or strategic partner relationships, make capital expenditures, and satisfy working capital needs. We currently have an effective shelf registration statement, which allows us to issue, in unlimited amounts, securities, including common stock, preferred stock, debt securities, warrants, and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2 to the Consolidated Financial Statements in the Annual Report on Form 10-K for the year ended December 31, 2021 (2021 Annual Report on Form 10-K). The accounting policies we used in preparing these financial statements are substantially consistent with those we applied in our 2021 Annual Report on Form 10-K. Our critical accounting policies are described in Management’s Discussion and Analysis included in the 2021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In December 2019, the FASB issued ASU No. 2019-12, </w:t>
      </w:r>
      <w:r>
        <w:rPr>
          <w:rFonts w:ascii="Times New Roman" w:cs="Times New Roman" w:eastAsia="Times New Roman" w:hAnsi="Times New Roman"/>
          <w:sz w:val="17"/>
          <w:szCs w:val="17"/>
          <w:i w:val="1"/>
          <w:iCs w:val="1"/>
          <w:color w:val="auto"/>
        </w:rPr>
        <w:t>Income Taxes (Topic 740): Simplifying the Accounting for Income Taxes</w:t>
      </w:r>
      <w:r>
        <w:rPr>
          <w:rFonts w:ascii="Times New Roman" w:cs="Times New Roman" w:eastAsia="Times New Roman" w:hAnsi="Times New Roman"/>
          <w:sz w:val="17"/>
          <w:szCs w:val="17"/>
          <w:color w:val="auto"/>
        </w:rPr>
        <w:t>. ASU 2019-12 is intended to improve consistent application and simplify the accounting for income taxes. ASU 2019-12 removes certain exceptions to the general principles in Topic 740 and clarifies and amends existing guidance. ASU 2019-12 was effective for annual and interim reporting periods beginning after December 15, 2020, with early adoption permitted. The adoption of this standard did not have a material effect on our financial position, results of operations, or cash flows.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ASU Topic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8"/>
          <w:szCs w:val="18"/>
          <w:color w:val="auto"/>
        </w:rPr>
        <w:t>,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Company is currently evaluating the effect of this pronouncement on its Consolidated Financial Statements, but it is not expected to have a material impact.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there were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market risk exposure related to foreign currency exchange rates. Market risk is the potential negative impact of adverse changes in these prices or rates on our Consolidated Financial Statements. We are subject to foreign currency exchange rate risk because we have foreign subsidiaries that are cost centers and pay certain expenses in foreign currencies. To manage exchange rate risk, we may enter into derivative contracts, however, historically, this risk has been insignificant and we have not entered into any derivative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that occurred during the quarter ended June 30, 2022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material pending legal proceeding.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items update the risk factors previously reported in PART 1, ITEM 1A, “Risk Factors” of our Annual Report on Form 10-K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the rapidly changing healthcare industry could adversely affect our business.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Most of our revenue is derived from pharmaceutical manufacturers and could be affected by changes affecting the broader healthcare industry, including decreased spending in the industry overall. General reductions in expenditures by healthcare industry participants could result from, among other things: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Government regulation or private initiatives that affect the manner in which healthcare industry participants interact with consumers and the general public;</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Government regulation prohibiting the use of coupons by patients covered by federally funded health insurance programs;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Consolidation of healthcare industry participants;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Reductions in governmental funding for healthcare;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Adverse changes in general business or economic conditions affecting healthcare industry participants.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general expenditures by industry participants remain the same or increase, developments in the healthcare industry may result in reduced spending in some or all of the specific market segments that we serve now or may serve in the future. For example, use of our solutions and services could be affected by: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decrease in the number of new drugs or medical devices coming to market;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decrease in marketing expenditures by pharmaceutical or medical device companies.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contracts with electronic prescription platforms, our business will suffer.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reliant upon our contracts with leading electronic prescribing (“ERx”) platforms and electronic health record (“EHR”) systems to generate our revenues received from customers. Such arrangements subject us to a number of risks, including the following:</w:t>
      </w:r>
    </w:p>
    <w:p>
      <w:pPr>
        <w:spacing w:after="0" w:line="162"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Our ERx and EHR partners may experience financial, regulatory or operational difficulties, which may impair their ability to focus on and fulfill their contract obligations to us;</w:t>
      </w:r>
    </w:p>
    <w:p>
      <w:pPr>
        <w:spacing w:after="0" w:line="161"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Legal disputes or disagreements, including the ownership of intellectual property, may occur with one or more of our ERx or EHR partners and may lead to lengthy and expensive litigation or arbitration;</w:t>
      </w:r>
    </w:p>
    <w:p>
      <w:pPr>
        <w:spacing w:after="0" w:line="161"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Significant changes in an ERx or EHR partner’s business strategy may adversely affect a partner’s willingness or ability to satisfy obligations under any such arrangement; and</w:t>
      </w:r>
    </w:p>
    <w:p>
      <w:pPr>
        <w:spacing w:after="0" w:line="161" w:lineRule="exact"/>
        <w:rPr>
          <w:sz w:val="20"/>
          <w:szCs w:val="20"/>
          <w:color w:val="auto"/>
        </w:rPr>
      </w:pPr>
    </w:p>
    <w:p>
      <w:pPr>
        <w:ind w:left="660" w:right="20" w:hanging="324"/>
        <w:spacing w:after="0" w:line="282" w:lineRule="auto"/>
        <w:rPr>
          <w:sz w:val="20"/>
          <w:szCs w:val="20"/>
          <w:color w:val="auto"/>
        </w:rPr>
      </w:pPr>
      <w:r>
        <w:rPr>
          <w:rFonts w:ascii="Times New Roman" w:cs="Times New Roman" w:eastAsia="Times New Roman" w:hAnsi="Times New Roman"/>
          <w:sz w:val="18"/>
          <w:szCs w:val="18"/>
          <w:color w:val="auto"/>
        </w:rPr>
        <w:t>– The failure of an ERx or EHR partner to provide accurate and complete financial information to us or to maintain adequate and effective internal control over its financial reporting may negatively affect our ability to meet our financial reporting obligations as required by the SEC; and</w:t>
      </w:r>
    </w:p>
    <w:p>
      <w:pPr>
        <w:spacing w:after="0" w:line="161" w:lineRule="exact"/>
        <w:rPr>
          <w:sz w:val="20"/>
          <w:szCs w:val="20"/>
          <w:color w:val="auto"/>
        </w:rPr>
      </w:pPr>
    </w:p>
    <w:p>
      <w:pPr>
        <w:ind w:left="660" w:right="20" w:hanging="324"/>
        <w:spacing w:after="0" w:line="282" w:lineRule="auto"/>
        <w:rPr>
          <w:sz w:val="20"/>
          <w:szCs w:val="20"/>
          <w:color w:val="auto"/>
        </w:rPr>
      </w:pPr>
      <w:r>
        <w:rPr>
          <w:rFonts w:ascii="Times New Roman" w:cs="Times New Roman" w:eastAsia="Times New Roman" w:hAnsi="Times New Roman"/>
          <w:sz w:val="18"/>
          <w:szCs w:val="18"/>
          <w:color w:val="auto"/>
        </w:rPr>
        <w:t>– An ERx or EHR partner could terminate the partnership arrangement, which could negatively impact our ability to sell our solutions and achieve revenues.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to maintain these relationships as well as diversify them. The inability to do so could adversely impact our business. We generated 53.9% and 52.7% of our revenue through our largest partner in 2021 and 2020,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factors discussed in PART I, ITEM 1A, “Risk Factors” in our Annual Report on Form 10-K for the year ended December 31, 2021 and the above risk factors, each of which could materially affect our business, financial condition or future results. Such risks are not the only risks we face. Additional risks and uncertainties not currently known to us or that we currently deem to be immaterial also may materially adversely affect our business, financial condition and/or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2022, we purchased shares of our common stock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Value)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Shares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25"/>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7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2"/>
          </w:tcPr>
          <w:p>
            <w:pPr>
              <w:jc w:val="center"/>
              <w:ind w:right="260"/>
              <w:spacing w:after="0" w:line="270" w:lineRule="exact"/>
              <w:rPr>
                <w:sz w:val="20"/>
                <w:szCs w:val="20"/>
                <w:color w:val="auto"/>
              </w:rPr>
            </w:pPr>
            <w:r>
              <w:rPr>
                <w:rFonts w:ascii="Times New Roman" w:cs="Times New Roman" w:eastAsia="Times New Roman" w:hAnsi="Times New Roman"/>
                <w:sz w:val="18"/>
                <w:szCs w:val="18"/>
                <w:b w:val="1"/>
                <w:bCs w:val="1"/>
                <w:color w:val="auto"/>
                <w:w w:val="96"/>
              </w:rPr>
              <w:t xml:space="preserve">Purchased </w:t>
            </w:r>
            <w:r>
              <w:rPr>
                <w:rFonts w:ascii="Times New Roman" w:cs="Times New Roman" w:eastAsia="Times New Roman" w:hAnsi="Times New Roman"/>
                <w:sz w:val="29"/>
                <w:szCs w:val="29"/>
                <w:b w:val="1"/>
                <w:bCs w:val="1"/>
                <w:color w:val="auto"/>
                <w:w w:val="96"/>
                <w:vertAlign w:val="superscript"/>
              </w:rPr>
              <w:t>(1)</w:t>
            </w:r>
          </w:p>
        </w:tc>
        <w:tc>
          <w:tcPr>
            <w:tcW w:w="1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2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9"/>
                <w:szCs w:val="29"/>
                <w:b w:val="1"/>
                <w:bCs w:val="1"/>
                <w:color w:val="auto"/>
                <w:w w:val="95"/>
                <w:vertAlign w:val="superscript"/>
              </w:rPr>
              <w:t>(1)</w:t>
            </w:r>
          </w:p>
        </w:tc>
        <w:tc>
          <w:tcPr>
            <w:tcW w:w="1220" w:type="dxa"/>
            <w:vAlign w:val="bottom"/>
            <w:gridSpan w:val="3"/>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3"/>
              </w:rPr>
              <w:t xml:space="preserve">Programs </w:t>
            </w:r>
            <w:r>
              <w:rPr>
                <w:rFonts w:ascii="Times New Roman" w:cs="Times New Roman" w:eastAsia="Times New Roman" w:hAnsi="Times New Roman"/>
                <w:sz w:val="29"/>
                <w:szCs w:val="29"/>
                <w:b w:val="1"/>
                <w:bCs w:val="1"/>
                <w:color w:val="auto"/>
                <w:w w:val="93"/>
                <w:vertAlign w:val="superscript"/>
              </w:rPr>
              <w:t>(1)</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4/1/22 - 4/30/22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5/1/22 - 5/31/22</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19,937,706</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6/1/22 - 6/30/22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10,375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19,679,204</w:t>
            </w:r>
          </w:p>
        </w:tc>
      </w:tr>
    </w:tbl>
    <w:p>
      <w:pPr>
        <w:spacing w:after="0" w:line="198" w:lineRule="exact"/>
        <w:rPr>
          <w:sz w:val="20"/>
          <w:szCs w:val="20"/>
          <w:color w:val="auto"/>
        </w:rPr>
      </w:pPr>
    </w:p>
    <w:p>
      <w:pPr>
        <w:jc w:val="both"/>
        <w:ind w:firstLine="8"/>
        <w:spacing w:after="0" w:line="258" w:lineRule="auto"/>
        <w:tabs>
          <w:tab w:leader="none" w:pos="2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17, 2022, we announced that our Board of Directors had authorized the repurchase of up to $20 million of our outstanding common stock. Under this program, share repurchases may be made from time to time depending on market conditions, share price and availability and other factors at our discretion. This stock repurchase authorization expires on the earlier of May 17, 2023, or when the repurchase of $20 million of shares of our common stock has been reached. Our stock repurchases may take place in open market transactions or privately negotiated transactions in accordance with applicable securities and other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4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 adopted pursuant to Section 906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5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3920" w:type="dxa"/>
            <w:vAlign w:val="bottom"/>
          </w:tcPr>
          <w:p>
            <w:pPr>
              <w:spacing w:after="0"/>
              <w:rPr>
                <w:sz w:val="18"/>
                <w:szCs w:val="18"/>
                <w:color w:val="auto"/>
              </w:rPr>
            </w:pPr>
          </w:p>
        </w:tc>
      </w:t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4"/>
        </w:trPr>
        <w:tc>
          <w:tcPr>
            <w:tcW w:w="7320" w:type="dxa"/>
            <w:vAlign w:val="bottom"/>
          </w:tcPr>
          <w:p>
            <w:pPr>
              <w:spacing w:after="0"/>
              <w:rPr>
                <w:sz w:val="16"/>
                <w:szCs w:val="16"/>
                <w:color w:val="auto"/>
              </w:rPr>
            </w:pPr>
          </w:p>
        </w:tc>
        <w:tc>
          <w:tcPr>
            <w:tcW w:w="3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414"/>
        </w:trPr>
        <w:tc>
          <w:tcPr>
            <w:tcW w:w="11240" w:type="dxa"/>
            <w:vAlign w:val="bottom"/>
            <w:gridSpan w:val="2"/>
          </w:tcPr>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3920" w:type="dxa"/>
            <w:vAlign w:val="bottom"/>
          </w:tcPr>
          <w:p>
            <w:pPr>
              <w:spacing w:after="0"/>
              <w:rPr>
                <w:sz w:val="18"/>
                <w:szCs w:val="18"/>
                <w:color w:val="auto"/>
              </w:rPr>
            </w:pPr>
          </w:p>
        </w:tc>
      </w:t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4"/>
        </w:trPr>
        <w:tc>
          <w:tcPr>
            <w:tcW w:w="7320" w:type="dxa"/>
            <w:vAlign w:val="bottom"/>
          </w:tcPr>
          <w:p>
            <w:pPr>
              <w:spacing w:after="0"/>
              <w:rPr>
                <w:sz w:val="16"/>
                <w:szCs w:val="16"/>
                <w:color w:val="auto"/>
              </w:rPr>
            </w:pPr>
          </w:p>
        </w:tc>
        <w:tc>
          <w:tcPr>
            <w:tcW w:w="3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Edward Stelmakh</w:t>
            </w:r>
          </w:p>
        </w:tc>
      </w:tr>
      <w:tr>
        <w:trPr>
          <w:trHeight w:val="216"/>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 and</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Operations Officer</w:t>
            </w:r>
          </w:p>
        </w:tc>
      </w:tr>
      <w:tr>
        <w:trPr>
          <w:trHeight w:val="238"/>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2022 of OptimizeRx 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William J. Febbo</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Stelmakh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2022 of OptimizeRx 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Edward Stelmakh</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OptimizeRx Corp (the “Company”) on Form 10-Q for the quarter ended June 30, 2022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Willian J Febbo</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August 9, 2022</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August 9, 2022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6"/>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endash "/>
      <w:numFmt w:val="bullet"/>
      <w:start w:val="1"/>
    </w:lvl>
  </w:abstractNum>
  <w:abstractNum w:abstractNumId="11">
    <w:nsid w:val="7FDCC233"/>
    <w:multiLevelType w:val="hybridMultilevel"/>
    <w:lvl w:ilvl="0">
      <w:lvlJc w:val="left"/>
      <w:lvlText w:val="\endash "/>
      <w:numFmt w:val="bullet"/>
      <w:start w:val="1"/>
    </w:lvl>
  </w:abstractNum>
  <w:abstractNum w:abstractNumId="12">
    <w:nsid w:val="1BEFD79F"/>
    <w:multiLevelType w:val="hybridMultilevel"/>
    <w:lvl w:ilvl="0">
      <w:lvlJc w:val="left"/>
      <w:lvlText w:val="\endash "/>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2022-08-09T19:59:43Z</dcterms:created>
  <dcterms:modified xsi:type="dcterms:W3CDTF">2022-08-09T19:59:43Z</dcterms:modified>
</cp:coreProperties>
</file>