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Silvestro Stephen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8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94"/>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8"/>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03/01/2025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9"/>
              </w:rPr>
              <w:t>1,928</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121,886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03/01/2025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0"/>
              </w:rPr>
              <w:t>572</w:t>
            </w:r>
            <w:r>
              <w:rPr>
                <w:rFonts w:ascii="Times New Roman" w:cs="Times New Roman" w:eastAsia="Times New Roman" w:hAnsi="Times New Roman"/>
                <w:sz w:val="21"/>
                <w:szCs w:val="21"/>
                <w:color w:val="008000"/>
                <w:w w:val="90"/>
                <w:vertAlign w:val="superscript"/>
              </w:rPr>
              <w:t>(2)</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5.18</w:t>
            </w:r>
          </w:p>
        </w:tc>
        <w:tc>
          <w:tcPr>
            <w:tcW w:w="13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121,314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1,928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03/01/2025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1,928</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OptimizeRx common stock.</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in three equal annual installments beginning March 1, 2023,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03/04/2025</w:t>
            </w: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260" w:type="dxa"/>
            <w:vAlign w:val="bottom"/>
            <w:tcBorders>
              <w:bottom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46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2025-03-04T08:19:52Z</dcterms:created>
  <dcterms:modified xsi:type="dcterms:W3CDTF">2025-03-04T08:19:52Z</dcterms:modified>
</cp:coreProperties>
</file>