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29,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0"/>
              </w:rPr>
              <w:t>Nevada</w:t>
            </w:r>
          </w:p>
        </w:tc>
        <w:tc>
          <w:tcPr>
            <w:tcW w:w="3020" w:type="dxa"/>
            <w:vAlign w:val="bottom"/>
            <w:gridSpan w:val="3"/>
          </w:tcPr>
          <w:p>
            <w:pPr>
              <w:jc w:val="right"/>
              <w:ind w:right="1440"/>
              <w:spacing w:after="0"/>
              <w:rPr>
                <w:sz w:val="20"/>
                <w:szCs w:val="20"/>
                <w:color w:val="auto"/>
              </w:rPr>
            </w:pPr>
            <w:r>
              <w:rPr>
                <w:rFonts w:ascii="Arial" w:cs="Arial" w:eastAsia="Arial" w:hAnsi="Arial"/>
                <w:sz w:val="18"/>
                <w:szCs w:val="18"/>
                <w:color w:val="auto"/>
              </w:rPr>
              <w:t>000-53605</w:t>
            </w:r>
          </w:p>
        </w:tc>
        <w:tc>
          <w:tcPr>
            <w:tcW w:w="2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30"/>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020" w:type="dxa"/>
            <w:vAlign w:val="bottom"/>
            <w:tcBorders>
              <w:top w:val="single" w:sz="8" w:color="auto"/>
            </w:tcBorders>
            <w:gridSpan w:val="3"/>
          </w:tcPr>
          <w:p>
            <w:pPr>
              <w:jc w:val="center"/>
              <w:ind w:right="640"/>
              <w:spacing w:after="0"/>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25"/>
        </w:trPr>
        <w:tc>
          <w:tcPr>
            <w:tcW w:w="45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color w:val="auto"/>
                <w:w w:val="90"/>
              </w:rPr>
              <w:t>400 Water Street, Suite 200, Rochester, MI</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454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9"/>
        </w:trPr>
        <w:tc>
          <w:tcPr>
            <w:tcW w:w="464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31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Nasdaq Capital Market</w:t>
            </w:r>
          </w:p>
        </w:tc>
      </w:tr>
      <w:tr>
        <w:trPr>
          <w:trHeight w:val="270"/>
        </w:trPr>
        <w:tc>
          <w:tcPr>
            <w:tcW w:w="36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r>
      <w:tr>
        <w:trPr>
          <w:trHeight w:val="28"/>
        </w:trPr>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790"/>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January 29, 2020, we issued a press release announcing an enterprise deal under our new platform.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January 29,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780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29, 2020</w:t>
      </w:r>
    </w:p>
    <w:p>
      <w:pPr>
        <w:spacing w:after="0" w:line="200" w:lineRule="exact"/>
        <w:rPr>
          <w:sz w:val="20"/>
          <w:szCs w:val="20"/>
          <w:color w:val="auto"/>
        </w:rPr>
      </w:pPr>
    </w:p>
    <w:p>
      <w:pPr>
        <w:spacing w:after="0" w:line="34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165735</wp:posOffset>
            </wp:positionV>
            <wp:extent cx="2186940"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8694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Seals Multi-Million Dollar Enterprise Deal for Integrated Platform</w:t>
      </w:r>
    </w:p>
    <w:p>
      <w:pPr>
        <w:spacing w:after="0" w:line="26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ROCHESTER, Mich. – January 29, 2020 – </w:t>
      </w:r>
      <w:r>
        <w:rPr>
          <w:rFonts w:ascii="Arial" w:cs="Arial" w:eastAsia="Arial" w:hAnsi="Arial"/>
          <w:sz w:val="18"/>
          <w:szCs w:val="18"/>
          <w:color w:val="auto"/>
        </w:rPr>
        <w:t>OptimizeRx Corp. (Nasdaq: OPRX), a leading provider of digital health solutions for life science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and payers, has sealed its largest ever enterprise deal for 12 months of access to its platform and core set of solutions.</w:t>
      </w:r>
    </w:p>
    <w:p>
      <w:pPr>
        <w:spacing w:after="0" w:line="166"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“We are excited at our client’s receptivity to enterprise engagements with our platform as we have integrated all of our existing and new offerings onto a single platform with touchpoints throughout the care journey,” said OptimizeRx Chief Commerical Officer Steve Silvestro. “This comprehensive solution further lowers the barriers that have prevented providers and healthcare consumers from achieving the best possible care outcomes. Additionally, we are seeing very strong performance results for our clients stemming from improved interoperability between our point-of-care and direct-to-patient communications, all working together to deliver improved outcomes.”</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new platform enables unprecedented transparency into patient medication behavior as well as provides access to patient-provider-pharma communication across the care continuum and in a variety of care settings. Pharmaceutical companies, healthcare providers and payers are now better able to efficiently and effectively address patient medication affordability and therapeutic adherence.</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we discussed in the last earnings call,” continued Silvestro, "we have a strong pipeline of opportunities and this enterprise deal is the first of a few deals we’ll announce which bring us back to the high growth expected from our emerging growth company.”</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platform is integrated within the workflows of some of the world’s largest electronic health record (EHR) platforms in ambulatory settings and a growing number of hospitals and health systems. Providers can deliver patient support and relevant brand engagement beyond e-couponing at earlier stages of the patient’s journey to support adherence and better outcomes.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Through the platform’s intelligent integration of real-time data and communication, life science companies can align messaging to specific kinds of providers and patient populations, provide greater transparency, and more effectively reach patients at the point-of-care and beyond.</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OptimizeRx CEO Will Febbo commented: “This is a major milestone for our company and it reflects the increasing interest by our clients for enterprise deals that provide access to our now fully-integrated communications platform. As we continue to address the industry need for greater stakeholder collaboration across the care continuum, with the goal of improving care outcomes in a technology-forward and harmonious way, we are seeing the adoption of our platform exceed our internal projections.”</w:t>
      </w:r>
    </w:p>
    <w:p>
      <w:pPr>
        <w:spacing w:after="0" w:line="2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digital platform connecting life sciences to the point-of-care, OptimizeRx provides a direct channel for pharma companies, payers, medtech, medical associations to communicate with healthcare providers right within their workflow and also directly to patients.</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 and digital therapeutics SaaS platform.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2020-01-29T16:30:54Z</dcterms:created>
  <dcterms:modified xsi:type="dcterms:W3CDTF">2020-01-29T16:30:54Z</dcterms:modified>
</cp:coreProperties>
</file>