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________)*</w:t>
      </w:r>
    </w:p>
    <w:p>
      <w:pPr>
        <w:spacing w:after="0" w:line="237" w:lineRule="auto"/>
        <w:rPr>
          <w:sz w:val="20"/>
          <w:szCs w:val="20"/>
          <w:color w:val="auto"/>
        </w:rPr>
      </w:pPr>
      <w:r>
        <w:rPr>
          <w:rFonts w:ascii="Courier New" w:cs="Courier New" w:eastAsia="Courier New" w:hAnsi="Courier New"/>
          <w:sz w:val="18"/>
          <w:szCs w:val="18"/>
          <w:color w:val="auto"/>
        </w:rPr>
        <w:t>OptimizeRx Corporation</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Common stock, par value $0.001 per share</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68401U105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Harvey L. Poppel</w:t>
      </w:r>
    </w:p>
    <w:p>
      <w:pPr>
        <w:spacing w:after="0" w:line="237" w:lineRule="auto"/>
        <w:rPr>
          <w:sz w:val="20"/>
          <w:szCs w:val="20"/>
          <w:color w:val="auto"/>
        </w:rPr>
      </w:pPr>
      <w:r>
        <w:rPr>
          <w:rFonts w:ascii="Courier New" w:cs="Courier New" w:eastAsia="Courier New" w:hAnsi="Courier New"/>
          <w:sz w:val="18"/>
          <w:szCs w:val="18"/>
          <w:color w:val="auto"/>
        </w:rPr>
        <w:t>110 El Mirasol</w:t>
      </w:r>
    </w:p>
    <w:p>
      <w:pPr>
        <w:spacing w:after="0"/>
        <w:rPr>
          <w:sz w:val="20"/>
          <w:szCs w:val="20"/>
          <w:color w:val="auto"/>
        </w:rPr>
      </w:pPr>
      <w:r>
        <w:rPr>
          <w:rFonts w:ascii="Courier New" w:cs="Courier New" w:eastAsia="Courier New" w:hAnsi="Courier New"/>
          <w:sz w:val="18"/>
          <w:szCs w:val="18"/>
          <w:color w:val="auto"/>
        </w:rPr>
        <w:t>Palm Beach, Florida 33480</w:t>
      </w:r>
    </w:p>
    <w:p>
      <w:pPr>
        <w:spacing w:after="0" w:line="237" w:lineRule="auto"/>
        <w:rPr>
          <w:sz w:val="20"/>
          <w:szCs w:val="20"/>
          <w:color w:val="auto"/>
        </w:rPr>
      </w:pPr>
      <w:r>
        <w:rPr>
          <w:rFonts w:ascii="Courier New" w:cs="Courier New" w:eastAsia="Courier New" w:hAnsi="Courier New"/>
          <w:sz w:val="18"/>
          <w:szCs w:val="18"/>
          <w:color w:val="auto"/>
        </w:rPr>
        <w:t>561-653-8000</w:t>
      </w:r>
    </w:p>
    <w:p>
      <w:pPr>
        <w:spacing w:after="0" w:line="5" w:lineRule="exact"/>
        <w:rPr>
          <w:sz w:val="24"/>
          <w:szCs w:val="24"/>
          <w:color w:val="auto"/>
        </w:rPr>
      </w:pPr>
    </w:p>
    <w:p>
      <w:pPr>
        <w:ind w:right="5059"/>
        <w:spacing w:after="0" w:line="236"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 April 25, 2014</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4"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 under Rule 13d-1(b)</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Harvey L. Poppel</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(1)</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rPr>
          <w:sz w:val="20"/>
          <w:szCs w:val="20"/>
          <w:color w:val="auto"/>
        </w:rPr>
      </w:pPr>
      <w:r>
        <w:rPr>
          <w:rFonts w:ascii="Courier New" w:cs="Courier New" w:eastAsia="Courier New" w:hAnsi="Courier New"/>
          <w:sz w:val="18"/>
          <w:szCs w:val="18"/>
          <w:color w:val="auto"/>
        </w:rPr>
        <w:t>Florida, U.S.</w:t>
      </w:r>
    </w:p>
    <w:p>
      <w:pPr>
        <w:ind w:left="320" w:hanging="312"/>
        <w:spacing w:after="0" w:line="237"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4"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1,235,650 (2)</w:t>
      </w:r>
    </w:p>
    <w:p>
      <w:pPr>
        <w:spacing w:after="0" w:line="1"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1,235,650 (2)</w:t>
      </w:r>
    </w:p>
    <w:p>
      <w:pPr>
        <w:spacing w:after="0" w:line="5"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1,235,650 (2)</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5.42% (3)</w:t>
      </w:r>
    </w:p>
    <w:p>
      <w:pPr>
        <w:ind w:left="420"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7" w:lineRule="exact"/>
        <w:rPr>
          <w:sz w:val="24"/>
          <w:szCs w:val="24"/>
          <w:color w:val="auto"/>
        </w:rPr>
      </w:pPr>
    </w:p>
    <w:p>
      <w:pPr>
        <w:ind w:right="357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Schedule 13G is filed by Harvey L. Poppel on behalf of Harvey L. Poppel,</w:t>
      </w:r>
    </w:p>
    <w:p>
      <w:pPr>
        <w:spacing w:after="0" w:line="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Harvey L. Poppel IRA, Dr. Clinton S. Poppel and Poptech, LP</w:t>
      </w:r>
    </w:p>
    <w:p>
      <w:pPr>
        <w:spacing w:after="0" w:line="4" w:lineRule="exact"/>
        <w:rPr>
          <w:rFonts w:ascii="Courier New" w:cs="Courier New" w:eastAsia="Courier New" w:hAnsi="Courier New"/>
          <w:sz w:val="18"/>
          <w:szCs w:val="18"/>
          <w:color w:val="auto"/>
        </w:rPr>
      </w:pPr>
    </w:p>
    <w:p>
      <w:pPr>
        <w:ind w:right="2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Family Limited Partnership controlled by Harvey L. &amp; Emily A. Poppel. Harvey L. Poppel expressly disclaims status as a group for purposes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Schedule 13G.</w:t>
      </w:r>
    </w:p>
    <w:p>
      <w:pPr>
        <w:spacing w:after="0" w:line="4" w:lineRule="exact"/>
        <w:rPr>
          <w:rFonts w:ascii="Courier New" w:cs="Courier New" w:eastAsia="Courier New" w:hAnsi="Courier New"/>
          <w:sz w:val="18"/>
          <w:szCs w:val="18"/>
          <w:color w:val="auto"/>
        </w:rPr>
      </w:pPr>
    </w:p>
    <w:p>
      <w:pPr>
        <w:ind w:right="2519" w:firstLine="8"/>
        <w:spacing w:after="0" w:line="23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total which includes 1,183,400 common shares and 52,250 warrants convertible to common shares are held directly by Harvey L Poppel, Harvey L. Poppel IRA, Dr. Clinton S. Poppel and Poptech, LP</w:t>
      </w:r>
    </w:p>
    <w:p>
      <w:pPr>
        <w:spacing w:after="0" w:line="6" w:lineRule="exact"/>
        <w:rPr>
          <w:rFonts w:ascii="Courier New" w:cs="Courier New" w:eastAsia="Courier New" w:hAnsi="Courier New"/>
          <w:sz w:val="18"/>
          <w:szCs w:val="18"/>
          <w:color w:val="auto"/>
        </w:rPr>
      </w:pPr>
    </w:p>
    <w:p>
      <w:pPr>
        <w:ind w:right="2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Family Limited Partnership controlled by Harvey L. &amp; Emily A. Poppel who are the sole members of Poptech, LLC. Poptech, LLC is the sole General Partner of Poptech, LP.</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Poptech, LLC does not directly own any securities of the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Poptech, LLC may be deemed to have shared power to vote or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direct the vote of, and to dispose or direct the disposition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of the Issuer held by</w:t>
      </w:r>
    </w:p>
    <w:p>
      <w:pPr>
        <w:spacing w:after="0" w:line="238" w:lineRule="auto"/>
        <w:rPr>
          <w:sz w:val="20"/>
          <w:szCs w:val="20"/>
          <w:color w:val="auto"/>
        </w:rPr>
      </w:pPr>
      <w:r>
        <w:rPr>
          <w:rFonts w:ascii="Courier New" w:cs="Courier New" w:eastAsia="Courier New" w:hAnsi="Courier New"/>
          <w:sz w:val="18"/>
          <w:szCs w:val="18"/>
          <w:color w:val="auto"/>
        </w:rPr>
        <w:t>Poptech, LP but disclaim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beneficial ownership except to their pecuniary interest therein</w:t>
      </w:r>
    </w:p>
    <w:p>
      <w:pPr>
        <w:spacing w:after="0" w:line="4" w:lineRule="exact"/>
        <w:rPr>
          <w:sz w:val="24"/>
          <w:szCs w:val="24"/>
          <w:color w:val="auto"/>
        </w:rPr>
      </w:pPr>
    </w:p>
    <w:p>
      <w:pPr>
        <w:ind w:right="219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percentage is calculated based upon 22,809,586 voting shares of the Issuers common stock outstanding as of March 31, 2014,</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reported in the Issuers Form S-1 for the period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April 9, 2014 as filed with the Securities and Exchange Commission.</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(a) Name of Issuer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Corporation</w:t>
      </w:r>
    </w:p>
    <w:p>
      <w:pPr>
        <w:sectPr>
          <w:pgSz w:w="11900" w:h="16855" w:orient="portrait"/>
          <w:cols w:equalWidth="0" w:num="1">
            <w:col w:w="10219"/>
          </w:cols>
          <w:pgMar w:left="240" w:top="244" w:right="1440" w:bottom="0" w:gutter="0" w:footer="0" w:header="0"/>
          <w:type w:val="continuous"/>
        </w:sectPr>
      </w:pPr>
    </w:p>
    <w:bookmarkStart w:id="1" w:name="page2"/>
    <w:bookmarkEnd w:id="1"/>
    <w:p>
      <w:pPr>
        <w:ind w:right="5059"/>
        <w:spacing w:after="0" w:line="235" w:lineRule="auto"/>
        <w:rPr>
          <w:sz w:val="20"/>
          <w:szCs w:val="20"/>
          <w:color w:val="auto"/>
        </w:rPr>
      </w:pPr>
      <w:r>
        <w:rPr>
          <w:rFonts w:ascii="Courier New" w:cs="Courier New" w:eastAsia="Courier New" w:hAnsi="Courier New"/>
          <w:sz w:val="18"/>
          <w:szCs w:val="18"/>
          <w:color w:val="auto"/>
        </w:rPr>
        <w:t>(b)Address of Issuers Principal Executive Offices 400 Water St.</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Ste.</w:t>
            </w:r>
          </w:p>
        </w:tc>
        <w:tc>
          <w:tcPr>
            <w:tcW w:w="1580" w:type="dxa"/>
            <w:vAlign w:val="bottom"/>
          </w:tcPr>
          <w:p>
            <w:pPr>
              <w:jc w:val="right"/>
              <w:ind w:right="1112"/>
              <w:spacing w:after="0"/>
              <w:rPr>
                <w:sz w:val="20"/>
                <w:szCs w:val="20"/>
                <w:color w:val="auto"/>
              </w:rPr>
            </w:pPr>
            <w:r>
              <w:rPr>
                <w:rFonts w:ascii="Courier New" w:cs="Courier New" w:eastAsia="Courier New" w:hAnsi="Courier New"/>
                <w:sz w:val="18"/>
                <w:szCs w:val="18"/>
                <w:color w:val="auto"/>
              </w:rPr>
              <w:t>200</w:t>
            </w:r>
          </w:p>
        </w:tc>
        <w:tc>
          <w:tcPr>
            <w:tcW w:w="1420" w:type="dxa"/>
            <w:vAlign w:val="bottom"/>
          </w:tcPr>
          <w:p>
            <w:pPr>
              <w:spacing w:after="0"/>
              <w:rPr>
                <w:sz w:val="17"/>
                <w:szCs w:val="17"/>
                <w:color w:val="auto"/>
              </w:rPr>
            </w:pPr>
          </w:p>
        </w:tc>
      </w:tr>
      <w:tr>
        <w:trPr>
          <w:trHeight w:val="203"/>
        </w:trPr>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Rochester, Michigan</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48307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 (a) Name of</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Person Filing</w:t>
            </w:r>
          </w:p>
        </w:tc>
      </w:tr>
      <w:tr>
        <w:trPr>
          <w:trHeight w:val="203"/>
        </w:trPr>
        <w:tc>
          <w:tcPr>
            <w:tcW w:w="4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Harvey</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 Poppel</w:t>
            </w:r>
          </w:p>
        </w:tc>
      </w:tr>
    </w:tbl>
    <w:p>
      <w:pPr>
        <w:spacing w:after="0" w:line="4" w:lineRule="exact"/>
        <w:rPr>
          <w:sz w:val="20"/>
          <w:szCs w:val="20"/>
          <w:color w:val="auto"/>
        </w:rPr>
      </w:pPr>
    </w:p>
    <w:p>
      <w:pPr>
        <w:ind w:left="1380" w:right="3359" w:hanging="635"/>
        <w:spacing w:after="0" w:line="235" w:lineRule="auto"/>
        <w:tabs>
          <w:tab w:leader="none" w:pos="11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the Principal Office or, if none, residence 110 El Mirasol</w:t>
      </w:r>
    </w:p>
    <w:p>
      <w:pPr>
        <w:ind w:left="1380"/>
        <w:spacing w:after="0"/>
        <w:rPr>
          <w:sz w:val="20"/>
          <w:szCs w:val="20"/>
          <w:color w:val="auto"/>
        </w:rPr>
      </w:pPr>
      <w:r>
        <w:rPr>
          <w:rFonts w:ascii="Courier New" w:cs="Courier New" w:eastAsia="Courier New" w:hAnsi="Courier New"/>
          <w:sz w:val="18"/>
          <w:szCs w:val="18"/>
          <w:color w:val="auto"/>
        </w:rPr>
        <w:t>Palm Beach, Florida, 33480</w:t>
      </w:r>
    </w:p>
    <w:p>
      <w:pPr>
        <w:ind w:left="740"/>
        <w:spacing w:after="0" w:line="238" w:lineRule="auto"/>
        <w:tabs>
          <w:tab w:leader="none" w:pos="136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Citizenship U.S.</w:t>
      </w:r>
    </w:p>
    <w:p>
      <w:pPr>
        <w:ind w:left="740"/>
        <w:spacing w:after="0"/>
        <w:rPr>
          <w:sz w:val="20"/>
          <w:szCs w:val="20"/>
          <w:color w:val="auto"/>
        </w:rPr>
      </w:pPr>
      <w:r>
        <w:rPr>
          <w:rFonts w:ascii="Courier New" w:cs="Courier New" w:eastAsia="Courier New" w:hAnsi="Courier New"/>
          <w:sz w:val="18"/>
          <w:szCs w:val="18"/>
          <w:color w:val="auto"/>
        </w:rPr>
        <w:t>(d) Title of Class of Securities</w:t>
      </w:r>
    </w:p>
    <w:p>
      <w:pPr>
        <w:ind w:left="1380"/>
        <w:spacing w:after="0" w:line="237" w:lineRule="auto"/>
        <w:rPr>
          <w:sz w:val="20"/>
          <w:szCs w:val="20"/>
          <w:color w:val="auto"/>
        </w:rPr>
      </w:pPr>
      <w:r>
        <w:rPr>
          <w:rFonts w:ascii="Courier New" w:cs="Courier New" w:eastAsia="Courier New" w:hAnsi="Courier New"/>
          <w:sz w:val="18"/>
          <w:szCs w:val="18"/>
          <w:color w:val="auto"/>
        </w:rPr>
        <w:t>Common stock, par value $0.001 per share</w:t>
      </w:r>
    </w:p>
    <w:p>
      <w:pPr>
        <w:ind w:left="6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CUSIP Number</w:t>
      </w:r>
    </w:p>
    <w:p>
      <w:pPr>
        <w:ind w:left="1380"/>
        <w:spacing w:after="0"/>
        <w:rPr>
          <w:sz w:val="20"/>
          <w:szCs w:val="20"/>
          <w:color w:val="auto"/>
        </w:rPr>
      </w:pPr>
      <w:r>
        <w:rPr>
          <w:rFonts w:ascii="Courier New" w:cs="Courier New" w:eastAsia="Courier New" w:hAnsi="Courier New"/>
          <w:sz w:val="18"/>
          <w:szCs w:val="18"/>
          <w:color w:val="auto"/>
        </w:rPr>
        <w:t>68401U105</w:t>
      </w:r>
    </w:p>
    <w:p>
      <w:pPr>
        <w:spacing w:after="0" w:line="200" w:lineRule="exact"/>
        <w:rPr>
          <w:sz w:val="20"/>
          <w:szCs w:val="20"/>
          <w:color w:val="auto"/>
        </w:rPr>
      </w:pPr>
    </w:p>
    <w:p>
      <w:pPr>
        <w:spacing w:after="0" w:line="203"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owned:1,235,650 (1)</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class:5.42 % (2)</w:t>
      </w:r>
    </w:p>
    <w:p>
      <w:pPr>
        <w:spacing w:after="0"/>
        <w:rPr>
          <w:sz w:val="20"/>
          <w:szCs w:val="20"/>
          <w:color w:val="auto"/>
        </w:rPr>
      </w:pPr>
      <w:r>
        <w:rPr>
          <w:rFonts w:ascii="Courier New" w:cs="Courier New" w:eastAsia="Courier New" w:hAnsi="Courier New"/>
          <w:sz w:val="18"/>
          <w:szCs w:val="18"/>
          <w:color w:val="auto"/>
        </w:rPr>
        <w:t>(c)Number of shares as to which the person has</w:t>
      </w:r>
    </w:p>
    <w:p>
      <w:pPr>
        <w:ind w:left="960" w:hanging="425"/>
        <w:spacing w:after="0" w:line="237"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060" w:hanging="525"/>
        <w:spacing w:after="0" w:line="238"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vote1,235,650 (1)</w:t>
      </w:r>
    </w:p>
    <w:p>
      <w:pPr>
        <w:ind w:left="1160" w:hanging="625"/>
        <w:spacing w:after="0" w:line="238"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of1,235,650 (1)</w:t>
      </w:r>
    </w:p>
    <w:p>
      <w:pPr>
        <w:spacing w:after="0" w:line="21" w:lineRule="exact"/>
        <w:rPr>
          <w:sz w:val="20"/>
          <w:szCs w:val="20"/>
          <w:color w:val="auto"/>
        </w:rPr>
      </w:pPr>
    </w:p>
    <w:p>
      <w:pPr>
        <w:ind w:left="120" w:right="2519" w:hanging="112"/>
        <w:spacing w:after="0" w:line="268" w:lineRule="auto"/>
        <w:tabs>
          <w:tab w:leader="none" w:pos="43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total which includes 1,183,400 common shares and 52,250 warrants convertible to common shares are held directly by Harvey L Poppel,</w:t>
      </w:r>
    </w:p>
    <w:p>
      <w:pPr>
        <w:ind w:right="4519"/>
        <w:spacing w:after="0" w:line="268" w:lineRule="auto"/>
        <w:rPr>
          <w:sz w:val="20"/>
          <w:szCs w:val="20"/>
          <w:color w:val="auto"/>
        </w:rPr>
      </w:pPr>
      <w:r>
        <w:rPr>
          <w:rFonts w:ascii="Courier New" w:cs="Courier New" w:eastAsia="Courier New" w:hAnsi="Courier New"/>
          <w:sz w:val="16"/>
          <w:szCs w:val="16"/>
          <w:color w:val="auto"/>
        </w:rPr>
        <w:t>Harvey L. Poppel IRA, Dr. Clinton S. Poppel and Poptech, LP a Family Limited Partnership controlled by</w:t>
      </w:r>
    </w:p>
    <w:p>
      <w:pPr>
        <w:spacing w:after="0" w:line="233" w:lineRule="auto"/>
        <w:rPr>
          <w:sz w:val="20"/>
          <w:szCs w:val="20"/>
          <w:color w:val="auto"/>
        </w:rPr>
      </w:pPr>
      <w:r>
        <w:rPr>
          <w:rFonts w:ascii="Courier New" w:cs="Courier New" w:eastAsia="Courier New" w:hAnsi="Courier New"/>
          <w:sz w:val="18"/>
          <w:szCs w:val="18"/>
          <w:color w:val="auto"/>
        </w:rPr>
        <w:t>Harvey L. &amp; Emily A. Poppel who are the sole members of Poptech, LLC.</w:t>
      </w:r>
    </w:p>
    <w:p>
      <w:pPr>
        <w:spacing w:after="0" w:line="5"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Poptech, LLC is the sole General Partner of Poptech, LP. Poptech, LLC does not directly own any securities of the Issuer. Poptech, LLC may be deemed or direct the vote of, and to dispose</w:t>
      </w:r>
    </w:p>
    <w:p>
      <w:pPr>
        <w:spacing w:after="0" w:line="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or direct the disposition of, the securities of the Issuer held by Poptech, LP but disclaim beneficial ownership except to their pecuniary interest therein.</w:t>
      </w:r>
    </w:p>
    <w:p>
      <w:pPr>
        <w:ind w:right="261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percentage is calculated based upon 22,809,586 voting shares of the Issuers common stock outstanding as of March 31, 2014,</w:t>
      </w:r>
    </w:p>
    <w:p>
      <w:pPr>
        <w:spacing w:after="0" w:line="5" w:lineRule="exact"/>
        <w:rPr>
          <w:rFonts w:ascii="Courier New" w:cs="Courier New" w:eastAsia="Courier New" w:hAnsi="Courier New"/>
          <w:sz w:val="18"/>
          <w:szCs w:val="18"/>
          <w:color w:val="auto"/>
        </w:rPr>
      </w:pPr>
    </w:p>
    <w:p>
      <w:pPr>
        <w:ind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reported in the Issuers Form S-1 for the period Dated April 9, 2014 as filed with the Securities and Exchange Commission.</w:t>
      </w:r>
    </w:p>
    <w:p>
      <w:pPr>
        <w:spacing w:after="0" w:line="5"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Item 5.Ownership of Five Percent or Less of a Class. Not applicable Item 6.Ownership of More than Five Percent on Behalf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Another Person.Not applicable</w:t>
      </w:r>
    </w:p>
    <w:p>
      <w:pPr>
        <w:spacing w:after="0" w:line="4"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7.Identification and Classification of the Subsidiary Which Acquired the Security</w:t>
      </w:r>
    </w:p>
    <w:p>
      <w:pPr>
        <w:spacing w:after="0" w:line="5" w:lineRule="exact"/>
        <w:rPr>
          <w:rFonts w:ascii="Courier New" w:cs="Courier New" w:eastAsia="Courier New" w:hAnsi="Courier New"/>
          <w:sz w:val="18"/>
          <w:szCs w:val="18"/>
          <w:color w:val="auto"/>
        </w:rPr>
      </w:pPr>
    </w:p>
    <w:p>
      <w:pPr>
        <w:ind w:right="3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Being Reported on By the Parent Holding Company. Not applicable Item 8.Identification and Classification of Members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Group.Not applicable</w:t>
      </w:r>
    </w:p>
    <w:p>
      <w:pPr>
        <w:spacing w:after="0" w:line="4" w:lineRule="exact"/>
        <w:rPr>
          <w:rFonts w:ascii="Courier New" w:cs="Courier New" w:eastAsia="Courier New" w:hAnsi="Courier New"/>
          <w:sz w:val="18"/>
          <w:szCs w:val="18"/>
          <w:color w:val="auto"/>
        </w:rPr>
      </w:pPr>
    </w:p>
    <w:p>
      <w:pPr>
        <w:ind w:right="4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Item 9.Notice of Dissolution of Group. Not applicable Item 10.Certification.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or as a participant in any transaction having that purpose or effect.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4" w:lineRule="exact"/>
        <w:rPr>
          <w:rFonts w:ascii="Courier New" w:cs="Courier New" w:eastAsia="Courier New" w:hAnsi="Courier New"/>
          <w:sz w:val="18"/>
          <w:szCs w:val="18"/>
          <w:color w:val="auto"/>
        </w:rPr>
      </w:pPr>
    </w:p>
    <w:p>
      <w:pPr>
        <w:ind w:right="30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 w:lineRule="exact"/>
        <w:rPr>
          <w:rFonts w:ascii="Courier New" w:cs="Courier New" w:eastAsia="Courier New" w:hAnsi="Courier New"/>
          <w:sz w:val="18"/>
          <w:szCs w:val="18"/>
          <w:color w:val="auto"/>
        </w:rPr>
      </w:pPr>
    </w:p>
    <w:p>
      <w:pPr>
        <w:ind w:right="6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EXECUTED this 28th day of APRIL, 2014 HARVEY L. POPPEL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HARVEY L. POPPEL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2"/>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2019-12-07T20:19:13Z</dcterms:created>
  <dcterms:modified xsi:type="dcterms:W3CDTF">2019-12-07T20:19:13Z</dcterms:modified>
</cp:coreProperties>
</file>