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80" w:type="dxa"/>
            <w:vAlign w:val="bottom"/>
            <w:gridSpan w:val="9"/>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0"/>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40" w:type="dxa"/>
            <w:vAlign w:val="bottom"/>
          </w:tcPr>
          <w:p>
            <w:pPr>
              <w:spacing w:after="0"/>
              <w:rPr>
                <w:sz w:val="24"/>
                <w:szCs w:val="24"/>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0"/>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284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10"/>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284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20" w:type="dxa"/>
            <w:vAlign w:val="bottom"/>
            <w:gridSpan w:val="1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April 3, 2026</w:t>
            </w:r>
          </w:p>
        </w:tc>
        <w:tc>
          <w:tcPr>
            <w:tcW w:w="284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0"/>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28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10"/>
          </w:tcPr>
          <w:p>
            <w:pPr>
              <w:jc w:val="center"/>
              <w:ind w:right="98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2840" w:type="dxa"/>
            <w:vAlign w:val="bottom"/>
          </w:tcPr>
          <w:p>
            <w:pPr>
              <w:spacing w:after="0"/>
              <w:rPr>
                <w:sz w:val="20"/>
                <w:szCs w:val="20"/>
                <w:color w:val="auto"/>
              </w:rPr>
            </w:pPr>
          </w:p>
        </w:tc>
      </w:tr>
      <w:tr>
        <w:trPr>
          <w:trHeight w:val="439"/>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40" w:type="dxa"/>
            <w:vAlign w:val="bottom"/>
            <w:gridSpan w:val="7"/>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8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Borders>
              <w:top w:val="single" w:sz="8" w:color="auto"/>
            </w:tcBorders>
            <w:gridSpan w:val="6"/>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71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0"/>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260 Charles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302</w:t>
            </w:r>
          </w:p>
        </w:tc>
        <w:tc>
          <w:tcPr>
            <w:tcW w:w="2840" w:type="dxa"/>
            <w:vAlign w:val="bottom"/>
          </w:tcPr>
          <w:p>
            <w:pPr>
              <w:spacing w:after="0"/>
              <w:rPr>
                <w:sz w:val="24"/>
                <w:szCs w:val="24"/>
                <w:color w:val="auto"/>
              </w:rPr>
            </w:pPr>
          </w:p>
        </w:tc>
      </w:tr>
      <w:tr>
        <w:trPr>
          <w:trHeight w:val="198"/>
        </w:trPr>
        <w:tc>
          <w:tcPr>
            <w:tcW w:w="2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80" w:type="dxa"/>
            <w:vAlign w:val="bottom"/>
            <w:gridSpan w:val="9"/>
          </w:tcPr>
          <w:p>
            <w:pPr>
              <w:jc w:val="center"/>
              <w:ind w:right="19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Waltham, MA 02453</w:t>
            </w:r>
          </w:p>
        </w:tc>
        <w:tc>
          <w:tcPr>
            <w:tcW w:w="2840" w:type="dxa"/>
            <w:vAlign w:val="bottom"/>
          </w:tcPr>
          <w:p>
            <w:pPr>
              <w:spacing w:after="0"/>
              <w:rPr>
                <w:sz w:val="17"/>
                <w:szCs w:val="17"/>
                <w:color w:val="auto"/>
              </w:rPr>
            </w:pPr>
          </w:p>
        </w:tc>
      </w:tr>
      <w:tr>
        <w:trPr>
          <w:trHeight w:val="20"/>
        </w:trPr>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37"/>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10"/>
          </w:tcPr>
          <w:p>
            <w:pPr>
              <w:jc w:val="center"/>
              <w:ind w:right="9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40" w:type="dxa"/>
            <w:vAlign w:val="bottom"/>
          </w:tcPr>
          <w:p>
            <w:pPr>
              <w:spacing w:after="0"/>
              <w:rPr>
                <w:sz w:val="20"/>
                <w:szCs w:val="20"/>
                <w:color w:val="auto"/>
              </w:rPr>
            </w:pPr>
          </w:p>
        </w:tc>
      </w:tr>
      <w:tr>
        <w:trPr>
          <w:trHeight w:val="391"/>
        </w:trPr>
        <w:tc>
          <w:tcPr>
            <w:tcW w:w="2980" w:type="dxa"/>
            <w:vAlign w:val="bottom"/>
          </w:tcPr>
          <w:p>
            <w:pPr>
              <w:spacing w:after="0"/>
              <w:rPr>
                <w:sz w:val="24"/>
                <w:szCs w:val="24"/>
                <w:color w:val="auto"/>
              </w:rPr>
            </w:pPr>
          </w:p>
        </w:tc>
        <w:tc>
          <w:tcPr>
            <w:tcW w:w="542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248.651.6568</w:t>
            </w:r>
          </w:p>
        </w:tc>
        <w:tc>
          <w:tcPr>
            <w:tcW w:w="2840" w:type="dxa"/>
            <w:vAlign w:val="bottom"/>
          </w:tcPr>
          <w:p>
            <w:pPr>
              <w:spacing w:after="0"/>
              <w:rPr>
                <w:sz w:val="24"/>
                <w:szCs w:val="24"/>
                <w:color w:val="auto"/>
              </w:rPr>
            </w:pPr>
          </w:p>
        </w:tc>
      </w:tr>
      <w:tr>
        <w:trPr>
          <w:trHeight w:val="412"/>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80" w:type="dxa"/>
            <w:vAlign w:val="bottom"/>
            <w:tcBorders>
              <w:top w:val="single" w:sz="8" w:color="auto"/>
              <w:bottom w:val="single" w:sz="8" w:color="auto"/>
            </w:tcBorders>
            <w:gridSpan w:val="2"/>
          </w:tcPr>
          <w:p>
            <w:pPr>
              <w:spacing w:after="0"/>
              <w:rPr>
                <w:sz w:val="24"/>
                <w:szCs w:val="24"/>
                <w:color w:val="auto"/>
              </w:rPr>
            </w:pPr>
          </w:p>
        </w:tc>
        <w:tc>
          <w:tcPr>
            <w:tcW w:w="520" w:type="dxa"/>
            <w:vAlign w:val="bottom"/>
            <w:tcBorders>
              <w:top w:val="single" w:sz="8" w:color="auto"/>
            </w:tcBorders>
            <w:gridSpan w:val="2"/>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7"/>
        </w:trPr>
        <w:tc>
          <w:tcPr>
            <w:tcW w:w="2980" w:type="dxa"/>
            <w:vAlign w:val="bottom"/>
          </w:tcPr>
          <w:p>
            <w:pPr>
              <w:spacing w:after="0"/>
              <w:rPr>
                <w:sz w:val="20"/>
                <w:szCs w:val="20"/>
                <w:color w:val="auto"/>
              </w:rPr>
            </w:pPr>
          </w:p>
        </w:tc>
        <w:tc>
          <w:tcPr>
            <w:tcW w:w="542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56"/>
        <w:spacing w:after="0" w:line="506" w:lineRule="auto"/>
        <w:tabs>
          <w:tab w:leader="none" w:pos="38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FF0FC"/>
            </w:tcBorders>
            <w:shd w:val="clear" w:color="auto" w:fill="CFF0FC"/>
          </w:tcPr>
          <w:p>
            <w:pPr>
              <w:spacing w:after="0"/>
              <w:rPr>
                <w:sz w:val="18"/>
                <w:szCs w:val="18"/>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FF0FC"/>
            </w:tcBorders>
            <w:shd w:val="clear" w:color="auto" w:fill="CFF0FC"/>
          </w:tcPr>
          <w:p>
            <w:pPr>
              <w:spacing w:after="0"/>
              <w:rPr>
                <w:sz w:val="18"/>
                <w:szCs w:val="18"/>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 2026, the Board of Directors (the “Board”) of OptimizeRx Corporation (the “Company”), upon the recommendation of the Board’s Nominating</w:t>
      </w:r>
    </w:p>
    <w:p>
      <w:pPr>
        <w:spacing w:after="0" w:line="27" w:lineRule="exact"/>
        <w:rPr>
          <w:sz w:val="20"/>
          <w:szCs w:val="20"/>
          <w:color w:val="auto"/>
        </w:rPr>
      </w:pPr>
    </w:p>
    <w:p>
      <w:pPr>
        <w:ind w:right="140" w:firstLine="8"/>
        <w:spacing w:after="0" w:line="253" w:lineRule="auto"/>
        <w:tabs>
          <w:tab w:leader="none" w:pos="1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Committee, appointed Mary Varghese Presti to serve as a director of the Company until the date of the Company’s 2026 annual meeting of stockholders and until her successor is elected and qualified, except in the event of her earlier death, resignation or removal. The appointment of Ms. Varghese Presti as an independent director is in furtherance of the Company’s ongoing process to refresh and expand its Board. In connection with Ms. Varghese Presti’s appointment to the Board, the Board expanded the size of the Board to seven members from its current six members. The Board also appointed Ms. Varghese Presti to serve as a member of the Audit Committee.</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a non-employee director, Ms. Varghese Presti will participate in the Company’s previously disclosed non-employee director compensation program, which includes, among other things, an annual cash retainer of $45,000, an annual equity grant with a grant date value of approximately $175,000, and an additional annual cash retainer of $10,000 for serving as a member of the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April 8, 2026, the Company issued a press release announcing the appointment of Ms. Varghese Presti to its Board. A copy of the press release is furnished with this Current Report on Form 8-K as Exhibit 99.1 and is incorporated herein by reference.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April 8, 2026</w:t>
      </w:r>
    </w:p>
    <w:p>
      <w:pPr>
        <w:spacing w:after="0" w:line="27" w:lineRule="exact"/>
        <w:rPr>
          <w:sz w:val="20"/>
          <w:szCs w:val="20"/>
          <w:color w:val="auto"/>
        </w:rPr>
      </w:pPr>
    </w:p>
    <w:p>
      <w:pPr>
        <w:ind w:left="5580" w:right="4280" w:hanging="5572"/>
        <w:spacing w:after="0" w:line="761"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April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Marion Odence-Ford</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Legal &amp; Administrative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156845</wp:posOffset>
            </wp:positionV>
            <wp:extent cx="221170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Appoints Mary Varghese Presti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Board of Directors</w:t>
      </w:r>
    </w:p>
    <w:p>
      <w:pPr>
        <w:spacing w:after="0" w:line="205" w:lineRule="exact"/>
        <w:rPr>
          <w:sz w:val="20"/>
          <w:szCs w:val="20"/>
          <w:color w:val="auto"/>
        </w:rPr>
      </w:pPr>
    </w:p>
    <w:p>
      <w:pPr>
        <w:jc w:val="cente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Microsoft Health &amp; Life Sciences COO brings expertise in scaling healthcare platforms, commercializing new technologies, and driving operational efficiency</w:t>
      </w:r>
    </w:p>
    <w:p>
      <w:pPr>
        <w:spacing w:after="0" w:line="156"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WALTHAM, MA – April 8, 2026 (GLOBE NEWSWIRE) – </w:t>
      </w:r>
      <w:r>
        <w:rPr>
          <w:rFonts w:ascii="Times New Roman" w:cs="Times New Roman" w:eastAsia="Times New Roman" w:hAnsi="Times New Roman"/>
          <w:sz w:val="18"/>
          <w:szCs w:val="18"/>
          <w:color w:val="auto"/>
        </w:rPr>
        <w:t>OptimizeRx Corp. (the “Company”) (Nasdaq: OPRX), a leading provider of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helping life sciences companies reach and engage healthcare professionals (HCPs) and patients, today announced the appointment of Mary Varghese Presti to its Board of Directors. The appointment of Varghese Presti as an independent director is in furtherance of the Company’s ongoing process to refresh and expand its Board of Directors.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Varghese Presti brings more than 25 years of experience at the intersection of healthcare, life sciences, and technology, with a track record of building and scaling platforms that translate innovation into real-world impact. She currently serves as Corporate Vice President and Chief Operating Officer of Microsoft’s Health &amp; Life Sciences organization, where she leads operational strategy and execution for a global, high-growth business.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Microsoft, Varghese Presti plays a central role in advancing the company’s healthcare strategy during a period of rapid transformation driven by AI. She has helped operationalize next-generation, AI-powered capabilities, including clinical and agentic technologies, that are reshaping how care is delivered, how workflows are managed, and how health systems scale. Her work focuses on enabling healthcare organizations to increase clinical capacity, improve decision-making, and deliver more connected, data-driven care.</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Varghese Presti has held leadership roles across some of the most influential organizations in healthcare and technology, including Microsoft, Nuance, IBM Watson Health, athenahealth, and Pfizer. Her career uniquely spans care delivery, health policy, life sciences, and enterprise technology, giving her a cross-sector perspective on how innovation moves from concept to adoption at scale.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She brings deep experience across the M&amp;A lifecycle, including strategic diligence, post-acquisition integration, and portfolio scaling. At Microsoft, she has been closely involved in integration efforts following the acquisition of Nuance, helping align product, operational, and commercial capabilities to scale the combined platform. Previously, at IBM Watson Health, she led a life sciences portfolio built through multiple acquisitions and played a key role in diligence efforts related to IBM’s divestiture of Watson Health to private equity ownership.</w:t>
      </w:r>
    </w:p>
    <w:p>
      <w:pPr>
        <w:spacing w:after="0" w:line="180"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Across these roles, she has consistently led efforts to modernize product portfolios, build new businesses, and drive operational and commercial transformation in complex, regulated environments.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“Mary’s experience from deal strategy through post transaction integration, scaling platforms, commercializing innovation, and driving operational rigor at some of the world’s leading healthcare and technology companies aligns directly with our strategy,” said Steve Silvestro, Chief Executive Officer of OptimizeRx. “As we continue to evolve OptimizeRx into a more integrated, product-led platform with increasing recurring and subscription-based revenue, her perspective will be critical in helping us accelerate growth, expand our product portfolio, and deliver long-term shareholder value.”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“I’m excited to join OptimizeRx at a time when both healthcare and technology are evolving so quickly,” said Varghese Presti. “There is real opportunity to rethink how data, engagement, and intelligences come together to better support clinicians and patients. I look forward to working with the Board and leadership team to help scale the platform and build solutions that deliver meaningful impact across the healthcare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580"/>
        <w:spacing w:after="0" w:line="282" w:lineRule="auto"/>
        <w:rPr>
          <w:sz w:val="20"/>
          <w:szCs w:val="20"/>
          <w:color w:val="auto"/>
        </w:rPr>
      </w:pPr>
      <w:r>
        <w:rPr>
          <w:rFonts w:ascii="Times New Roman" w:cs="Times New Roman" w:eastAsia="Times New Roman" w:hAnsi="Times New Roman"/>
          <w:sz w:val="18"/>
          <w:szCs w:val="18"/>
          <w:color w:val="auto"/>
        </w:rPr>
        <w:t>Varghese Presti began her career as a pediatric nurse at Johns Hopkins, an experience that continues to shape her approach to healthcare innovation, grounded in the realities of care delivery and the importance of maintaining the human connection at the center of care.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OptimizeRx is a leading healthcare technology company that’s redefining how life science brands connect with patients and healthcare providers. Our platform combines innovative artificial intelligence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X,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in this press release that reflect the Company's expectations, assumptions, projections, beliefs or opinions about the future, other than statements of historical fact, are forward-looking statements, including, without limitation, statements relating to OptimizeRx’s appointment of a new Board member, and the Company’s plans to scale platforms, commercialize innovation, and drive operational rigor, to evolve into a more integrated, product-led platform with increasing recurring and subscription-based revenue, to accelerate growth, expand its product portfolio, and deliver long-term shareholder value, and to build solutions that deliver meaningful impact across the healthcare ecosystem. Because such statements are subject to risks and uncertainties, actual results may differ materially from those expressed or implied by such forward-looking statements. These forward-looking statements are based upon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Company’s success with the appointment of a new Board member,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year ended December 31, 2025,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Chief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Marketing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Dinkel, VP,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jdinkel@optimizerx.com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optimizerx@matternow.com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amp;"/>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2026-04-09T05:04:21Z</dcterms:created>
  <dcterms:modified xsi:type="dcterms:W3CDTF">2026-04-09T05:04:21Z</dcterms:modified>
</cp:coreProperties>
</file>