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21, 2019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90"/>
              </w:rPr>
              <w:t>Nevada</w:t>
            </w:r>
          </w:p>
        </w:tc>
        <w:tc>
          <w:tcPr>
            <w:tcW w:w="3020" w:type="dxa"/>
            <w:vAlign w:val="bottom"/>
            <w:gridSpan w:val="3"/>
          </w:tcPr>
          <w:p>
            <w:pPr>
              <w:jc w:val="right"/>
              <w:ind w:right="1440"/>
              <w:spacing w:after="0"/>
              <w:rPr>
                <w:sz w:val="20"/>
                <w:szCs w:val="20"/>
                <w:color w:val="auto"/>
              </w:rPr>
            </w:pPr>
            <w:r>
              <w:rPr>
                <w:rFonts w:ascii="Arial" w:cs="Arial" w:eastAsia="Arial" w:hAnsi="Arial"/>
                <w:sz w:val="18"/>
                <w:szCs w:val="18"/>
                <w:color w:val="auto"/>
              </w:rPr>
              <w:t>000-53605</w:t>
            </w:r>
          </w:p>
        </w:tc>
        <w:tc>
          <w:tcPr>
            <w:tcW w:w="22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color w:val="auto"/>
              </w:rPr>
              <w:t>26-1265381</w:t>
            </w:r>
          </w:p>
        </w:tc>
      </w:tr>
      <w:tr>
        <w:trPr>
          <w:trHeight w:val="230"/>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020" w:type="dxa"/>
            <w:vAlign w:val="bottom"/>
            <w:tcBorders>
              <w:top w:val="single" w:sz="8" w:color="auto"/>
            </w:tcBorders>
            <w:gridSpan w:val="3"/>
          </w:tcPr>
          <w:p>
            <w:pPr>
              <w:jc w:val="center"/>
              <w:ind w:right="640"/>
              <w:spacing w:after="0"/>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25"/>
        </w:trPr>
        <w:tc>
          <w:tcPr>
            <w:tcW w:w="454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color w:val="auto"/>
                <w:w w:val="90"/>
              </w:rPr>
              <w:t>400 Water Street, Suite 200, Rochester, MI</w:t>
            </w:r>
          </w:p>
        </w:tc>
        <w:tc>
          <w:tcPr>
            <w:tcW w:w="10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454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000" w:type="dxa"/>
            <w:vAlign w:val="bottom"/>
            <w:gridSpan w:val="4"/>
          </w:tcPr>
          <w:p>
            <w:pPr>
              <w:spacing w:after="0"/>
              <w:rPr>
                <w:sz w:val="20"/>
                <w:szCs w:val="20"/>
                <w:color w:val="auto"/>
              </w:rPr>
            </w:pPr>
            <w:r>
              <w:rPr>
                <w:rFonts w:ascii="Arial" w:cs="Arial" w:eastAsia="Arial" w:hAnsi="Arial"/>
                <w:sz w:val="18"/>
                <w:szCs w:val="18"/>
                <w:color w:val="auto"/>
                <w:w w:val="92"/>
              </w:rPr>
              <w:t>revised financial accounting standards provided pursuant to Section 13(a) of the Exchange Act.</w:t>
            </w:r>
          </w:p>
        </w:tc>
        <w:tc>
          <w:tcPr>
            <w:tcW w:w="4420" w:type="dxa"/>
            <w:vAlign w:val="bottom"/>
            <w:gridSpan w:val="3"/>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6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39"/>
        </w:trPr>
        <w:tc>
          <w:tcPr>
            <w:tcW w:w="464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Trading symbol</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93"/>
              </w:rPr>
              <w:t>OPRX</w:t>
            </w: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Nasdaq Capital Market</w:t>
            </w:r>
          </w:p>
        </w:tc>
      </w:tr>
      <w:tr>
        <w:trPr>
          <w:trHeight w:val="216"/>
        </w:trPr>
        <w:tc>
          <w:tcPr>
            <w:tcW w:w="36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r>
      <w:tr>
        <w:trPr>
          <w:trHeight w:val="28"/>
        </w:trPr>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790"/>
        </w:trPr>
        <w:tc>
          <w:tcPr>
            <w:tcW w:w="3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8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October 21, 2019, we issued a press release concerning sponsoring the WOMEN at HLTH program at HLTH 2019, the nation’s largest conference focused on health innovation. The conference is being held on October 27-30, 2019 at the MGM Grand in Las Vegas. A copy of the press release is attached as Exhibit 99.1 to this Current Report on Form 8-K.</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1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October 21, 2019</w:t>
        </w:r>
      </w:hyperlink>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21, 2019</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186940" cy="51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8694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highlight w:val="white"/>
        </w:rPr>
        <w:t>OptimizeRx Sponsors WOMEN at HLTH Program at the 2019 HLTH Conference</w:t>
      </w:r>
    </w:p>
    <w:p>
      <w:pPr>
        <w:spacing w:after="0" w:line="22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ROCHESTER, Mich. – October 21, 2019 – </w:t>
      </w:r>
      <w:r>
        <w:rPr>
          <w:rFonts w:ascii="Arial" w:cs="Arial" w:eastAsia="Arial" w:hAnsi="Arial"/>
          <w:sz w:val="18"/>
          <w:szCs w:val="18"/>
          <w:color w:val="auto"/>
        </w:rPr>
        <w:t>OptimizeRx Corp. (Nasdaq: OPRX), a leading platform for digital health messaging in the 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is sponsoring the WOMEN at HLTH program at HLTH 2019, the nation’s largest conference focused on health innovation. The conference is being held on October 27-30, 2019 at the MGM Grand in Las Vegas.</w:t>
      </w:r>
    </w:p>
    <w:p>
      <w:pPr>
        <w:spacing w:after="0" w:line="180"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HLTH is a one-of-a-kind ecosystem event for the health industry, bringing together more than 5,000 senior leaders to address the most pressing problems facing healthcare today. The event attracts senior leaders from payers, providers, employers, investors, fast-growing startups, pharma, policymakers and innovation centers, who together are looking to actualize the most promising solutions.</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WOMEN at HLTH is a series of activities at HLTH focused on advancing and empowering women. The events will feature organizations implementing strategies and experiencing successes in advancing women into executive roles across the health ecosystem.</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are proud to sponsor WOMEN at HLTH Program and support HLTH that brings together key industry stakeholders to discover new ways to effectively use digital health to achieve better patient outcomes,” commented OptimizeRx president, Miriam Paramore. “Our digital health platform provides unprecedented transparency into medication-related patient behavior, along with access to patient-provider-pharma-payer communication ‘across the continuum.’ It allows pharmaceutical companies, healthcare providers and payers alike to address medication affordability and adherence issues faster and more effectively.”</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OptimizeRx recently announced the acquisition of the digital therapeutics SaaS provider, RMDY Health, as well as an exclusive three-year partnership with NewCrop, a provider of integrated electronic prescribing software.</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OptimizeRx will participate in the HLTH Hosted Buyer Program, where they will be matched with buyers and influencers in introductory meetings. Dr. Amir Kishon, RMDY Health co-founder and CEO, and Serge Loncar, head of patient engagement services at OptimizeRx, are scheduled to participate in the introductory meetings.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OptimizeRx, its products or other news, visit www.optimizerx.com.</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HLTH</w:t>
      </w:r>
    </w:p>
    <w:p>
      <w:pPr>
        <w:spacing w:after="0" w:line="2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HLTH is the leading event for innovation in the health industry. It’s an unprecedented, large-scale forum for individuals, companies, and policymakers who are reshaping the health industry to learn, collaborate and evolve. The event is unique in bringing together all key stakeholders, ranging from established payers, providers, employers, and pharma services to disruptive startups and prolific investors, as well as representatives from government, academia, health associations and business groups, media, and industry analysts. By leading the development of a new dialogue and ecosystem, HLTH’s mission is to drive substantial reductions in health costs and dramatic increases in health quality. HLTH takes place on October 27-30, 2019 at the MGM Grand’s brand new conference facility. For more information, visit hlth.com.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OptimizeRx® (Nasdaq: OPRX), a digital health company, connects pharmaceutical companies to patients and providers, offering greater affordability, adherence and brand awareness at the point-of-care. As the nation’s largest digital platform connecting life sciences to the point-of-care, OptimizeRx provides a direct channel for pharma companies to communicate with healthcare providers right within their workflow.</w:t>
      </w:r>
    </w:p>
    <w:p>
      <w:pPr>
        <w:spacing w:after="0" w:line="14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cloud-based solution supports patient adherence to medications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 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nicolebrooks@innsena.com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79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2019-12-28T05:20:52Z</dcterms:created>
  <dcterms:modified xsi:type="dcterms:W3CDTF">2019-12-28T05:20:52Z</dcterms:modified>
</cp:coreProperties>
</file>