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60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600" w:type="dxa"/>
            <w:vAlign w:val="bottom"/>
          </w:tcPr>
          <w:p>
            <w:pPr>
              <w:spacing w:after="0"/>
              <w:rPr>
                <w:sz w:val="24"/>
                <w:szCs w:val="24"/>
                <w:color w:val="auto"/>
              </w:rPr>
            </w:pP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tc>
        <w:tc>
          <w:tcPr>
            <w:tcW w:w="3600" w:type="dxa"/>
            <w:vAlign w:val="bottom"/>
          </w:tcPr>
          <w:p>
            <w:pPr>
              <w:spacing w:after="0"/>
              <w:rPr>
                <w:sz w:val="24"/>
                <w:szCs w:val="24"/>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60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8300" w:type="dxa"/>
            <w:vAlign w:val="bottom"/>
            <w:gridSpan w:val="7"/>
          </w:tcPr>
          <w:p>
            <w:pPr>
              <w:jc w:val="center"/>
              <w:ind w:right="285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August 9, 2022</w:t>
            </w:r>
          </w:p>
        </w:tc>
      </w:tr>
      <w:tr>
        <w:trPr>
          <w:trHeight w:val="414"/>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c>
          <w:tcPr>
            <w:tcW w:w="3600" w:type="dxa"/>
            <w:vAlign w:val="bottom"/>
          </w:tcPr>
          <w:p>
            <w:pPr>
              <w:spacing w:after="0"/>
              <w:rPr>
                <w:sz w:val="24"/>
                <w:szCs w:val="24"/>
                <w:color w:val="auto"/>
              </w:rPr>
            </w:pPr>
          </w:p>
        </w:tc>
      </w:tr>
      <w:tr>
        <w:trPr>
          <w:trHeight w:val="234"/>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(Exact name of registrant as specified in charter)</w:t>
            </w:r>
          </w:p>
        </w:tc>
        <w:tc>
          <w:tcPr>
            <w:tcW w:w="3600" w:type="dxa"/>
            <w:vAlign w:val="bottom"/>
          </w:tcPr>
          <w:p>
            <w:pPr>
              <w:spacing w:after="0"/>
              <w:rPr>
                <w:sz w:val="20"/>
                <w:szCs w:val="20"/>
                <w:color w:val="auto"/>
              </w:rPr>
            </w:pPr>
          </w:p>
        </w:tc>
      </w:tr>
      <w:tr>
        <w:trPr>
          <w:trHeight w:val="452"/>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500" w:type="dxa"/>
            <w:vAlign w:val="bottom"/>
            <w:gridSpan w:val="5"/>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001-38543</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26-1265381</w:t>
            </w:r>
          </w:p>
        </w:tc>
      </w:tr>
      <w:tr>
        <w:trPr>
          <w:trHeight w:val="198"/>
        </w:trPr>
        <w:tc>
          <w:tcPr>
            <w:tcW w:w="2940" w:type="dxa"/>
            <w:vAlign w:val="bottom"/>
            <w:tcBorders>
              <w:top w:val="single" w:sz="8" w:color="auto"/>
            </w:tcBorders>
          </w:tcPr>
          <w:p>
            <w:pPr>
              <w:jc w:val="center"/>
              <w:ind w:left="59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7640" w:type="dxa"/>
            <w:vAlign w:val="bottom"/>
            <w:gridSpan w:val="7"/>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400 Water Street, Suite 200, Rochester, MI</w:t>
            </w: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48307</w:t>
            </w:r>
          </w:p>
        </w:tc>
      </w:tr>
      <w:tr>
        <w:trPr>
          <w:trHeight w:val="234"/>
        </w:trPr>
        <w:tc>
          <w:tcPr>
            <w:tcW w:w="55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900" w:type="dxa"/>
            <w:vAlign w:val="bottom"/>
            <w:tcBorders>
              <w:top w:val="single" w:sz="8" w:color="auto"/>
            </w:tcBorders>
            <w:gridSpan w:val="2"/>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248.651.6568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ind w:right="52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August 9, 2022, OptimizeRx Corporation issued a press release announcing its financial results for the second quarter ended June 30, 2022. A copy of the press release is furnished with this Current Report on Form 8-K as Exhibit 99.1 and is incorporated herein by reference.</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Exhibit 99.1 attached hereto are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Statements and Exhibits.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Number</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August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5580" w:right="4060" w:hanging="5572"/>
        <w:spacing w:after="0" w:line="761" w:lineRule="auto"/>
        <w:tabs>
          <w:tab w:leader="none" w:pos="1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00"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tabs>
          <w:tab w:leader="none" w:pos="900" w:val="left"/>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Edward Stelmakh</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156845</wp:posOffset>
            </wp:positionV>
            <wp:extent cx="2614295" cy="617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142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OptimizeRx Reports Second Quarter 2022 Financial Results, Innovative Platform Expansions Now Extends Reach to HCPs Across Social Media and Patients at Point-of-Dispense</w:t>
      </w:r>
    </w:p>
    <w:p>
      <w:pPr>
        <w:spacing w:after="0" w:line="15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Up 3% to $14.0 million, driven by new customer and program launches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breadth and scope of brand deal size represents further momentum in the validation of our value proposition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$4.4 million in cash flow from operations during the first half of 2022</w:t>
      </w:r>
    </w:p>
    <w:p>
      <w:pPr>
        <w:spacing w:after="0" w:line="20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ROCHESTER, Mich. – August 9, 2022 – </w:t>
      </w:r>
      <w:r>
        <w:rPr>
          <w:rFonts w:ascii="Times New Roman" w:cs="Times New Roman" w:eastAsia="Times New Roman" w:hAnsi="Times New Roman"/>
          <w:sz w:val="18"/>
          <w:szCs w:val="18"/>
          <w:color w:val="auto"/>
        </w:rPr>
        <w:t>OptimizeRx Corp. (the “Company”) (Nasdaq: OPRX), a leading provider of point-of-care technology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helping patients start and stay on therapy, reported results for the three months ended June 30, 2022. Quarterly comparisons are to the same year-ago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Rolling Twelve Months Ended</w:t>
            </w:r>
          </w:p>
        </w:tc>
      </w:tr>
      <w:tr>
        <w:trPr>
          <w:trHeight w:val="230"/>
        </w:trPr>
        <w:tc>
          <w:tcPr>
            <w:tcW w:w="8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5"/>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 (KPIs)*</w:t>
            </w: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1"/>
                <w:szCs w:val="21"/>
                <w:color w:val="auto"/>
              </w:rPr>
            </w:pPr>
          </w:p>
        </w:tc>
      </w:tr>
      <w:tr>
        <w:trPr>
          <w:trHeight w:val="216"/>
        </w:trPr>
        <w:tc>
          <w:tcPr>
            <w:tcW w:w="8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revenue per top 20 pharmaceutical manufacturer</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2,389,969</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2,361,254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 of top 20 pharmaceutical manufacturers that are customers</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total revenue attributable to top 20 pharmaceutical manufacturers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 retention</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per average full-time employee</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661,319</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668,395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Highlights</w:t>
      </w:r>
    </w:p>
    <w:p>
      <w:pPr>
        <w:spacing w:after="0" w:line="229"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 the second quarter of 2022 increased 3% to $14.0 million, from $13.6 million as compared to the same year ago period.</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 the second quarter of 2022 increased 12% year-over-year to $9.0 million.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totaled $3.9 million or $(0.21) per basic and diluted share in the second quarter.</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loss in the second quarter totaled $0.7 million or $0.04 per basic and fully diluted shares outstanding. (see definition of this non-GAAP measure and reconciliation to GAAP, below).</w:t>
      </w: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totaled $87.4 million as of June 30, 2022 as compared to $84.7 million as of 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Second Quarter and Recent Highlights</w:t>
      </w:r>
    </w:p>
    <w:p>
      <w:pPr>
        <w:spacing w:after="0" w:line="229"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we completed the acquisition of EvinceMed, a specialty drug prescription initiation platform.</w:t>
      </w:r>
    </w:p>
    <w:p>
      <w:pPr>
        <w:spacing w:after="0" w:line="27" w:lineRule="exact"/>
        <w:rPr>
          <w:rFonts w:ascii="Times New Roman" w:cs="Times New Roman" w:eastAsia="Times New Roman" w:hAnsi="Times New Roman"/>
          <w:sz w:val="18"/>
          <w:szCs w:val="18"/>
          <w:color w:val="auto"/>
        </w:rPr>
      </w:pPr>
    </w:p>
    <w:p>
      <w:pPr>
        <w:ind w:left="340" w:right="20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Omni-channel platform reach is extended through an exclusive partnership with Equals 5. This new extension is the only healthcare provider (HCP)-level solution providing targeted physician engagement on social media platforms.</w:t>
      </w:r>
    </w:p>
    <w:p>
      <w:pPr>
        <w:ind w:left="340" w:right="60" w:hanging="332"/>
        <w:spacing w:after="0" w:line="26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integration of TelaRep™ one-click prescriber connectivity solution completed. TelaRep allows doctors to text pharmaceutical representatives directly from within the electronic health record (EHR) platform and can now be accessed by over 200,000 in-network HCPs.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340" w:right="20" w:hanging="332"/>
        <w:spacing w:after="0" w:line="276" w:lineRule="auto"/>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authorization of a share repurchase program, under which OptimizeRx may repurchase up to $20 million of its outstanding common stock. Through August 8, 2022, the Company repurchased 232,745 shares at an average price of $23.02 and had $14.6 million available under the program.</w:t>
      </w:r>
    </w:p>
    <w:p>
      <w:pPr>
        <w:ind w:left="340" w:right="62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Published industry results of a survey of 102 specialist physicians highlighting how inefficient access pathways negatively impact patient care. Physicians noted access challenges impact their care plans for up to 33% of patients.</w:t>
      </w: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Times ranked OptimizeRx amongst Americas’ fastest-growing companies for the third consecutive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 Commentary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Will Febbo, OptimizeRx CEO commented, “We continue to perform strongly against our long term land-and-expand strategy and continue to have favorable net revenue retention despite the various macro factors that resulted in a weaker than expected second quarter. We believe the impact is temporary in nature, and our value proposition remains strong, as is evidenced by the fact that we count 95% of the industry’s top 20 pharma manufacturers as our customers.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advanced our omnichannel reach through recent acquisitions and exclusive partnerships, strengthening our platform’s capabilities and its desirability to our customer base. These factors build on our already strong value proposition with our clients by driving broader and deeper opportunities to engage with HCPs and patients. As we work to address affordability, access, and adherence challenges in new ways, we reinforce our foundation for strong profitable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Q2 2022 Financial Summary</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revenue </w:t>
      </w:r>
      <w:r>
        <w:rPr>
          <w:rFonts w:ascii="Times New Roman" w:cs="Times New Roman" w:eastAsia="Times New Roman" w:hAnsi="Times New Roman"/>
          <w:sz w:val="18"/>
          <w:szCs w:val="18"/>
          <w:color w:val="auto"/>
        </w:rPr>
        <w:t>reported for the three months ended June 30, 2022 was approximately $14.0 million, an increase of 3% over the approximately $13.6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from the same period in 2021. The increased revenue resulted from increases in sales from our access solutions.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increased to 64% from 59% in the year-ago quarter, with the increase related to a more favorable channel partner and solution mix.</w:t>
      </w:r>
    </w:p>
    <w:p>
      <w:pPr>
        <w:spacing w:after="0" w:line="225"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totaled $12.9 million and increased from $7.7 million in the same year-ago quarter. This increase in expense is primarily due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in, and expansion of, our workforce to enable future growth and includes $3.1 million in additional stock based compensation than was recognized in the year-ago quarter.</w:t>
      </w:r>
    </w:p>
    <w:p>
      <w:pPr>
        <w:spacing w:after="0" w:line="17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on a GAAP basis was approximately $3.9 million or $(0.21) per basic and diluted share, as compared to net income of $0.4 million or $0.02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basic and fully diluted share in the second quarter of 2021.</w:t>
      </w:r>
    </w:p>
    <w:p>
      <w:pPr>
        <w:spacing w:after="0" w:line="15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Non-GAAP net loss </w:t>
      </w:r>
      <w:r>
        <w:rPr>
          <w:rFonts w:ascii="Times New Roman" w:cs="Times New Roman" w:eastAsia="Times New Roman" w:hAnsi="Times New Roman"/>
          <w:sz w:val="18"/>
          <w:szCs w:val="18"/>
          <w:color w:val="auto"/>
        </w:rPr>
        <w:t>was $0.7 million or $0.04 per basic and fully diluted shares outstanding, compared to non-GAAP net income of $1.8 million or $0.10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basic and fully diluted share in the same year-ago period (see definition of this non-GAAP measure and reconciliation to GAAP, below).</w:t>
      </w:r>
    </w:p>
    <w:p>
      <w:pPr>
        <w:spacing w:after="0" w:line="15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totaled $87.4 million as of June 30, 2022, as compared to $84.7 million as of December 31, 2021. The increase to our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 was almost completely due to cash flows from operating activities.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Financial Outlook</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Based on first half results, the Company is updating its full year financial outlook for 2022 and now expects net revenue of $62 million to $68 million, representing year-over-year growth of 1% to 11%, respectively, and gross margins to be between 59% and 62%.</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ind w:right="60"/>
        <w:spacing w:after="0" w:line="282" w:lineRule="auto"/>
        <w:rPr>
          <w:sz w:val="20"/>
          <w:szCs w:val="20"/>
          <w:color w:val="auto"/>
        </w:rPr>
      </w:pPr>
      <w:r>
        <w:rPr>
          <w:rFonts w:ascii="Times New Roman" w:cs="Times New Roman" w:eastAsia="Times New Roman" w:hAnsi="Times New Roman"/>
          <w:sz w:val="18"/>
          <w:szCs w:val="18"/>
          <w:color w:val="auto"/>
        </w:rPr>
        <w:t>Our change to the second half 2022’s outlook is driven by what we perceive to be temporary life sciences industry challenges related to a slowdown in the number of new drug approvals, increased turnover rates at client companies and longer sales cycles associated with larger deal sizes in the funnel.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management will host the presentation, followed by a question-and-answer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Tuesday, August 9,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4:30 p.m. Eastern time (1:30 p.m. Pacific time)</w:t>
      </w:r>
    </w:p>
    <w:p>
      <w:pPr>
        <w:spacing w:after="0" w:line="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Web access:</w:t>
      </w:r>
      <w:r>
        <w:rPr>
          <w:sz w:val="20"/>
          <w:szCs w:val="20"/>
          <w:color w:val="auto"/>
        </w:rPr>
        <w:tab/>
      </w:r>
      <w:r>
        <w:rPr>
          <w:rFonts w:ascii="Times New Roman" w:cs="Times New Roman" w:eastAsia="Times New Roman" w:hAnsi="Times New Roman"/>
          <w:sz w:val="17"/>
          <w:szCs w:val="17"/>
          <w:color w:val="auto"/>
        </w:rPr>
        <w:t>https://viavid.webcasts.com/starthere.jsp?ei=1559358&amp;tp_key=f1602f7af5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Toll-free dial-in number: 1-877-423-9813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dial-in number: 1-201-689-8573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13731472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call the conference telephone number five minutes prior to the start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of the call will remain available for 12 months via the Investors section of the OptimizeRx website at www.optimizerx.com/investors.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Use of Non-GAAP Financial Measures</w:t>
      </w:r>
    </w:p>
    <w:p>
      <w:pPr>
        <w:spacing w:after="0" w:line="3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This earnings release includes a presentation of non-GAAP net income (loss) and non-GAAP earnings (loss) per share or non-GAAP EPS, both of which are non-GAAP financial measures.</w:t>
      </w:r>
    </w:p>
    <w:p>
      <w:pPr>
        <w:spacing w:after="0" w:line="181"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The Company defines non-GAAP net income (loss) as GAAP net income (loss) with an adjustment to add back depreciation, amortization, stock-based compensation, acquisition expenses, income or loss related to the fair value of contingent consideration, and deferred income taxes. Non-GAAP EPS is defined as non-GAAP net income (loss) divided by the number of weighted average shares outstanding on a basic and diluted basis. The Company has provided non-GAAP financial measures to aid investors in better understanding its performance. Management believes that these non-GAAP financial measures provide additional insight into the operations and cash flow of the Company.</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Because of varying available valuation methodologies, subjective assumptions and the variety of equity instruments that can impact a Company’s non-cash operating expenses, management believes that providing non-GAAP financial measures that excludes non-cash expenses allows for meaningful comparisons between the Company’s core business operating results and those of other companies, as well as provides an important tool for financial and operational decision making and for evaluating the Company’s own core business operating results over different periods of time.</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non-GAAP net income (loss) and non-GAAP EPS measures may not provide information that is directly comparable to that provided by other companies in the Company’s industry, as other companies in the industry may calculate such non-GAAP financial results differently. The Company’s non-GAAP net income (loss) and non-GAAP EPS are not measurements of financial performance under GAAP and should not be considered as an alternative to operating income or as an indication of operating performance or any other measure of performance derived in accordance with GAAP. The Company does not consider these non-GAAP measures to be substitutes for or superior to the information provided by its GAAP financial results.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6" w:name="page7"/>
    <w:bookmarkEnd w:id="6"/>
    <w:p>
      <w:pPr>
        <w:ind w:right="200"/>
        <w:spacing w:after="0" w:line="282" w:lineRule="auto"/>
        <w:rPr>
          <w:sz w:val="20"/>
          <w:szCs w:val="20"/>
          <w:color w:val="auto"/>
        </w:rPr>
      </w:pPr>
      <w:r>
        <w:rPr>
          <w:rFonts w:ascii="Times New Roman" w:cs="Times New Roman" w:eastAsia="Times New Roman" w:hAnsi="Times New Roman"/>
          <w:sz w:val="18"/>
          <w:szCs w:val="18"/>
          <w:color w:val="auto"/>
        </w:rPr>
        <w:t>The table, “Reconciliation of non-GAAP to GAAP Financial Measures,” included below, provides a reconciliation of non-GAAP net income (loss) and non-GAAP EPS for the three months ended June 30, 2022 and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Key Performance Indicators*</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Top 20 pharmaceutical manufacturers: </w:t>
      </w:r>
      <w:r>
        <w:rPr>
          <w:rFonts w:ascii="Times New Roman" w:cs="Times New Roman" w:eastAsia="Times New Roman" w:hAnsi="Times New Roman"/>
          <w:sz w:val="18"/>
          <w:szCs w:val="18"/>
          <w:color w:val="auto"/>
        </w:rPr>
        <w:t>Top 20 pharmaceutical manufacturers are based on Fierce Pharma’s “The top 20 pharma companies by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Net revenue retention</w:t>
      </w:r>
      <w:r>
        <w:rPr>
          <w:rFonts w:ascii="Times New Roman" w:cs="Times New Roman" w:eastAsia="Times New Roman" w:hAnsi="Times New Roman"/>
          <w:sz w:val="18"/>
          <w:szCs w:val="18"/>
          <w:color w:val="auto"/>
        </w:rPr>
        <w:t>: Net revenue retention is a comparison of revenue generated from all clients in the previous period to total revenue generated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clients in the following year (i.e., excludes new client relationships for the most recent year).</w:t>
      </w:r>
    </w:p>
    <w:p>
      <w:pPr>
        <w:spacing w:after="0" w:line="15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 per average Full Time Employee: </w:t>
      </w:r>
      <w:r>
        <w:rPr>
          <w:rFonts w:ascii="Times New Roman" w:cs="Times New Roman" w:eastAsia="Times New Roman" w:hAnsi="Times New Roman"/>
          <w:sz w:val="18"/>
          <w:szCs w:val="18"/>
          <w:color w:val="auto"/>
        </w:rPr>
        <w:t>We define revenue per average full-time employee (FTE) as total revenue over the last 12 months (LTM)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divided by the average number of employees over the LTM, which is calculated by taking our total number of FTEs at the end of the prior year period by our total FTE headcount at the end of the most recent.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OptimizeRx provides best-in-class health technology that enables care-focused engagement between life sciences organizations, healthcare providers, and patients at critical junctures throughout the patient care journey. Connecting over 60% of U.S. healthcare providers and millions of their patients through the most intelligent technology platform embedded within a proprietary digital point-of-care network, OptimizeRx helps patients start and stay on their medications.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Forward-Looking Statements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that reflect the Company’s expectations, assumptions, projections, beliefs or opinions about the future, other than statements of historical fact, are forward-looking statements, including, without limitation, statements relating to the Company’s growth, business plans and future performance. These forward-looking statements are based on the Company’s current expectations and assumptions regarding the Company’s business, the economy, and other future conditions. The Company disclaims any intention or obligation to publicly update or revise any forward-looking statements, whether because of new information, future events, or otherwise, except as required by applicable law.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risks summarized in the Company’s Annual Report on Form 10-K for the fiscal year ended December 31, 2021, its subsequent Quarterly Reports on Form 10-Q, and its other filings with the Securities and Exchange Commission.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D’Silva, SVP Corporate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adsilva@optimizerx.com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Ashley Robinson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arr@lifesciadvisors.com</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877" w:right="4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414"/>
        </w:trPr>
        <w:tc>
          <w:tcPr>
            <w:tcW w:w="868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87,392,970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84,681,770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18,732,849</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24,800,585</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4,280,843</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5,630,655</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110,406,662</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115,113,010</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143,337</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143,818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22,673,820</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14,740,031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13,933,072</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10,646,654</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deposits and other assets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12,860</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12,859</w:t>
            </w: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Other Assets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36,898,265</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25,728,364</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147,448,264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140,985,192</w:t>
            </w:r>
          </w:p>
        </w:tc>
        <w:tc>
          <w:tcPr>
            <w:tcW w:w="80" w:type="dxa"/>
            <w:vAlign w:val="bottom"/>
            <w:shd w:val="clear" w:color="auto" w:fill="CCEEFF"/>
          </w:tcPr>
          <w:p>
            <w:pPr>
              <w:spacing w:after="0"/>
              <w:rPr>
                <w:sz w:val="21"/>
                <w:szCs w:val="2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 trade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1,296,041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606,808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1,638,791</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2,902,836</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share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2,376,836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4,378,216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87,673</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90,982</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1,041,919</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1,389,907</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6,441,260</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9,368,749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189,802</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236,726</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6,631,062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9,605,475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Commitments and contingencies (See note 9)</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none issued and outstanding at June 30, 2022 and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2021</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166,666,667 shares authorized, 18,174,182 and 17,860,975 shares issued at June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30, 2022 and December 31, 2021,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18,188</w:t>
            </w: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17,861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183,698,497</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166,615,514</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(42,899,470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(35,253,658</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140,817,202</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131,379,717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147,448,264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140,985,192</w:t>
            </w:r>
          </w:p>
        </w:tc>
        <w:tc>
          <w:tcPr>
            <w:tcW w:w="80" w:type="dxa"/>
            <w:vAlign w:val="bottom"/>
          </w:tcPr>
          <w:p>
            <w:pPr>
              <w:spacing w:after="0"/>
              <w:rPr>
                <w:sz w:val="20"/>
                <w:szCs w:val="20"/>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13,978,665</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13,625,639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27,710,195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24,854,850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4,988,716</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5,580,964</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10,618,574</w:t>
            </w:r>
          </w:p>
        </w:tc>
        <w:tc>
          <w:tcPr>
            <w:tcW w:w="26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10,685,567</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8,989,949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8,044,675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17,091,621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14,169,283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Salaries, wages, &amp; benefits</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4,981,549</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3,906,796</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10,287,416</w:t>
            </w:r>
          </w:p>
        </w:tc>
        <w:tc>
          <w:tcPr>
            <w:tcW w:w="2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7,487,612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4,025,323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897,038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7,199,421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1,604,191</w:t>
            </w:r>
          </w:p>
        </w:tc>
        <w:tc>
          <w:tcPr>
            <w:tcW w:w="0" w:type="dxa"/>
            <w:vAlign w:val="bottom"/>
          </w:tcPr>
          <w:p>
            <w:pPr>
              <w:spacing w:after="0"/>
              <w:rPr>
                <w:sz w:val="1"/>
                <w:szCs w:val="1"/>
                <w:color w:val="auto"/>
              </w:rPr>
            </w:pPr>
          </w:p>
        </w:tc>
      </w:tr>
      <w:tr>
        <w:trPr>
          <w:trHeight w:val="23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3,891,607</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2,900,702</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7,274,416</w:t>
            </w:r>
          </w:p>
        </w:tc>
        <w:tc>
          <w:tcPr>
            <w:tcW w:w="26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5,375,649</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12,898,479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7,704,536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24,761,253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14,467,452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Income (Loss) from operations</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(3,908,530)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340,139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(7,669,632)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(298,169)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23,816</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11,961</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23,820</w:t>
            </w:r>
          </w:p>
        </w:tc>
        <w:tc>
          <w:tcPr>
            <w:tcW w:w="26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12,892</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(3,884,714)</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(7,645,812)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(3,884,714)</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(7,645,812)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200" w:type="dxa"/>
            <w:vAlign w:val="bottom"/>
          </w:tcPr>
          <w:p>
            <w:pPr>
              <w:spacing w:after="0"/>
              <w:rPr>
                <w:sz w:val="24"/>
                <w:szCs w:val="24"/>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18,122,500</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17,347,096</w:t>
            </w:r>
          </w:p>
        </w:tc>
        <w:tc>
          <w:tcPr>
            <w:tcW w:w="20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18,000,958</w:t>
            </w:r>
          </w:p>
        </w:tc>
        <w:tc>
          <w:tcPr>
            <w:tcW w:w="260" w:type="dxa"/>
            <w:vAlign w:val="bottom"/>
          </w:tcPr>
          <w:p>
            <w:pPr>
              <w:spacing w:after="0"/>
              <w:rPr>
                <w:sz w:val="24"/>
                <w:szCs w:val="24"/>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16,720,114</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18,122,500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18,104,807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18,000,958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16,720,114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(loss) per share – basic</w:t>
            </w: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60" w:type="dxa"/>
            <w:vAlign w:val="bottom"/>
            <w:tcBorders>
              <w:bottom w:val="single" w:sz="8" w:color="CCEEFF"/>
            </w:tcBorders>
            <w:vMerge w:val="continue"/>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20" w:type="dxa"/>
            <w:vAlign w:val="bottom"/>
            <w:tcBorders>
              <w:bottom w:val="single" w:sz="8" w:color="CCEEFF"/>
            </w:tcBorders>
            <w:vMerge w:val="continue"/>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Income (loss) per share – diluted</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(7,645,812)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(285,277)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1,049,656</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7,199,421</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1,354,106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issued for board service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loss on accounts receivable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98,727</w:t>
            </w:r>
          </w:p>
        </w:tc>
        <w:tc>
          <w:tcPr>
            <w:tcW w:w="2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5,969,009</w:t>
            </w:r>
          </w:p>
        </w:tc>
        <w:tc>
          <w:tcPr>
            <w:tcW w:w="2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(88,221)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1,266,478</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1,332,132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64,232</w:t>
            </w:r>
          </w:p>
        </w:tc>
        <w:tc>
          <w:tcPr>
            <w:tcW w:w="2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187,211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(2,001,379)</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(1,628,556)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(1,264,045)</w:t>
            </w:r>
          </w:p>
        </w:tc>
        <w:tc>
          <w:tcPr>
            <w:tcW w:w="2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(393,778)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(347,989)</w:t>
            </w:r>
          </w:p>
        </w:tc>
        <w:tc>
          <w:tcPr>
            <w:tcW w:w="260" w:type="dxa"/>
            <w:vAlign w:val="bottom"/>
          </w:tcPr>
          <w:p>
            <w:pPr>
              <w:spacing w:after="0"/>
              <w:rPr>
                <w:sz w:val="20"/>
                <w:szCs w:val="20"/>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33,814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4,388,372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1,855,654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(41,335)</w:t>
            </w:r>
          </w:p>
        </w:tc>
        <w:tc>
          <w:tcPr>
            <w:tcW w:w="2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(43,654)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EvinceMed acquisition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(2,000,000)</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assets, including intellectual property rights</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(145,257)</w:t>
            </w:r>
          </w:p>
        </w:tc>
        <w:tc>
          <w:tcPr>
            <w:tcW w:w="26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(176,822)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(2,186,592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(220,476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FINANCING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public offering of common stock, net of offering costs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70,671,536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(321,054)</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830,474</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2,710,778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(1,610,813)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509,420</w:t>
            </w:r>
          </w:p>
        </w:tc>
        <w:tc>
          <w:tcPr>
            <w:tcW w:w="2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71,771,501</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2,711,200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73,406,679</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2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84,681,770</w:t>
            </w:r>
          </w:p>
        </w:tc>
        <w:tc>
          <w:tcPr>
            <w:tcW w:w="26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10,516,776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87,392,970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83,923,455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Reduction of EvinceMed purchase price for amounts previously paid</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Shares issued in connection with acquisition</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9,374,455</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Cash paid for income taxes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Lease liabilities arising from right of use assets</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Income (Loss) Depreciation and amortization Stock-based compensation Acquisition expense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net income (loss)</w:t>
      </w:r>
    </w:p>
    <w:p>
      <w:pPr>
        <w:spacing w:after="0" w:line="20" w:lineRule="exact"/>
        <w:rPr>
          <w:sz w:val="20"/>
          <w:szCs w:val="20"/>
          <w:color w:val="auto"/>
        </w:rPr>
      </w:pPr>
      <w:r>
        <w:rPr>
          <w:sz w:val="20"/>
          <w:szCs w:val="20"/>
          <w:color w:val="auto"/>
        </w:rPr>
        <w:br w:type="column"/>
      </w:r>
    </w:p>
    <w:p>
      <w:pPr>
        <w:jc w:val="center"/>
        <w:ind w:right="278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2780"/>
        <w:spacing w:after="0"/>
        <w:rPr>
          <w:sz w:val="20"/>
          <w:szCs w:val="20"/>
          <w:color w:val="auto"/>
        </w:rPr>
      </w:pPr>
      <w:r>
        <w:rPr>
          <w:rFonts w:ascii="Times New Roman" w:cs="Times New Roman" w:eastAsia="Times New Roman" w:hAnsi="Times New Roman"/>
          <w:sz w:val="17"/>
          <w:szCs w:val="17"/>
          <w:b w:val="1"/>
          <w:bCs w:val="1"/>
          <w:color w:val="auto"/>
        </w:rPr>
        <w:t>RECONCILIATION of NON-GAAP to GAAP FINANCIAL MEASURES</w:t>
      </w:r>
    </w:p>
    <w:p>
      <w:pPr>
        <w:spacing w:after="0" w:line="21" w:lineRule="exact"/>
        <w:rPr>
          <w:sz w:val="20"/>
          <w:szCs w:val="20"/>
          <w:color w:val="auto"/>
        </w:rPr>
      </w:pPr>
    </w:p>
    <w:p>
      <w:pPr>
        <w:jc w:val="center"/>
        <w:ind w:right="27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3200" w:type="dxa"/>
        <w:tblCellMar>
          <w:top w:w="0" w:type="dxa"/>
          <w:left w:w="0" w:type="dxa"/>
          <w:bottom w:w="0" w:type="dxa"/>
          <w:right w:w="0" w:type="dxa"/>
        </w:tblCellMar>
      </w:tblPr>
      <w:tr>
        <w:trPr>
          <w:trHeight w:val="216"/>
        </w:trPr>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20" w:type="dxa"/>
            <w:vAlign w:val="bottom"/>
          </w:tcPr>
          <w:p>
            <w:pPr>
              <w:spacing w:after="0"/>
              <w:rPr>
                <w:sz w:val="18"/>
                <w:szCs w:val="18"/>
                <w:color w:val="auto"/>
              </w:rPr>
            </w:pPr>
          </w:p>
        </w:tc>
        <w:tc>
          <w:tcPr>
            <w:tcW w:w="228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16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   (3,884,714)</w:t>
            </w:r>
          </w:p>
        </w:tc>
        <w:tc>
          <w:tcPr>
            <w:tcW w:w="260" w:type="dxa"/>
            <w:vAlign w:val="bottom"/>
          </w:tcPr>
          <w:p>
            <w:pPr>
              <w:spacing w:after="0"/>
              <w:rPr>
                <w:sz w:val="17"/>
                <w:szCs w:val="17"/>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352,100</w:t>
            </w:r>
          </w:p>
        </w:tc>
        <w:tc>
          <w:tcPr>
            <w:tcW w:w="220" w:type="dxa"/>
            <w:vAlign w:val="bottom"/>
          </w:tcPr>
          <w:p>
            <w:pPr>
              <w:spacing w:after="0"/>
              <w:rPr>
                <w:sz w:val="17"/>
                <w:szCs w:val="17"/>
                <w:color w:val="auto"/>
              </w:rPr>
            </w:pPr>
          </w:p>
        </w:tc>
        <w:tc>
          <w:tcPr>
            <w:tcW w:w="2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(7,645,812)</w:t>
            </w:r>
          </w:p>
        </w:tc>
        <w:tc>
          <w:tcPr>
            <w:tcW w:w="220" w:type="dxa"/>
            <w:vAlign w:val="bottom"/>
          </w:tcPr>
          <w:p>
            <w:pPr>
              <w:spacing w:after="0"/>
              <w:rPr>
                <w:sz w:val="17"/>
                <w:szCs w:val="17"/>
                <w:color w:val="auto"/>
              </w:rPr>
            </w:pPr>
          </w:p>
        </w:tc>
        <w:tc>
          <w:tcPr>
            <w:tcW w:w="30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(285,277)</w:t>
            </w:r>
          </w:p>
        </w:tc>
        <w:tc>
          <w:tcPr>
            <w:tcW w:w="60" w:type="dxa"/>
            <w:vAlign w:val="bottom"/>
            <w:gridSpan w:val="2"/>
          </w:tcPr>
          <w:p>
            <w:pPr>
              <w:spacing w:after="0"/>
              <w:rPr>
                <w:sz w:val="17"/>
                <w:szCs w:val="17"/>
                <w:color w:val="auto"/>
              </w:rPr>
            </w:pPr>
          </w:p>
        </w:tc>
      </w:tr>
      <w:tr>
        <w:trPr>
          <w:trHeight w:val="216"/>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578,117</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527,958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1,049,656</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1,054,138</w:t>
            </w:r>
          </w:p>
        </w:tc>
        <w:tc>
          <w:tcPr>
            <w:tcW w:w="40" w:type="dxa"/>
            <w:vAlign w:val="bottom"/>
          </w:tcPr>
          <w:p>
            <w:pPr>
              <w:spacing w:after="0"/>
              <w:rPr>
                <w:sz w:val="18"/>
                <w:szCs w:val="18"/>
                <w:color w:val="auto"/>
              </w:rPr>
            </w:pPr>
          </w:p>
        </w:tc>
      </w:tr>
      <w:tr>
        <w:trPr>
          <w:trHeight w:val="229"/>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4,025,323</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897,038</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7,199,421</w:t>
            </w:r>
          </w:p>
        </w:tc>
        <w:tc>
          <w:tcPr>
            <w:tcW w:w="3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1,604,191</w:t>
            </w:r>
          </w:p>
        </w:tc>
        <w:tc>
          <w:tcPr>
            <w:tcW w:w="40" w:type="dxa"/>
            <w:vAlign w:val="bottom"/>
          </w:tcPr>
          <w:p>
            <w:pPr>
              <w:spacing w:after="0"/>
              <w:rPr>
                <w:sz w:val="19"/>
                <w:szCs w:val="19"/>
                <w:color w:val="auto"/>
              </w:rPr>
            </w:pPr>
          </w:p>
        </w:tc>
      </w:tr>
      <w:tr>
        <w:trPr>
          <w:trHeight w:val="234"/>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2,579</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19,739</w:t>
            </w:r>
          </w:p>
        </w:tc>
        <w:tc>
          <w:tcPr>
            <w:tcW w:w="300" w:type="dxa"/>
            <w:vAlign w:val="bottom"/>
          </w:tcPr>
          <w:p>
            <w:pPr>
              <w:spacing w:after="0"/>
              <w:rPr>
                <w:sz w:val="20"/>
                <w:szCs w:val="20"/>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721,305</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1,777,096</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623,004</w:t>
            </w:r>
          </w:p>
        </w:tc>
        <w:tc>
          <w:tcPr>
            <w:tcW w:w="30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2,373,052</w:t>
            </w:r>
          </w:p>
        </w:tc>
        <w:tc>
          <w:tcPr>
            <w:tcW w:w="40" w:type="dxa"/>
            <w:vAlign w:val="bottom"/>
          </w:tcPr>
          <w:p>
            <w:pPr>
              <w:spacing w:after="0"/>
              <w:rPr>
                <w:sz w:val="21"/>
                <w:szCs w:val="21"/>
                <w:color w:val="auto"/>
              </w:rPr>
            </w:pP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-779145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-496570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-205105</wp:posOffset>
            </wp:positionV>
            <wp:extent cx="713232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580"/>
            <w:col w:w="8460"/>
          </w:cols>
          <w:pgMar w:left="320" w:top="873" w:right="3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(loss) per share</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9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17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22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18,122,500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17,347,096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18,000,958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16,720,114</w:t>
            </w:r>
          </w:p>
        </w:tc>
        <w:tc>
          <w:tcPr>
            <w:tcW w:w="0" w:type="dxa"/>
            <w:vAlign w:val="bottom"/>
          </w:tcPr>
          <w:p>
            <w:pPr>
              <w:spacing w:after="0"/>
              <w:rPr>
                <w:sz w:val="1"/>
                <w:szCs w:val="1"/>
                <w:color w:val="auto"/>
              </w:rPr>
            </w:pPr>
          </w:p>
        </w:tc>
      </w:tr>
      <w:tr>
        <w:trPr>
          <w:trHeight w:val="26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18,342,392</w:t>
            </w:r>
          </w:p>
        </w:tc>
        <w:tc>
          <w:tcPr>
            <w:tcW w:w="2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18,104,807</w:t>
            </w:r>
          </w:p>
        </w:tc>
        <w:tc>
          <w:tcPr>
            <w:tcW w:w="2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18,140,941</w:t>
            </w:r>
          </w:p>
        </w:tc>
        <w:tc>
          <w:tcPr>
            <w:tcW w:w="2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17,467,159</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17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7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0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2022-08-09T17:03:07Z</dcterms:created>
  <dcterms:modified xsi:type="dcterms:W3CDTF">2022-08-09T17:03:07Z</dcterms:modified>
</cp:coreProperties>
</file>