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" w:right="620" w:hanging="8"/>
        <w:spacing w:after="0" w:line="238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84,746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12/31/2020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84,746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84,746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Award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acquired these shares pursuant to a Restricted Stock Award. The award vests 25% at the end of each quarter starting on 3/31/2020.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William Febbo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03/13/2020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2020-03-13T16:22:39Z</dcterms:created>
  <dcterms:modified xsi:type="dcterms:W3CDTF">2020-03-13T16:22:39Z</dcterms:modified>
</cp:coreProperties>
</file>