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80" w:type="dxa"/>
            <w:vAlign w:val="bottom"/>
            <w:gridSpan w:val="6"/>
          </w:tcPr>
          <w:p>
            <w:pPr>
              <w:jc w:val="center"/>
              <w:ind w:right="1580"/>
              <w:spacing w:after="0"/>
              <w:rPr>
                <w:sz w:val="20"/>
                <w:szCs w:val="20"/>
                <w:color w:val="auto"/>
              </w:rPr>
            </w:pPr>
            <w:r>
              <w:rPr>
                <w:rFonts w:ascii="Arial" w:cs="Arial" w:eastAsia="Arial" w:hAnsi="Arial"/>
                <w:sz w:val="18"/>
                <w:szCs w:val="18"/>
                <w:b w:val="1"/>
                <w:bCs w:val="1"/>
                <w:color w:val="auto"/>
              </w:rPr>
              <w:t>FORM 8-K</w:t>
            </w:r>
          </w:p>
        </w:tc>
        <w:tc>
          <w:tcPr>
            <w:tcW w:w="3220" w:type="dxa"/>
            <w:vAlign w:val="bottom"/>
          </w:tcPr>
          <w:p>
            <w:pPr>
              <w:spacing w:after="0"/>
              <w:rPr>
                <w:sz w:val="20"/>
                <w:szCs w:val="20"/>
                <w:color w:val="auto"/>
              </w:rPr>
            </w:pPr>
          </w:p>
        </w:tc>
      </w:tr>
      <w:tr>
        <w:trPr>
          <w:trHeight w:val="414"/>
        </w:trPr>
        <w:tc>
          <w:tcPr>
            <w:tcW w:w="3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80" w:type="dxa"/>
            <w:vAlign w:val="bottom"/>
            <w:gridSpan w:val="6"/>
          </w:tcPr>
          <w:p>
            <w:pPr>
              <w:jc w:val="center"/>
              <w:ind w:right="1580"/>
              <w:spacing w:after="0"/>
              <w:rPr>
                <w:sz w:val="20"/>
                <w:szCs w:val="20"/>
                <w:color w:val="auto"/>
              </w:rPr>
            </w:pPr>
            <w:r>
              <w:rPr>
                <w:rFonts w:ascii="Arial" w:cs="Arial" w:eastAsia="Arial" w:hAnsi="Arial"/>
                <w:sz w:val="18"/>
                <w:szCs w:val="18"/>
                <w:b w:val="1"/>
                <w:bCs w:val="1"/>
                <w:color w:val="auto"/>
                <w:w w:val="99"/>
              </w:rPr>
              <w:t>CURRENT REPORT</w:t>
            </w:r>
          </w:p>
        </w:tc>
        <w:tc>
          <w:tcPr>
            <w:tcW w:w="3220" w:type="dxa"/>
            <w:vAlign w:val="bottom"/>
          </w:tcPr>
          <w:p>
            <w:pPr>
              <w:spacing w:after="0"/>
              <w:rPr>
                <w:sz w:val="24"/>
                <w:szCs w:val="24"/>
                <w:color w:val="auto"/>
              </w:rPr>
            </w:pPr>
          </w:p>
        </w:tc>
      </w:tr>
      <w:tr>
        <w:trPr>
          <w:trHeight w:val="216"/>
        </w:trPr>
        <w:tc>
          <w:tcPr>
            <w:tcW w:w="3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00" w:type="dxa"/>
            <w:vAlign w:val="bottom"/>
            <w:gridSpan w:val="7"/>
          </w:tcPr>
          <w:p>
            <w:pPr>
              <w:jc w:val="center"/>
              <w:ind w:right="680"/>
              <w:spacing w:after="0"/>
              <w:rPr>
                <w:sz w:val="20"/>
                <w:szCs w:val="20"/>
                <w:color w:val="auto"/>
              </w:rPr>
            </w:pPr>
            <w:r>
              <w:rPr>
                <w:rFonts w:ascii="Arial" w:cs="Arial" w:eastAsia="Arial" w:hAnsi="Arial"/>
                <w:sz w:val="18"/>
                <w:szCs w:val="18"/>
                <w:b w:val="1"/>
                <w:bCs w:val="1"/>
                <w:color w:val="auto"/>
                <w:w w:val="97"/>
              </w:rPr>
              <w:t>PURSUANT TO SECTION 13 OR 15(d) OF</w:t>
            </w:r>
          </w:p>
        </w:tc>
        <w:tc>
          <w:tcPr>
            <w:tcW w:w="3220" w:type="dxa"/>
            <w:vAlign w:val="bottom"/>
          </w:tcPr>
          <w:p>
            <w:pPr>
              <w:spacing w:after="0"/>
              <w:rPr>
                <w:sz w:val="18"/>
                <w:szCs w:val="18"/>
                <w:color w:val="auto"/>
              </w:rPr>
            </w:pPr>
          </w:p>
        </w:tc>
      </w:tr>
      <w:tr>
        <w:trPr>
          <w:trHeight w:val="234"/>
        </w:trPr>
        <w:tc>
          <w:tcPr>
            <w:tcW w:w="3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4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20" w:type="dxa"/>
            <w:vAlign w:val="bottom"/>
          </w:tcPr>
          <w:p>
            <w:pPr>
              <w:spacing w:after="0"/>
              <w:rPr>
                <w:sz w:val="20"/>
                <w:szCs w:val="20"/>
                <w:color w:val="auto"/>
              </w:rPr>
            </w:pPr>
          </w:p>
        </w:tc>
      </w:tr>
      <w:tr>
        <w:trPr>
          <w:trHeight w:val="432"/>
        </w:trPr>
        <w:tc>
          <w:tcPr>
            <w:tcW w:w="3020" w:type="dxa"/>
            <w:vAlign w:val="bottom"/>
          </w:tcPr>
          <w:p>
            <w:pPr>
              <w:spacing w:after="0"/>
              <w:rPr>
                <w:sz w:val="24"/>
                <w:szCs w:val="24"/>
                <w:color w:val="auto"/>
              </w:rPr>
            </w:pPr>
          </w:p>
        </w:tc>
        <w:tc>
          <w:tcPr>
            <w:tcW w:w="5180" w:type="dxa"/>
            <w:vAlign w:val="bottom"/>
            <w:gridSpan w:val="9"/>
          </w:tcPr>
          <w:p>
            <w:pPr>
              <w:jc w:val="center"/>
              <w:ind w:left="130"/>
              <w:spacing w:after="0"/>
              <w:rPr>
                <w:sz w:val="20"/>
                <w:szCs w:val="20"/>
                <w:color w:val="auto"/>
              </w:rPr>
            </w:pPr>
            <w:r>
              <w:rPr>
                <w:rFonts w:ascii="Arial" w:cs="Arial" w:eastAsia="Arial" w:hAnsi="Arial"/>
                <w:sz w:val="18"/>
                <w:szCs w:val="18"/>
                <w:color w:val="auto"/>
                <w:w w:val="90"/>
              </w:rPr>
              <w:t>Date of Report (Date of earliest event reported): September 27, 2018</w:t>
            </w:r>
          </w:p>
        </w:tc>
        <w:tc>
          <w:tcPr>
            <w:tcW w:w="3220" w:type="dxa"/>
            <w:vAlign w:val="bottom"/>
          </w:tcPr>
          <w:p>
            <w:pPr>
              <w:spacing w:after="0"/>
              <w:rPr>
                <w:sz w:val="24"/>
                <w:szCs w:val="24"/>
                <w:color w:val="auto"/>
              </w:rPr>
            </w:pPr>
          </w:p>
        </w:tc>
      </w:tr>
      <w:tr>
        <w:trPr>
          <w:trHeight w:val="392"/>
        </w:trPr>
        <w:tc>
          <w:tcPr>
            <w:tcW w:w="3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80" w:type="dxa"/>
            <w:vAlign w:val="bottom"/>
            <w:gridSpan w:val="3"/>
          </w:tcPr>
          <w:p>
            <w:pPr>
              <w:spacing w:after="0"/>
              <w:rPr>
                <w:sz w:val="24"/>
                <w:szCs w:val="24"/>
                <w:color w:val="auto"/>
              </w:rPr>
            </w:pPr>
          </w:p>
        </w:tc>
        <w:tc>
          <w:tcPr>
            <w:tcW w:w="3220" w:type="dxa"/>
            <w:vAlign w:val="bottom"/>
          </w:tcPr>
          <w:p>
            <w:pPr>
              <w:spacing w:after="0"/>
              <w:rPr>
                <w:sz w:val="24"/>
                <w:szCs w:val="24"/>
                <w:color w:val="auto"/>
              </w:rPr>
            </w:pPr>
          </w:p>
        </w:tc>
      </w:tr>
      <w:tr>
        <w:trPr>
          <w:trHeight w:val="237"/>
        </w:trPr>
        <w:tc>
          <w:tcPr>
            <w:tcW w:w="3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40" w:type="dxa"/>
            <w:vAlign w:val="bottom"/>
            <w:gridSpan w:val="8"/>
          </w:tcPr>
          <w:p>
            <w:pPr>
              <w:jc w:val="center"/>
              <w:ind w:right="420"/>
              <w:spacing w:after="0"/>
              <w:rPr>
                <w:sz w:val="20"/>
                <w:szCs w:val="20"/>
                <w:color w:val="auto"/>
              </w:rPr>
            </w:pPr>
            <w:r>
              <w:rPr>
                <w:rFonts w:ascii="Arial" w:cs="Arial" w:eastAsia="Arial" w:hAnsi="Arial"/>
                <w:sz w:val="18"/>
                <w:szCs w:val="18"/>
                <w:color w:val="auto"/>
                <w:w w:val="90"/>
              </w:rPr>
              <w:t>(Exact name of registrant as specified in its charter)</w:t>
            </w:r>
          </w:p>
        </w:tc>
        <w:tc>
          <w:tcPr>
            <w:tcW w:w="3220" w:type="dxa"/>
            <w:vAlign w:val="bottom"/>
          </w:tcPr>
          <w:p>
            <w:pPr>
              <w:spacing w:after="0"/>
              <w:rPr>
                <w:sz w:val="20"/>
                <w:szCs w:val="20"/>
                <w:color w:val="auto"/>
              </w:rPr>
            </w:pPr>
          </w:p>
        </w:tc>
      </w:tr>
      <w:tr>
        <w:trPr>
          <w:trHeight w:val="453"/>
        </w:trPr>
        <w:tc>
          <w:tcPr>
            <w:tcW w:w="3020" w:type="dxa"/>
            <w:vAlign w:val="bottom"/>
          </w:tcPr>
          <w:p>
            <w:pPr>
              <w:jc w:val="center"/>
              <w:ind w:left="570"/>
              <w:spacing w:after="0"/>
              <w:rPr>
                <w:sz w:val="20"/>
                <w:szCs w:val="20"/>
                <w:color w:val="auto"/>
              </w:rPr>
            </w:pPr>
            <w:r>
              <w:rPr>
                <w:rFonts w:ascii="Arial" w:cs="Arial" w:eastAsia="Arial" w:hAnsi="Arial"/>
                <w:sz w:val="18"/>
                <w:szCs w:val="18"/>
                <w:color w:val="auto"/>
                <w:w w:val="90"/>
              </w:rPr>
              <w:t>Nevada</w:t>
            </w:r>
          </w:p>
        </w:tc>
        <w:tc>
          <w:tcPr>
            <w:tcW w:w="3600" w:type="dxa"/>
            <w:vAlign w:val="bottom"/>
            <w:gridSpan w:val="6"/>
          </w:tcPr>
          <w:p>
            <w:pPr>
              <w:jc w:val="center"/>
              <w:ind w:left="173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20" w:type="dxa"/>
            <w:vAlign w:val="bottom"/>
          </w:tcPr>
          <w:p>
            <w:pPr>
              <w:jc w:val="center"/>
              <w:ind w:right="330"/>
              <w:spacing w:after="0"/>
              <w:rPr>
                <w:sz w:val="20"/>
                <w:szCs w:val="20"/>
                <w:color w:val="auto"/>
              </w:rPr>
            </w:pPr>
            <w:r>
              <w:rPr>
                <w:rFonts w:ascii="Arial" w:cs="Arial" w:eastAsia="Arial" w:hAnsi="Arial"/>
                <w:sz w:val="18"/>
                <w:szCs w:val="18"/>
                <w:color w:val="auto"/>
                <w:w w:val="91"/>
              </w:rPr>
              <w:t>26-1265381</w:t>
            </w:r>
          </w:p>
        </w:tc>
      </w:tr>
      <w:tr>
        <w:trPr>
          <w:trHeight w:val="202"/>
        </w:trPr>
        <w:tc>
          <w:tcPr>
            <w:tcW w:w="3020" w:type="dxa"/>
            <w:vAlign w:val="bottom"/>
            <w:tcBorders>
              <w:top w:val="single" w:sz="8" w:color="auto"/>
            </w:tcBorders>
          </w:tcPr>
          <w:p>
            <w:pPr>
              <w:jc w:val="center"/>
              <w:ind w:left="570"/>
              <w:spacing w:after="0" w:line="201" w:lineRule="exact"/>
              <w:rPr>
                <w:sz w:val="20"/>
                <w:szCs w:val="20"/>
                <w:color w:val="auto"/>
              </w:rPr>
            </w:pPr>
            <w:r>
              <w:rPr>
                <w:rFonts w:ascii="Arial" w:cs="Arial" w:eastAsia="Arial" w:hAnsi="Arial"/>
                <w:sz w:val="18"/>
                <w:szCs w:val="18"/>
                <w:color w:val="auto"/>
                <w:w w:val="91"/>
              </w:rPr>
              <w:t>(State or other jurisdiction</w:t>
            </w:r>
          </w:p>
        </w:tc>
        <w:tc>
          <w:tcPr>
            <w:tcW w:w="6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jc w:val="center"/>
              <w:ind w:right="3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20" w:type="dxa"/>
            <w:vAlign w:val="bottom"/>
          </w:tcPr>
          <w:p>
            <w:pPr>
              <w:jc w:val="center"/>
              <w:ind w:left="570"/>
              <w:spacing w:after="0"/>
              <w:rPr>
                <w:sz w:val="20"/>
                <w:szCs w:val="20"/>
                <w:color w:val="auto"/>
              </w:rPr>
            </w:pPr>
            <w:r>
              <w:rPr>
                <w:rFonts w:ascii="Arial" w:cs="Arial" w:eastAsia="Arial" w:hAnsi="Arial"/>
                <w:sz w:val="18"/>
                <w:szCs w:val="18"/>
                <w:color w:val="auto"/>
                <w:w w:val="95"/>
              </w:rPr>
              <w:t>of incorporation)</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20" w:type="dxa"/>
            <w:vAlign w:val="bottom"/>
          </w:tcPr>
          <w:p>
            <w:pPr>
              <w:jc w:val="center"/>
              <w:ind w:right="35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200" w:type="dxa"/>
            <w:vAlign w:val="bottom"/>
            <w:gridSpan w:val="10"/>
          </w:tcPr>
          <w:p>
            <w:pPr>
              <w:jc w:val="center"/>
              <w:ind w:right="2580"/>
              <w:spacing w:after="0"/>
              <w:rPr>
                <w:sz w:val="20"/>
                <w:szCs w:val="20"/>
                <w:color w:val="auto"/>
              </w:rPr>
            </w:pPr>
            <w:r>
              <w:rPr>
                <w:rFonts w:ascii="Arial" w:cs="Arial" w:eastAsia="Arial" w:hAnsi="Arial"/>
                <w:sz w:val="18"/>
                <w:szCs w:val="18"/>
                <w:color w:val="auto"/>
                <w:w w:val="90"/>
              </w:rPr>
              <w:t>400 Water Street, Suite 200, Rochester, MI</w:t>
            </w:r>
          </w:p>
        </w:tc>
        <w:tc>
          <w:tcPr>
            <w:tcW w:w="322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3"/>
          </w:tcPr>
          <w:p>
            <w:pPr>
              <w:spacing w:after="0"/>
              <w:rPr>
                <w:sz w:val="20"/>
                <w:szCs w:val="20"/>
                <w:color w:val="auto"/>
              </w:rPr>
            </w:pPr>
          </w:p>
        </w:tc>
        <w:tc>
          <w:tcPr>
            <w:tcW w:w="3220" w:type="dxa"/>
            <w:vAlign w:val="bottom"/>
            <w:tcBorders>
              <w:top w:val="single" w:sz="8" w:color="auto"/>
            </w:tcBorders>
          </w:tcPr>
          <w:p>
            <w:pPr>
              <w:jc w:val="center"/>
              <w:ind w:right="22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289560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September 27, 2018, we issued a press release about our partnership with Medicom Health, a software company that creates evidence-based health and wellness applications for enriched online consumer engagement at more than 600 hospitals nationwide.</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0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September 27,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27, 2018</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904" w:right="43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169545</wp:posOffset>
            </wp:positionV>
            <wp:extent cx="2152650"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26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Partners with Medicom Health to Bring Automated Medication Savings Directly to Patients at Hospitals Nationwide</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16"/>
          <w:szCs w:val="16"/>
          <w:i w:val="1"/>
          <w:iCs w:val="1"/>
          <w:color w:val="auto"/>
        </w:rPr>
        <w:t>Seamless Inclusion of Relevant Discount Offers in EHRs Deliver Financial Relief to Patients at Discharge, Improving Medication Adherence and Outcomes</w:t>
      </w:r>
    </w:p>
    <w:p>
      <w:pPr>
        <w:spacing w:after="0" w:line="244"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ROCHESTER, Mich., (September 27, 2018) — </w:t>
      </w:r>
      <w:r>
        <w:rPr>
          <w:rFonts w:ascii="Arial" w:cs="Arial" w:eastAsia="Arial" w:hAnsi="Arial"/>
          <w:sz w:val="18"/>
          <w:szCs w:val="18"/>
          <w:u w:val="single" w:color="auto"/>
          <w:color w:val="auto"/>
        </w:rPr>
        <w:t>OptimizeRx Corp.</w:t>
      </w:r>
      <w:r>
        <w:rPr>
          <w:rFonts w:ascii="Arial" w:cs="Arial" w:eastAsia="Arial" w:hAnsi="Arial"/>
          <w:sz w:val="18"/>
          <w:szCs w:val="18"/>
          <w:b w:val="1"/>
          <w:bCs w:val="1"/>
          <w:color w:val="auto"/>
        </w:rPr>
        <w:t xml:space="preserve"> </w:t>
      </w:r>
      <w:r>
        <w:rPr>
          <w:rFonts w:ascii="Arial" w:cs="Arial" w:eastAsia="Arial" w:hAnsi="Arial"/>
          <w:sz w:val="18"/>
          <w:szCs w:val="18"/>
          <w:color w:val="auto"/>
        </w:rPr>
        <w:t>(NASDAQ: OPRX), a leading provider of digital health messaging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industry, has partnered with Medicom Health, a software company that creates evidence-based health and wellness applications for enriched online consumer engagement at more than 600 hospitals nationwide.</w:t>
      </w:r>
    </w:p>
    <w:p>
      <w:pPr>
        <w:spacing w:after="0" w:line="1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partnership will enable providers to automatically embed medication savings offers for qualified patients into their electronic health record (EHR) system workflows in real-time, as prescribing occurs.</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“By partnering with OptimizeRx, we’re taking a major step toward empowering healthy patient outcomes post-discharge,” said Will Sigsbee, CEO of Medicom Health. “Now more than ever, hospitals and health systems need proven approaches that support value-based care, reduced readmissions and improvements in the overall patient experience. Our strategic partnership with OptimizeRx will provide patients with drug savings options that ultimately lead to increased medication adherence, and thus reduced readmission rates, better patient satisfaction and improved quality metrics.”</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Rising drug costs are a sizeable industry challenge, and in recent years, copay coupons and savings vouchers have delivered needed relief to the affordability issue. Medication adherence improves when patients can identify ways of lowering their co-payments, according to industry research. The strategic partnership allows OptimizeRx to include patient savings opportunities directly in the workflows of hospital EHRs and demonstrate a positive impact on medication adherence and patient outcomes.</w:t>
      </w:r>
    </w:p>
    <w:p>
      <w:pPr>
        <w:spacing w:after="0" w:line="18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Miriam Paramore, president of OptimizeRx, commented, “Medicom Health’s proven ability to provide best-in-class patient engagement for the industry’s largest health systems aligns closely with our company’s goal to leverage a direct communication channel to patients for pharmaceutical manufacturers offers.”</w:t>
      </w:r>
    </w:p>
    <w:p>
      <w:pPr>
        <w:spacing w:after="0" w:line="18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“Our strategic partnership will empower health systems that use Epic and Cerner with connectivity to these medication savings offers,” continued Paramore. “Connectivity to these two EHRs through Medicom Health allows us to scale our platform and reach millions of new patients.”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visit www.medicomhealth.com/rx-savings/ and www.optimizerx.com.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Medicom Health</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Medicom Health is an established health technology company dedicated to empowering health engagement via world-class digital solutions. For 18 years the company has developed innovative, award-winning solutions for high-profile health organizations including pharma, medical associations &amp; health systems. Today, over 600 leading hospitals use Medicom Health’s best-in-class digital tools to engage millions of consumers. For more information, visit www.medicomhealth.com.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OptimizeRx® (NASDAQ: OPRX) is one of the nation’s leading providers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like Allscripts, Amazing Charts and Quest, and provides more than half of the ambulatory patient market with access to these benefits within their workflow at the point-of-care. For more information, follow the company on Twitter, LinkedIn or visit www.optimizerx.com.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860-800-2344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nicolebrooks@innsena.com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90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2019-12-28T19:22:33Z</dcterms:created>
  <dcterms:modified xsi:type="dcterms:W3CDTF">2019-12-28T19:22:33Z</dcterms:modified>
</cp:coreProperties>
</file>