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ea0209800-s8pos_optimize.htm"/>
      <w:bookmarkStart w:id="1" w:name="ksea0209800s8pos_optimize"/>
      <w:bookmarkEnd w:id="0"/>
      <w:bookmarkEnd w:id="1"/>
      <w:r>
        <w:rPr>
          <w:rFonts w:ascii="Times New Roman;Times;Serif" w:hAnsi="Times New Roman;Times;Serif"/>
          <w:b w:val="false"/>
          <w:i w:val="false"/>
          <w:caps w:val="false"/>
          <w:smallCaps w:val="false"/>
          <w:sz w:val="20"/>
        </w:rPr>
        <w:t>As filed with the Securities and Exchange Commission on July 23, 2024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333-280300</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EFFECTIVE AMENDMENT NO.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5350" w:type="dxa"/>
        <w:jc w:val="left"/>
        <w:tblInd w:w="0" w:type="dxa"/>
        <w:tblLayout w:type="fixed"/>
        <w:tblCellMar>
          <w:top w:w="0" w:type="dxa"/>
          <w:left w:w="0" w:type="dxa"/>
          <w:bottom w:w="0" w:type="dxa"/>
          <w:right w:w="0" w:type="dxa"/>
        </w:tblCellMar>
      </w:tblPr>
      <w:tblGrid>
        <w:gridCol w:w="3755"/>
        <w:gridCol w:w="60"/>
        <w:gridCol w:w="1535"/>
      </w:tblGrid>
      <w:tr>
        <w:trPr/>
        <w:tc>
          <w:tcPr>
            <w:tcW w:w="5350" w:type="dxa"/>
            <w:gridSpan w:val="3"/>
            <w:tcBorders/>
            <w:vAlign w:val="center"/>
          </w:tcPr>
          <w:p>
            <w:pPr>
              <w:pStyle w:val="TableContents"/>
              <w:bidi w:val="0"/>
              <w:spacing w:before="0" w:after="283"/>
              <w:jc w:val="center"/>
              <w:rPr/>
            </w:pPr>
            <w:r>
              <w:rPr/>
              <w:t> </w:t>
            </w:r>
          </w:p>
        </w:tc>
      </w:tr>
      <w:tr>
        <w:trPr/>
        <w:tc>
          <w:tcPr>
            <w:tcW w:w="5350" w:type="dxa"/>
            <w:gridSpan w:val="3"/>
            <w:tcBorders/>
            <w:vAlign w:val="center"/>
          </w:tcPr>
          <w:p>
            <w:pPr>
              <w:pStyle w:val="TableContents"/>
              <w:bidi w:val="0"/>
              <w:spacing w:before="0" w:after="283"/>
              <w:jc w:val="center"/>
              <w:rPr>
                <w:b/>
                <w:sz w:val="20"/>
              </w:rPr>
            </w:pPr>
            <w:r>
              <w:rPr>
                <w:b/>
                <w:sz w:val="20"/>
              </w:rPr>
              <w:t>OptimizeRx Corporation</w:t>
            </w:r>
          </w:p>
        </w:tc>
      </w:tr>
      <w:tr>
        <w:trPr/>
        <w:tc>
          <w:tcPr>
            <w:tcW w:w="5350" w:type="dxa"/>
            <w:gridSpan w:val="3"/>
            <w:tcBorders/>
            <w:vAlign w:val="center"/>
          </w:tcPr>
          <w:p>
            <w:pPr>
              <w:pStyle w:val="TableContents"/>
              <w:bidi w:val="0"/>
              <w:spacing w:before="0" w:after="283"/>
              <w:jc w:val="center"/>
              <w:rPr>
                <w:sz w:val="20"/>
              </w:rPr>
            </w:pPr>
            <w:r>
              <w:rPr>
                <w:sz w:val="20"/>
              </w:rPr>
              <w:t>(Exact name of registrant as specified in its charter)</w:t>
            </w:r>
          </w:p>
        </w:tc>
      </w:tr>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7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Nevada</w:t>
            </w:r>
          </w:p>
        </w:tc>
        <w:tc>
          <w:tcPr>
            <w:tcW w:w="60" w:type="dxa"/>
            <w:tcBorders/>
            <w:vAlign w:val="center"/>
          </w:tcPr>
          <w:p>
            <w:pPr>
              <w:pStyle w:val="TableContents"/>
              <w:bidi w:val="0"/>
              <w:spacing w:before="0" w:after="283"/>
              <w:jc w:val="left"/>
              <w:rPr/>
            </w:pPr>
            <w:r>
              <w:rPr/>
              <w:t> </w:t>
            </w:r>
          </w:p>
        </w:tc>
        <w:tc>
          <w:tcPr>
            <w:tcW w:w="153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26-1265381</w:t>
            </w:r>
          </w:p>
        </w:tc>
      </w:tr>
      <w:tr>
        <w:trPr/>
        <w:tc>
          <w:tcPr>
            <w:tcW w:w="3755" w:type="dxa"/>
            <w:tcBorders/>
            <w:vAlign w:val="center"/>
          </w:tcPr>
          <w:p>
            <w:pPr>
              <w:pStyle w:val="TableContents"/>
              <w:bidi w:val="0"/>
              <w:spacing w:before="0" w:after="283"/>
              <w:jc w:val="center"/>
              <w:rPr>
                <w:sz w:val="20"/>
              </w:rPr>
            </w:pPr>
            <w:r>
              <w:rPr>
                <w:sz w:val="20"/>
              </w:rPr>
              <w:t xml:space="preserve">(State or other jurisdiction </w:t>
              <w:br/>
              <w:t>of incorporation or organization)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 xml:space="preserve">(I.R.S. Employer </w:t>
              <w:br/>
              <w:t>Identification No.)</w:t>
            </w:r>
          </w:p>
        </w:tc>
      </w:tr>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37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260 Charles Street, Suite 302, Waltham, MA</w:t>
            </w:r>
          </w:p>
        </w:tc>
        <w:tc>
          <w:tcPr>
            <w:tcW w:w="60" w:type="dxa"/>
            <w:tcBorders/>
            <w:vAlign w:val="center"/>
          </w:tcPr>
          <w:p>
            <w:pPr>
              <w:pStyle w:val="TableContents"/>
              <w:bidi w:val="0"/>
              <w:spacing w:before="0" w:after="283"/>
              <w:jc w:val="left"/>
              <w:rPr/>
            </w:pPr>
            <w:r>
              <w:rPr/>
              <w:t> </w:t>
            </w:r>
          </w:p>
        </w:tc>
        <w:tc>
          <w:tcPr>
            <w:tcW w:w="153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02453</w:t>
            </w:r>
          </w:p>
        </w:tc>
      </w:tr>
      <w:tr>
        <w:trPr/>
        <w:tc>
          <w:tcPr>
            <w:tcW w:w="375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(Zip Code)</w:t>
            </w:r>
          </w:p>
        </w:tc>
      </w:tr>
      <w:tr>
        <w:trPr/>
        <w:tc>
          <w:tcPr>
            <w:tcW w:w="5350" w:type="dxa"/>
            <w:gridSpan w:val="3"/>
            <w:tcBorders/>
            <w:vAlign w:val="center"/>
          </w:tcPr>
          <w:p>
            <w:pPr>
              <w:pStyle w:val="TableContents"/>
              <w:bidi w:val="0"/>
              <w:spacing w:before="0" w:after="283"/>
              <w:jc w:val="center"/>
              <w:rPr/>
            </w:pPr>
            <w:r>
              <w:rPr/>
              <w:t> </w:t>
            </w:r>
          </w:p>
        </w:tc>
      </w:tr>
      <w:tr>
        <w:trPr/>
        <w:tc>
          <w:tcPr>
            <w:tcW w:w="5350" w:type="dxa"/>
            <w:gridSpan w:val="3"/>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Equity Incentive Plan</w:t>
            </w:r>
          </w:p>
        </w:tc>
      </w:tr>
      <w:tr>
        <w:trPr/>
        <w:tc>
          <w:tcPr>
            <w:tcW w:w="5350" w:type="dxa"/>
            <w:gridSpan w:val="3"/>
            <w:tcBorders/>
            <w:vAlign w:val="center"/>
          </w:tcPr>
          <w:p>
            <w:pPr>
              <w:pStyle w:val="TableContents"/>
              <w:bidi w:val="0"/>
              <w:spacing w:before="0" w:after="283"/>
              <w:jc w:val="center"/>
              <w:rPr>
                <w:sz w:val="20"/>
              </w:rPr>
            </w:pPr>
            <w:r>
              <w:rPr>
                <w:sz w:val="20"/>
              </w:rPr>
              <w:t>(Full title of the plan)</w:t>
            </w:r>
          </w:p>
        </w:tc>
      </w:tr>
      <w:tr>
        <w:trPr/>
        <w:tc>
          <w:tcPr>
            <w:tcW w:w="5350" w:type="dxa"/>
            <w:gridSpan w:val="3"/>
            <w:tcBorders/>
            <w:vAlign w:val="center"/>
          </w:tcPr>
          <w:p>
            <w:pPr>
              <w:pStyle w:val="TableContents"/>
              <w:bidi w:val="0"/>
              <w:spacing w:before="0" w:after="283"/>
              <w:jc w:val="center"/>
              <w:rPr/>
            </w:pPr>
            <w:r>
              <w:rPr/>
              <w:t> </w:t>
            </w:r>
          </w:p>
        </w:tc>
      </w:tr>
      <w:tr>
        <w:trPr/>
        <w:tc>
          <w:tcPr>
            <w:tcW w:w="5350" w:type="dxa"/>
            <w:gridSpan w:val="3"/>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Marion Odence-Ford, Esquire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Corporation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 Charles Street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302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 02453</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 651-6568</w:t>
            </w:r>
          </w:p>
        </w:tc>
      </w:tr>
      <w:tr>
        <w:trPr/>
        <w:tc>
          <w:tcPr>
            <w:tcW w:w="5350" w:type="dxa"/>
            <w:gridSpan w:val="3"/>
            <w:tcBorders/>
            <w:vAlign w:val="center"/>
          </w:tcPr>
          <w:p>
            <w:pPr>
              <w:pStyle w:val="TableContents"/>
              <w:bidi w:val="0"/>
              <w:spacing w:before="0" w:after="283"/>
              <w:jc w:val="center"/>
              <w:rPr>
                <w:sz w:val="20"/>
              </w:rPr>
            </w:pPr>
            <w:r>
              <w:rPr>
                <w:sz w:val="20"/>
              </w:rPr>
              <w:t>(Name and address of agent for service)</w:t>
            </w:r>
          </w:p>
        </w:tc>
      </w:tr>
      <w:tr>
        <w:trPr/>
        <w:tc>
          <w:tcPr>
            <w:tcW w:w="5350" w:type="dxa"/>
            <w:gridSpan w:val="3"/>
            <w:tcBorders/>
            <w:vAlign w:val="center"/>
          </w:tcPr>
          <w:p>
            <w:pPr>
              <w:pStyle w:val="TableContents"/>
              <w:bidi w:val="0"/>
              <w:spacing w:before="0" w:after="283"/>
              <w:jc w:val="center"/>
              <w:rPr>
                <w:sz w:val="20"/>
              </w:rPr>
            </w:pPr>
            <w:r>
              <w:rPr>
                <w:sz w:val="20"/>
              </w:rPr>
              <w:t>(Telephone number, including area code, of agent for service)</w:t>
            </w:r>
          </w:p>
        </w:tc>
      </w:tr>
      <w:tr>
        <w:trPr/>
        <w:tc>
          <w:tcPr>
            <w:tcW w:w="5350" w:type="dxa"/>
            <w:gridSpan w:val="3"/>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left"/>
        <w:rPr>
          <w:caps w:val="false"/>
          <w:smallCaps w:val="false"/>
        </w:rPr>
      </w:pPr>
      <w:r>
        <w:rPr>
          <w:caps w:val="false"/>
          <w:smallCaps w:val="false"/>
        </w:rPr>
        <w:t> </w:t>
      </w:r>
    </w:p>
    <w:tbl>
      <w:tblPr>
        <w:tblW w:w="4580" w:type="dxa"/>
        <w:jc w:val="left"/>
        <w:tblInd w:w="0" w:type="dxa"/>
        <w:tblLayout w:type="fixed"/>
        <w:tblCellMar>
          <w:top w:w="0" w:type="dxa"/>
          <w:left w:w="0" w:type="dxa"/>
          <w:bottom w:w="0" w:type="dxa"/>
          <w:right w:w="0" w:type="dxa"/>
        </w:tblCellMar>
      </w:tblPr>
      <w:tblGrid>
        <w:gridCol w:w="1835"/>
        <w:gridCol w:w="230"/>
        <w:gridCol w:w="2270"/>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OptimizeRx Corporation (the “Company”) hereby amends its original Registration Statement on Form S-8 (File No. 333-280300) filed with the Securities and Exchange Commission (the “Commission”) on June 18, 2024 (the “Original Filing”) solely for the purpose of updating the exhibit index to include Exhibit 23.3 and to file Exhibit 23.3. Exhibit 23.3 is the consent of UHY LLP </w:t>
      </w:r>
      <w:r>
        <w:rPr>
          <w:rFonts w:ascii="Times New Roman;Times;Serif" w:hAnsi="Times New Roman;Times;Serif"/>
          <w:b w:val="false"/>
          <w:i w:val="false"/>
          <w:caps w:val="false"/>
          <w:smallCaps w:val="false"/>
          <w:sz w:val="20"/>
          <w:shd w:fill="FFFFFF" w:val="clear"/>
        </w:rPr>
        <w:t xml:space="preserve">related to the financial statements of </w:t>
      </w:r>
      <w:r>
        <w:rPr>
          <w:rFonts w:ascii="Times New Roman;Times;Serif" w:hAnsi="Times New Roman;Times;Serif"/>
          <w:b w:val="false"/>
          <w:i w:val="false"/>
          <w:caps w:val="false"/>
          <w:smallCaps w:val="false"/>
          <w:sz w:val="20"/>
        </w:rPr>
        <w:t xml:space="preserve">Healthy Offers, Inc. as of December 31, 2022 and 2021 and for the years then ended </w:t>
      </w:r>
      <w:r>
        <w:rPr>
          <w:rFonts w:ascii="Times New Roman;Times;Serif" w:hAnsi="Times New Roman;Times;Serif"/>
          <w:b w:val="false"/>
          <w:i w:val="false"/>
          <w:caps w:val="false"/>
          <w:smallCaps w:val="false"/>
          <w:sz w:val="20"/>
          <w:shd w:fill="FFFFFF" w:val="clear"/>
        </w:rPr>
        <w:t>(the “Auditor’s Consent”). </w:t>
      </w:r>
      <w:r>
        <w:rPr>
          <w:rFonts w:ascii="Times New Roman;Times;Serif" w:hAnsi="Times New Roman;Times;Serif"/>
          <w:b w:val="false"/>
          <w:i w:val="false"/>
          <w:caps w:val="false"/>
          <w:smallCaps w:val="false"/>
          <w:sz w:val="20"/>
        </w:rPr>
        <w:t>The Auditor’s Consent was inadvertently omitted from the Original Filing. This filing is being made solely to update the exhibit index and provide the Auditor’s Consent and does not update, amend, or modify any other information, statement or disclosure contained in or filed with the Original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Registration Statement or, where so indicated have been previously filed and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78"/>
        <w:gridCol w:w="60"/>
        <w:gridCol w:w="9467"/>
      </w:tblGrid>
      <w:tr>
        <w:trPr/>
        <w:tc>
          <w:tcPr>
            <w:tcW w:w="678"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67"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val="false"/>
                <w:dstrike w:val="false"/>
                <w:sz w:val="20"/>
                <w:u w:val="none"/>
                <w:effect w:val="none"/>
              </w:rPr>
              <w:t>Description of Exhibit</w:t>
            </w:r>
            <w:r>
              <w:rPr>
                <w:rFonts w:ascii="Times New Roman;Times;Serif" w:hAnsi="Times New Roman;Times;Serif"/>
                <w:b w:val="false"/>
                <w:i w:val="false"/>
                <w:caps w:val="false"/>
                <w:smallCaps w:val="false"/>
                <w:sz w:val="20"/>
              </w:rPr>
              <w:t xml:space="preserve">  </w:t>
            </w:r>
          </w:p>
        </w:tc>
      </w:tr>
      <w:tr>
        <w:trPr/>
        <w:tc>
          <w:tcPr>
            <w:tcW w:w="67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67"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Articles of Incorporation of the Registrant (incorporated by reference to Exhibit 3.1 of the Registrant’s Registration Statement on Form S-1, as filed with the Commission on November 12, 2008).</w:t>
              </w:r>
            </w:hyperlink>
          </w:p>
        </w:tc>
      </w:tr>
      <w:tr>
        <w:trPr/>
        <w:tc>
          <w:tcPr>
            <w:tcW w:w="67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7" w:type="dxa"/>
            <w:tcBorders/>
            <w:shd w:fill="FFFF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Correction of the Registrant, dated April 30, 2018 (incorporated by reference to Exhibit 3.5 of the Registrant’s Annual Report on Form 10-K for the fiscal year ended December 31, 2018, as filed with the Commission on March 12, 2019).</w:t>
              </w:r>
            </w:hyperlink>
          </w:p>
        </w:tc>
      </w:tr>
      <w:tr>
        <w:trPr/>
        <w:tc>
          <w:tcPr>
            <w:tcW w:w="67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7"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Third Amended and Restated Bylaws of the Registrant (incorporated by reference to Exhibit 3.3 of the Registrant’s Annual Report on Form 10-K for the fiscal year ended December 31, 2022, as filed with the Commission on March 10, 2023).</w:t>
              </w:r>
            </w:hyperlink>
          </w:p>
        </w:tc>
      </w:tr>
      <w:tr>
        <w:trPr/>
        <w:tc>
          <w:tcPr>
            <w:tcW w:w="67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7" w:type="dxa"/>
            <w:tcBorders/>
            <w:shd w:fill="FFFF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OptimizeRx Corporation 2021 Equity Incentive Plan (incorporated by reference to Exhibit 10.1 of the Registrant’s Current Report on Form 8-K, as filed with the Commission on August 25, 2021).</w:t>
              </w:r>
            </w:hyperlink>
          </w:p>
        </w:tc>
      </w:tr>
      <w:tr>
        <w:trPr/>
        <w:tc>
          <w:tcPr>
            <w:tcW w:w="67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7" w:type="dxa"/>
            <w:tcBorders/>
            <w:shd w:fill="CCEE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Amendment No. 1 to the OptimizeRx 2021 Equity Incentive Plan (incorporated by reference to Exhibit 10.1 of the Registrant’s Current Report on Form 8-K, as filed with the Commission on June 7, 2024).</w:t>
              </w:r>
            </w:hyperlink>
          </w:p>
        </w:tc>
      </w:tr>
      <w:tr>
        <w:trPr/>
        <w:tc>
          <w:tcPr>
            <w:tcW w:w="67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7" w:type="dxa"/>
            <w:tcBorders/>
            <w:shd w:fill="FFFF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Opinion of The Doney Law Firm.</w:t>
              </w:r>
            </w:hyperlink>
          </w:p>
        </w:tc>
      </w:tr>
      <w:tr>
        <w:trPr/>
        <w:tc>
          <w:tcPr>
            <w:tcW w:w="67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7"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Consent of UHY LLP.</w:t>
              </w:r>
            </w:hyperlink>
          </w:p>
        </w:tc>
      </w:tr>
      <w:tr>
        <w:trPr/>
        <w:tc>
          <w:tcPr>
            <w:tcW w:w="67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7" w:type="dxa"/>
            <w:tcBorders/>
            <w:shd w:fill="FFFF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Consent of The Doney Law Firm (included in Exhibit 5.1).</w:t>
              </w:r>
            </w:hyperlink>
          </w:p>
        </w:tc>
      </w:tr>
      <w:tr>
        <w:trPr/>
        <w:tc>
          <w:tcPr>
            <w:tcW w:w="67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7" w:type="dxa"/>
            <w:tcBorders/>
            <w:shd w:fill="CCEEFF" w:val="clear"/>
            <w:tcMar>
              <w:bottom w:w="0" w:type="dxa"/>
            </w:tcMar>
            <w:vAlign w:val="center"/>
          </w:tcPr>
          <w:p>
            <w:pPr>
              <w:pStyle w:val="TableContents"/>
              <w:bidi w:val="0"/>
              <w:spacing w:before="0" w:after="283"/>
              <w:jc w:val="both"/>
              <w:rPr/>
            </w:pPr>
            <w:hyperlink w:anchor="ea020980001ex23-3_optimize.htm">
              <w:r>
                <w:rPr>
                  <w:rStyle w:val="InternetLink"/>
                  <w:rFonts w:ascii="Times New Roman;Times;Serif" w:hAnsi="Times New Roman;Times;Serif"/>
                  <w:b w:val="false"/>
                  <w:i w:val="false"/>
                  <w:caps w:val="false"/>
                  <w:smallCaps w:val="false"/>
                  <w:sz w:val="20"/>
                </w:rPr>
                <w:t>Consent of UHY LLP, independent registered public accounting firm for Healthy Offers, Inc. </w:t>
              </w:r>
            </w:hyperlink>
          </w:p>
        </w:tc>
      </w:tr>
      <w:tr>
        <w:trPr/>
        <w:tc>
          <w:tcPr>
            <w:tcW w:w="67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67" w:type="dxa"/>
            <w:tcBorders/>
            <w:shd w:fill="FFFFFF" w:val="clear"/>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"https://www.sec.gov/Archives/edgar/data/1448431/000121390024053785/ea0208056-s8_optimizerx.htm" \l "a_001"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 (included on the signature page to the Original Filing).</w:t>
            </w:r>
            <w:r>
              <w:rPr>
                <w:rStyle w:val="InternetLink"/>
                <w:smallCaps w:val="false"/>
                <w:caps w:val="false"/>
                <w:sz w:val="20"/>
                <w:i w:val="false"/>
                <w:b w:val="false"/>
                <w:rFonts w:ascii="Times New Roman;Times;Serif" w:hAnsi="Times New Roman;Times;Serif"/>
              </w:rPr>
              <w:fldChar w:fldCharType="end"/>
            </w:r>
          </w:p>
        </w:tc>
      </w:tr>
      <w:tr>
        <w:trPr/>
        <w:tc>
          <w:tcPr>
            <w:tcW w:w="67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67"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center"/>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14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both"/>
              <w:rPr/>
            </w:pPr>
            <w:r>
              <w:rPr/>
              <w:t>Previously filed with Original Filing.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firstLine="612"/>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Waltham, Commonwealth of Massachusetts on July 23, 2024.</w:t>
      </w:r>
    </w:p>
    <w:p>
      <w:pPr>
        <w:pStyle w:val="TextBody"/>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both"/>
              <w:rPr/>
            </w:pPr>
            <w:r>
              <w:rPr/>
              <w:t> </w:t>
            </w:r>
          </w:p>
        </w:tc>
        <w:tc>
          <w:tcPr>
            <w:tcW w:w="2545" w:type="dxa"/>
            <w:gridSpan w:val="2"/>
            <w:tcBorders/>
            <w:vAlign w:val="center"/>
          </w:tcPr>
          <w:p>
            <w:pPr>
              <w:pStyle w:val="TableContents"/>
              <w:bidi w:val="0"/>
              <w:spacing w:before="0" w:after="283"/>
              <w:jc w:val="both"/>
              <w:rPr>
                <w:sz w:val="20"/>
              </w:rPr>
            </w:pPr>
            <w:r>
              <w:rPr>
                <w:sz w:val="20"/>
              </w:rPr>
              <w:t>OptimizeRx Corporation</w:t>
            </w:r>
          </w:p>
        </w:tc>
      </w:tr>
      <w:tr>
        <w:trPr/>
        <w:tc>
          <w:tcPr>
            <w:tcW w:w="75" w:type="dxa"/>
            <w:tcBorders/>
            <w:vAlign w:val="center"/>
          </w:tcPr>
          <w:p>
            <w:pPr>
              <w:pStyle w:val="TableContents"/>
              <w:bidi w:val="0"/>
              <w:spacing w:before="0" w:after="283"/>
              <w:jc w:val="both"/>
              <w:rPr/>
            </w:pPr>
            <w:r>
              <w:rPr/>
              <w:t> </w:t>
            </w:r>
          </w:p>
        </w:tc>
        <w:tc>
          <w:tcPr>
            <w:tcW w:w="254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William J. Febbo</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Name: </w:t>
            </w:r>
          </w:p>
        </w:tc>
        <w:tc>
          <w:tcPr>
            <w:tcW w:w="1955" w:type="dxa"/>
            <w:tcBorders/>
            <w:vAlign w:val="center"/>
          </w:tcPr>
          <w:p>
            <w:pPr>
              <w:pStyle w:val="TableContents"/>
              <w:bidi w:val="0"/>
              <w:spacing w:before="0" w:after="283"/>
              <w:jc w:val="both"/>
              <w:rPr>
                <w:sz w:val="20"/>
              </w:rPr>
            </w:pPr>
            <w:r>
              <w:rPr>
                <w:sz w:val="20"/>
              </w:rPr>
              <w:t>William J. Febbo</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Title:</w:t>
            </w:r>
          </w:p>
        </w:tc>
        <w:tc>
          <w:tcPr>
            <w:tcW w:w="1955" w:type="dxa"/>
            <w:tcBorders/>
            <w:vAlign w:val="center"/>
          </w:tcPr>
          <w:p>
            <w:pPr>
              <w:pStyle w:val="TableContents"/>
              <w:bidi w:val="0"/>
              <w:spacing w:before="0" w:after="283"/>
              <w:jc w:val="both"/>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held on the dates indicated.</w:t>
      </w:r>
    </w:p>
    <w:p>
      <w:pPr>
        <w:pStyle w:val="TextBody"/>
        <w:bidi w:val="0"/>
        <w:spacing w:before="0" w:after="0"/>
        <w:ind w:left="0" w:right="0" w:hanging="0"/>
        <w:jc w:val="left"/>
        <w:rPr>
          <w:caps w:val="false"/>
          <w:smallCaps w:val="false"/>
        </w:rPr>
      </w:pPr>
      <w:r>
        <w:rPr>
          <w:caps w:val="false"/>
          <w:smallCaps w:val="false"/>
        </w:rPr>
        <w:t> </w:t>
      </w:r>
    </w:p>
    <w:tbl>
      <w:tblPr>
        <w:tblW w:w="7515" w:type="dxa"/>
        <w:jc w:val="left"/>
        <w:tblInd w:w="0" w:type="dxa"/>
        <w:tblLayout w:type="fixed"/>
        <w:tblCellMar>
          <w:top w:w="0" w:type="dxa"/>
          <w:left w:w="0" w:type="dxa"/>
          <w:bottom w:w="28" w:type="dxa"/>
          <w:right w:w="0" w:type="dxa"/>
        </w:tblCellMar>
      </w:tblPr>
      <w:tblGrid>
        <w:gridCol w:w="2000"/>
        <w:gridCol w:w="60"/>
        <w:gridCol w:w="4250"/>
        <w:gridCol w:w="60"/>
        <w:gridCol w:w="1145"/>
      </w:tblGrid>
      <w:tr>
        <w:trPr/>
        <w:tc>
          <w:tcPr>
            <w:tcW w:w="2000" w:type="dxa"/>
            <w:tcBorders>
              <w:bottom w:val="single" w:sz="12"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4250" w:type="dxa"/>
            <w:tcBorders>
              <w:bottom w:val="single" w:sz="12"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145" w:type="dxa"/>
            <w:tcBorders>
              <w:bottom w:val="single" w:sz="12" w:space="0" w:color="000000"/>
            </w:tcBorders>
            <w:vAlign w:val="center"/>
          </w:tcPr>
          <w:p>
            <w:pPr>
              <w:pStyle w:val="TableContents"/>
              <w:bidi w:val="0"/>
              <w:spacing w:before="0" w:after="283"/>
              <w:jc w:val="center"/>
              <w:rPr>
                <w:b/>
                <w:sz w:val="20"/>
              </w:rPr>
            </w:pPr>
            <w:r>
              <w:rPr>
                <w:b/>
                <w:sz w:val="20"/>
              </w:rPr>
              <w:t>Date</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000" w:type="dxa"/>
            <w:tcBorders>
              <w:bottom w:val="single" w:sz="12" w:space="0" w:color="000000"/>
            </w:tcBorders>
            <w:vAlign w:val="center"/>
          </w:tcPr>
          <w:p>
            <w:pPr>
              <w:pStyle w:val="TableContents"/>
              <w:bidi w:val="0"/>
              <w:spacing w:before="0" w:after="283"/>
              <w:jc w:val="left"/>
              <w:rPr>
                <w:sz w:val="20"/>
              </w:rPr>
            </w:pPr>
            <w:r>
              <w:rPr>
                <w:sz w:val="20"/>
              </w:rPr>
              <w:t>/s/ William J. Febbo</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sz w:val="20"/>
              </w:rPr>
            </w:pPr>
            <w:r>
              <w:rPr>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sz w:val="20"/>
              </w:rPr>
            </w:pPr>
            <w:r>
              <w:rPr>
                <w:sz w:val="20"/>
              </w:rPr>
              <w:t>July 23, 2024</w:t>
            </w:r>
          </w:p>
        </w:tc>
      </w:tr>
      <w:tr>
        <w:trPr/>
        <w:tc>
          <w:tcPr>
            <w:tcW w:w="2000" w:type="dxa"/>
            <w:tcBorders/>
            <w:tcMar>
              <w:bottom w:w="0" w:type="dxa"/>
            </w:tcMar>
            <w:vAlign w:val="center"/>
          </w:tcPr>
          <w:p>
            <w:pPr>
              <w:pStyle w:val="TableContents"/>
              <w:bidi w:val="0"/>
              <w:spacing w:before="0" w:after="283"/>
              <w:jc w:val="left"/>
              <w:rPr>
                <w:sz w:val="20"/>
              </w:rPr>
            </w:pPr>
            <w:r>
              <w:rPr>
                <w:sz w:val="20"/>
              </w:rPr>
              <w:t>William J. Febbo</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sz w:val="20"/>
              </w:rPr>
            </w:pPr>
            <w:r>
              <w:rPr>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000" w:type="dxa"/>
            <w:tcBorders>
              <w:bottom w:val="single" w:sz="12" w:space="0" w:color="000000"/>
            </w:tcBorders>
            <w:vAlign w:val="center"/>
          </w:tcPr>
          <w:p>
            <w:pPr>
              <w:pStyle w:val="TableContents"/>
              <w:bidi w:val="0"/>
              <w:spacing w:before="0" w:after="283"/>
              <w:jc w:val="left"/>
              <w:rPr>
                <w:sz w:val="20"/>
              </w:rPr>
            </w:pPr>
            <w:r>
              <w:rPr>
                <w:sz w:val="20"/>
              </w:rPr>
              <w:t>/s/ Edward Stelmakh</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sz w:val="20"/>
              </w:rPr>
            </w:pPr>
            <w:r>
              <w:rPr>
                <w:sz w:val="20"/>
              </w:rPr>
              <w:t>Chief Financial Officer and Chief Operations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sz w:val="20"/>
              </w:rPr>
            </w:pPr>
            <w:r>
              <w:rPr>
                <w:sz w:val="20"/>
              </w:rPr>
              <w:t>July 23, 2024</w:t>
            </w:r>
          </w:p>
        </w:tc>
      </w:tr>
      <w:tr>
        <w:trPr/>
        <w:tc>
          <w:tcPr>
            <w:tcW w:w="2000" w:type="dxa"/>
            <w:tcBorders/>
            <w:tcMar>
              <w:bottom w:w="0" w:type="dxa"/>
            </w:tcMar>
            <w:vAlign w:val="center"/>
          </w:tcPr>
          <w:p>
            <w:pPr>
              <w:pStyle w:val="TableContents"/>
              <w:bidi w:val="0"/>
              <w:spacing w:before="0" w:after="283"/>
              <w:jc w:val="left"/>
              <w:rPr>
                <w:sz w:val="20"/>
              </w:rPr>
            </w:pPr>
            <w:r>
              <w:rPr>
                <w:sz w:val="20"/>
              </w:rPr>
              <w:t>Edward Stelmakh</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sz w:val="20"/>
              </w:rPr>
            </w:pPr>
            <w:r>
              <w:rPr>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000" w:type="dxa"/>
            <w:tcBorders>
              <w:bottom w:val="single" w:sz="12" w:space="0" w:color="000000"/>
            </w:tcBorders>
            <w:vAlign w:val="center"/>
          </w:tcPr>
          <w:p>
            <w:pPr>
              <w:pStyle w:val="TableContents"/>
              <w:bidi w:val="0"/>
              <w:spacing w:before="0" w:after="283"/>
              <w:jc w:val="left"/>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sz w:val="20"/>
              </w:rPr>
            </w:pPr>
            <w:r>
              <w:rPr>
                <w:sz w:val="20"/>
              </w:rPr>
              <w:t>Director, Chairperson</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sz w:val="20"/>
              </w:rPr>
            </w:pPr>
            <w:r>
              <w:rPr>
                <w:sz w:val="20"/>
              </w:rPr>
              <w:t>July 23, 2024</w:t>
            </w:r>
          </w:p>
        </w:tc>
      </w:tr>
      <w:tr>
        <w:trPr/>
        <w:tc>
          <w:tcPr>
            <w:tcW w:w="2000" w:type="dxa"/>
            <w:tcBorders/>
            <w:tcMar>
              <w:bottom w:w="0" w:type="dxa"/>
            </w:tcMar>
            <w:vAlign w:val="center"/>
          </w:tcPr>
          <w:p>
            <w:pPr>
              <w:pStyle w:val="TableContents"/>
              <w:bidi w:val="0"/>
              <w:spacing w:before="0" w:after="283"/>
              <w:jc w:val="left"/>
              <w:rPr>
                <w:sz w:val="20"/>
              </w:rPr>
            </w:pPr>
            <w:r>
              <w:rPr>
                <w:sz w:val="20"/>
              </w:rPr>
              <w:t>Lynn O’Connor Vos</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000" w:type="dxa"/>
            <w:tcBorders>
              <w:bottom w:val="single" w:sz="12" w:space="0" w:color="000000"/>
            </w:tcBorders>
            <w:vAlign w:val="center"/>
          </w:tcPr>
          <w:p>
            <w:pPr>
              <w:pStyle w:val="TableContents"/>
              <w:bidi w:val="0"/>
              <w:spacing w:before="0" w:after="283"/>
              <w:jc w:val="left"/>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sz w:val="20"/>
              </w:rPr>
            </w:pPr>
            <w:r>
              <w:rPr>
                <w:sz w:val="20"/>
              </w:rPr>
              <w:t>July 23, 2024</w:t>
            </w:r>
          </w:p>
        </w:tc>
      </w:tr>
      <w:tr>
        <w:trPr/>
        <w:tc>
          <w:tcPr>
            <w:tcW w:w="2000" w:type="dxa"/>
            <w:tcBorders/>
            <w:tcMar>
              <w:bottom w:w="0" w:type="dxa"/>
            </w:tcMar>
            <w:vAlign w:val="center"/>
          </w:tcPr>
          <w:p>
            <w:pPr>
              <w:pStyle w:val="TableContents"/>
              <w:bidi w:val="0"/>
              <w:spacing w:before="0" w:after="283"/>
              <w:jc w:val="left"/>
              <w:rPr>
                <w:sz w:val="20"/>
              </w:rPr>
            </w:pPr>
            <w:r>
              <w:rPr>
                <w:sz w:val="20"/>
              </w:rPr>
              <w:t>James Lang</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000" w:type="dxa"/>
            <w:tcBorders>
              <w:bottom w:val="single" w:sz="12" w:space="0" w:color="000000"/>
            </w:tcBorders>
            <w:vAlign w:val="center"/>
          </w:tcPr>
          <w:p>
            <w:pPr>
              <w:pStyle w:val="TableContents"/>
              <w:bidi w:val="0"/>
              <w:spacing w:before="0" w:after="283"/>
              <w:jc w:val="left"/>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sz w:val="20"/>
              </w:rPr>
            </w:pPr>
            <w:r>
              <w:rPr>
                <w:sz w:val="20"/>
              </w:rPr>
              <w:t>July 23, 2024</w:t>
            </w:r>
          </w:p>
        </w:tc>
      </w:tr>
      <w:tr>
        <w:trPr/>
        <w:tc>
          <w:tcPr>
            <w:tcW w:w="2000" w:type="dxa"/>
            <w:tcBorders/>
            <w:tcMar>
              <w:bottom w:w="0" w:type="dxa"/>
            </w:tcMar>
            <w:vAlign w:val="center"/>
          </w:tcPr>
          <w:p>
            <w:pPr>
              <w:pStyle w:val="TableContents"/>
              <w:bidi w:val="0"/>
              <w:spacing w:before="0" w:after="283"/>
              <w:jc w:val="left"/>
              <w:rPr>
                <w:sz w:val="20"/>
              </w:rPr>
            </w:pPr>
            <w:r>
              <w:rPr>
                <w:sz w:val="20"/>
              </w:rPr>
              <w:t>Patrick Spangler</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000" w:type="dxa"/>
            <w:tcBorders>
              <w:bottom w:val="single" w:sz="12" w:space="0" w:color="000000"/>
            </w:tcBorders>
            <w:vAlign w:val="center"/>
          </w:tcPr>
          <w:p>
            <w:pPr>
              <w:pStyle w:val="TableContents"/>
              <w:bidi w:val="0"/>
              <w:spacing w:before="0" w:after="283"/>
              <w:jc w:val="left"/>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sz w:val="20"/>
              </w:rPr>
            </w:pPr>
            <w:r>
              <w:rPr>
                <w:sz w:val="20"/>
              </w:rPr>
              <w:t>July 23, 2024</w:t>
            </w:r>
          </w:p>
        </w:tc>
      </w:tr>
      <w:tr>
        <w:trPr/>
        <w:tc>
          <w:tcPr>
            <w:tcW w:w="2000" w:type="dxa"/>
            <w:tcBorders/>
            <w:tcMar>
              <w:bottom w:w="0" w:type="dxa"/>
            </w:tcMar>
            <w:vAlign w:val="center"/>
          </w:tcPr>
          <w:p>
            <w:pPr>
              <w:pStyle w:val="TableContents"/>
              <w:bidi w:val="0"/>
              <w:spacing w:before="0" w:after="283"/>
              <w:jc w:val="left"/>
              <w:rPr/>
            </w:pPr>
            <w:r>
              <w:rPr/>
              <w:t>Gregory D. Wasson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000" w:type="dxa"/>
            <w:tcBorders>
              <w:bottom w:val="single" w:sz="12" w:space="0" w:color="000000"/>
            </w:tcBorders>
            <w:vAlign w:val="center"/>
          </w:tcPr>
          <w:p>
            <w:pPr>
              <w:pStyle w:val="TableContents"/>
              <w:bidi w:val="0"/>
              <w:spacing w:before="0" w:after="283"/>
              <w:jc w:val="left"/>
              <w:rPr/>
            </w:pPr>
            <w:r>
              <w:rPr/>
              <w:t>*</w:t>
            </w:r>
            <w:r>
              <w:rPr>
                <w:shd w:fill="FFFFFF" w:val="clea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sz w:val="20"/>
              </w:rPr>
            </w:pPr>
            <w:r>
              <w:rPr>
                <w:sz w:val="20"/>
              </w:rPr>
              <w:t>July 23, 2024</w:t>
            </w:r>
          </w:p>
        </w:tc>
      </w:tr>
      <w:tr>
        <w:trPr/>
        <w:tc>
          <w:tcPr>
            <w:tcW w:w="2000" w:type="dxa"/>
            <w:tcBorders/>
            <w:shd w:fill="FFFFFF" w:val="clear"/>
            <w:tcMar>
              <w:bottom w:w="0" w:type="dxa"/>
            </w:tcMar>
            <w:vAlign w:val="center"/>
          </w:tcPr>
          <w:p>
            <w:pPr>
              <w:pStyle w:val="TableContents"/>
              <w:bidi w:val="0"/>
              <w:spacing w:before="0" w:after="283"/>
              <w:jc w:val="left"/>
              <w:rPr>
                <w:sz w:val="20"/>
              </w:rPr>
            </w:pPr>
            <w:r>
              <w:rPr>
                <w:sz w:val="20"/>
              </w:rPr>
              <w:t>Catherine M. Klema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440"/>
        <w:gridCol w:w="1760"/>
        <w:gridCol w:w="75"/>
      </w:tblGrid>
      <w:tr>
        <w:trPr/>
        <w:tc>
          <w:tcPr>
            <w:tcW w:w="440" w:type="dxa"/>
            <w:tcBorders/>
            <w:vAlign w:val="center"/>
          </w:tcPr>
          <w:p>
            <w:pPr>
              <w:pStyle w:val="TableContents"/>
              <w:bidi w:val="0"/>
              <w:spacing w:before="0" w:after="283"/>
              <w:jc w:val="left"/>
              <w:rPr>
                <w:sz w:val="20"/>
              </w:rPr>
            </w:pPr>
            <w:r>
              <w:rPr>
                <w:sz w:val="20"/>
              </w:rPr>
              <w:t>*By:</w:t>
            </w:r>
          </w:p>
        </w:tc>
        <w:tc>
          <w:tcPr>
            <w:tcW w:w="176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William J. Febbo</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William J. Febbo  </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0980001ex23-3_optimize.htm"/>
      <w:bookmarkStart w:id="3" w:name="ksea020980001ex233_optimize"/>
      <w:bookmarkEnd w:id="2"/>
      <w:bookmarkEnd w:id="3"/>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Post-Effective Amendment No. 1 to the Registration Statement on Form S-8 (File No. 333-280300) of OptimizeRx Corporation (the “Company”) of our report dated December 29, 2023, with respect to our audit of the financial statements of Healthy Offers, Inc. as of December 31, 2022 and 2021, and for the years then ended, appearing in the Company’s Form 8-K/A filed on January 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Sterling Heights, Michigan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48431/000136110608000414/optimizerx_s1-ex0301.htm" TargetMode="External"/><Relationship Id="rId3" Type="http://schemas.openxmlformats.org/officeDocument/2006/relationships/hyperlink" Target="https://www.sec.gov/Archives/edgar/data/1448431/000121390019003962/f10k2018ex3-5_optimizerx.htm" TargetMode="External"/><Relationship Id="rId4" Type="http://schemas.openxmlformats.org/officeDocument/2006/relationships/hyperlink" Target="http://www.sec.gov/Archives/edgar/data/1448431/000121390023019233/f10k2022ex3-3_optimizerx.htm" TargetMode="External"/><Relationship Id="rId5" Type="http://schemas.openxmlformats.org/officeDocument/2006/relationships/hyperlink" Target="https://www.sec.gov/Archives/edgar/data/1448431/000121390021044810/ea146392ex10-1_optimizerx.htm" TargetMode="External"/><Relationship Id="rId6" Type="http://schemas.openxmlformats.org/officeDocument/2006/relationships/hyperlink" Target="https://www.sec.gov/Archives/edgar/data/1448431/000121390024050753/ea0207524ex10-1_optimize.htm" TargetMode="External"/><Relationship Id="rId7" Type="http://schemas.openxmlformats.org/officeDocument/2006/relationships/hyperlink" Target="https://www.sec.gov/Archives/edgar/data/1448431/000121390024053785/ea020805601ex5-1_optimize.htm" TargetMode="External"/><Relationship Id="rId8" Type="http://schemas.openxmlformats.org/officeDocument/2006/relationships/hyperlink" Target="https://www.sec.gov/Archives/edgar/data/1448431/000121390024053785/ea020805601ex23-1_optimize.htm" TargetMode="External"/><Relationship Id="rId9" Type="http://schemas.openxmlformats.org/officeDocument/2006/relationships/hyperlink" Target="https://www.sec.gov/Archives/edgar/data/1448431/000121390024053785/ea020805601ex5-1_optimize.htm" TargetMode="External"/><Relationship Id="rId10" Type="http://schemas.openxmlformats.org/officeDocument/2006/relationships/hyperlink" Target="https://www.sec.gov/Archives/edgar/data/1448431/000121390024053785/ea020805601ex-fee_optimize.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930</Words>
  <Characters>5058</Characters>
  <CharactersWithSpaces>6037</CharactersWithSpaces>
  <Paragraphs>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