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OPTIMIZERX CORPORATION</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68401U105</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Barry L. Fischer</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Thompson Coburn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55 East Monroe Street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Suite 3700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Chicago, IL 60603</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(312) 346-7500</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January 27, 2015</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(f) or (g),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13d-7(b) for other parties to whom copies are being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ind w:left="460" w:right="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68401U105</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NAMES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491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491605"/>
                    </a:xfrm>
                    <a:prstGeom prst="rect">
                      <a:avLst/>
                    </a:prstGeom>
                    <a:noFill/>
                  </pic:spPr>
                </pic:pic>
              </a:graphicData>
            </a:graphic>
          </wp:anchor>
        </w:drawing>
      </w:r>
    </w:p>
    <w:p>
      <w:pPr>
        <w:spacing w:after="0" w:line="225" w:lineRule="exact"/>
        <w:rPr>
          <w:sz w:val="20"/>
          <w:szCs w:val="20"/>
          <w:color w:val="auto"/>
        </w:rPr>
      </w:pPr>
    </w:p>
    <w:p>
      <w:pPr>
        <w:ind w:left="800" w:right="580" w:hanging="545"/>
        <w:spacing w:after="0" w:line="186" w:lineRule="auto"/>
        <w:tabs>
          <w:tab w:leader="none" w:pos="800" w:val="left"/>
        </w:tabs>
        <w:numPr>
          <w:ilvl w:val="0"/>
          <w:numId w:val="2"/>
        </w:numPr>
        <w:rPr>
          <w:rFonts w:ascii="Arial" w:cs="Arial" w:eastAsia="Arial" w:hAnsi="Arial"/>
          <w:sz w:val="36"/>
          <w:szCs w:val="36"/>
          <w:b w:val="1"/>
          <w:bCs w:val="1"/>
          <w:color w:val="auto"/>
          <w:vertAlign w:val="superscript"/>
        </w:rPr>
      </w:pPr>
      <w:r>
        <w:rPr>
          <w:rFonts w:ascii="Arial" w:cs="Arial" w:eastAsia="Arial" w:hAnsi="Arial"/>
          <w:sz w:val="22"/>
          <w:szCs w:val="22"/>
          <w:color w:val="auto"/>
        </w:rPr>
        <w:t>Individual Retirement Accounts for the benefit of Ronald L. Chez, the Chez Family Foundation and Ronald L. Chez Individually</w:t>
      </w:r>
    </w:p>
    <w:tbl>
      <w:tblPr>
        <w:tblLayout w:type="fixed"/>
        <w:tblInd w:w="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11040" w:type="dxa"/>
            <w:vAlign w:val="bottom"/>
            <w:gridSpan w:val="3"/>
          </w:tcPr>
          <w:p>
            <w:pPr>
              <w:ind w:left="400"/>
              <w:spacing w:after="0" w:line="187"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2</w:t>
            </w:r>
          </w:p>
        </w:tc>
        <w:tc>
          <w:tcPr>
            <w:tcW w:w="1080" w:type="dxa"/>
            <w:vAlign w:val="bottom"/>
          </w:tcPr>
          <w:p>
            <w:pPr>
              <w:ind w:left="4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6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10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3</w:t>
            </w:r>
          </w:p>
        </w:tc>
        <w:tc>
          <w:tcPr>
            <w:tcW w:w="11040" w:type="dxa"/>
            <w:vAlign w:val="bottom"/>
            <w:gridSpan w:val="3"/>
          </w:tcPr>
          <w:p>
            <w:pPr>
              <w:ind w:left="4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07"/>
        </w:trPr>
        <w:tc>
          <w:tcPr>
            <w:tcW w:w="4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0" w:type="dxa"/>
            <w:vAlign w:val="bottom"/>
            <w:tcBorders>
              <w:bottom w:val="single" w:sz="8" w:color="auto"/>
            </w:tcBorders>
          </w:tcPr>
          <w:p>
            <w:pPr>
              <w:spacing w:after="0"/>
              <w:rPr>
                <w:sz w:val="11"/>
                <w:szCs w:val="11"/>
                <w:color w:val="auto"/>
              </w:rPr>
            </w:pPr>
          </w:p>
        </w:tc>
        <w:tc>
          <w:tcPr>
            <w:tcW w:w="11040" w:type="dxa"/>
            <w:vAlign w:val="bottom"/>
            <w:tcBorders>
              <w:bottom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11040" w:type="dxa"/>
            <w:vAlign w:val="bottom"/>
            <w:gridSpan w:val="3"/>
          </w:tcPr>
          <w:p>
            <w:pPr>
              <w:ind w:left="40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4</w:t>
            </w:r>
          </w:p>
        </w:tc>
        <w:tc>
          <w:tcPr>
            <w:tcW w:w="1080" w:type="dxa"/>
            <w:vAlign w:val="bottom"/>
            <w:vMerge w:val="restart"/>
          </w:tcPr>
          <w:p>
            <w:pPr>
              <w:ind w:left="400"/>
              <w:spacing w:after="0"/>
              <w:rPr>
                <w:sz w:val="20"/>
                <w:szCs w:val="20"/>
                <w:color w:val="auto"/>
              </w:rPr>
            </w:pPr>
            <w:r>
              <w:rPr>
                <w:rFonts w:ascii="Arial" w:cs="Arial" w:eastAsia="Arial" w:hAnsi="Arial"/>
                <w:sz w:val="22"/>
                <w:szCs w:val="22"/>
                <w:color w:val="auto"/>
              </w:rPr>
              <w:t>PF</w:t>
            </w:r>
          </w:p>
        </w:tc>
        <w:tc>
          <w:tcPr>
            <w:tcW w:w="46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11040" w:type="dxa"/>
            <w:vAlign w:val="bottom"/>
            <w:gridSpan w:val="3"/>
          </w:tcPr>
          <w:p>
            <w:pPr>
              <w:ind w:left="4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5</w:t>
            </w:r>
          </w:p>
        </w:tc>
        <w:tc>
          <w:tcPr>
            <w:tcW w:w="1080" w:type="dxa"/>
            <w:vAlign w:val="bottom"/>
            <w:vMerge w:val="restart"/>
          </w:tcPr>
          <w:p>
            <w:pPr>
              <w:ind w:left="400"/>
              <w:spacing w:after="0" w:line="221" w:lineRule="exact"/>
              <w:rPr>
                <w:sz w:val="20"/>
                <w:szCs w:val="20"/>
                <w:color w:val="auto"/>
              </w:rPr>
            </w:pPr>
            <w:r>
              <w:rPr>
                <w:rFonts w:ascii="MS PGothic" w:cs="MS PGothic" w:eastAsia="MS PGothic" w:hAnsi="MS PGothic"/>
                <w:sz w:val="22"/>
                <w:szCs w:val="22"/>
                <w:color w:val="auto"/>
              </w:rPr>
              <w:t>☐</w:t>
            </w:r>
          </w:p>
        </w:tc>
        <w:tc>
          <w:tcPr>
            <w:tcW w:w="460" w:type="dxa"/>
            <w:vAlign w:val="bottom"/>
          </w:tcPr>
          <w:p>
            <w:pPr>
              <w:spacing w:after="0"/>
              <w:rPr>
                <w:sz w:val="21"/>
                <w:szCs w:val="21"/>
                <w:color w:val="auto"/>
              </w:rPr>
            </w:pPr>
          </w:p>
        </w:tc>
        <w:tc>
          <w:tcPr>
            <w:tcW w:w="9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11040" w:type="dxa"/>
            <w:vAlign w:val="bottom"/>
            <w:gridSpan w:val="3"/>
          </w:tcPr>
          <w:p>
            <w:pPr>
              <w:ind w:left="4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6</w:t>
            </w:r>
          </w:p>
        </w:tc>
        <w:tc>
          <w:tcPr>
            <w:tcW w:w="11040" w:type="dxa"/>
            <w:vAlign w:val="bottom"/>
            <w:gridSpan w:val="3"/>
            <w:vMerge w:val="restart"/>
          </w:tcPr>
          <w:p>
            <w:pPr>
              <w:ind w:left="40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55"/>
        </w:trPr>
        <w:tc>
          <w:tcPr>
            <w:tcW w:w="400" w:type="dxa"/>
            <w:vAlign w:val="bottom"/>
            <w:tcBorders>
              <w:bottom w:val="single" w:sz="8" w:color="auto"/>
            </w:tcBorders>
          </w:tcPr>
          <w:p>
            <w:pPr>
              <w:spacing w:after="0"/>
              <w:rPr>
                <w:sz w:val="22"/>
                <w:szCs w:val="22"/>
                <w:color w:val="auto"/>
              </w:rPr>
            </w:pPr>
          </w:p>
        </w:tc>
        <w:tc>
          <w:tcPr>
            <w:tcW w:w="11040" w:type="dxa"/>
            <w:vAlign w:val="bottom"/>
            <w:tcBorders>
              <w:bottom w:val="single" w:sz="8" w:color="auto"/>
            </w:tcBorders>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1480" w:type="dxa"/>
            <w:vAlign w:val="bottom"/>
            <w:tcBorders>
              <w:right w:val="single" w:sz="8" w:color="auto"/>
            </w:tcBorders>
            <w:gridSpan w:val="2"/>
            <w:vMerge w:val="restart"/>
          </w:tcPr>
          <w:p>
            <w:pPr>
              <w:ind w:left="280"/>
              <w:spacing w:after="0"/>
              <w:rPr>
                <w:sz w:val="20"/>
                <w:szCs w:val="20"/>
                <w:color w:val="auto"/>
              </w:rPr>
            </w:pPr>
            <w:r>
              <w:rPr>
                <w:rFonts w:ascii="Arial" w:cs="Arial" w:eastAsia="Arial" w:hAnsi="Arial"/>
                <w:sz w:val="18"/>
                <w:szCs w:val="18"/>
                <w:color w:val="auto"/>
              </w:rPr>
              <w:t>NUMBER OF</w:t>
            </w:r>
          </w:p>
        </w:tc>
        <w:tc>
          <w:tcPr>
            <w:tcW w:w="4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w:t>
            </w:r>
          </w:p>
        </w:tc>
        <w:tc>
          <w:tcPr>
            <w:tcW w:w="950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1,597,408</w:t>
            </w: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5"/>
        </w:trPr>
        <w:tc>
          <w:tcPr>
            <w:tcW w:w="1480" w:type="dxa"/>
            <w:vAlign w:val="bottom"/>
            <w:tcBorders>
              <w:right w:val="single" w:sz="8" w:color="auto"/>
            </w:tcBorders>
            <w:gridSpan w:val="2"/>
            <w:vMerge w:val="continue"/>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8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right w:val="single" w:sz="8" w:color="auto"/>
            </w:tcBorders>
          </w:tcPr>
          <w:p>
            <w:pPr>
              <w:spacing w:after="0"/>
              <w:rPr>
                <w:sz w:val="3"/>
                <w:szCs w:val="3"/>
                <w:color w:val="auto"/>
              </w:rPr>
            </w:pPr>
          </w:p>
        </w:tc>
        <w:tc>
          <w:tcPr>
            <w:tcW w:w="9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80" w:type="dxa"/>
            <w:vAlign w:val="bottom"/>
            <w:tcBorders>
              <w:right w:val="single" w:sz="8" w:color="auto"/>
            </w:tcBorders>
            <w:vMerge w:val="continue"/>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950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8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8</w:t>
            </w: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48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9"/>
              </w:rPr>
              <w:t>OWNED BY</w:t>
            </w:r>
          </w:p>
        </w:tc>
        <w:tc>
          <w:tcPr>
            <w:tcW w:w="460" w:type="dxa"/>
            <w:vAlign w:val="bottom"/>
            <w:tcBorders>
              <w:right w:val="single" w:sz="8" w:color="auto"/>
            </w:tcBorders>
            <w:vMerge w:val="continue"/>
          </w:tcPr>
          <w:p>
            <w:pPr>
              <w:spacing w:after="0"/>
              <w:rPr>
                <w:sz w:val="7"/>
                <w:szCs w:val="7"/>
                <w:color w:val="auto"/>
              </w:rPr>
            </w:pPr>
          </w:p>
        </w:tc>
        <w:tc>
          <w:tcPr>
            <w:tcW w:w="9500" w:type="dxa"/>
            <w:vAlign w:val="bottom"/>
            <w:vMerge w:val="restart"/>
          </w:tcPr>
          <w:p>
            <w:pPr>
              <w:ind w:left="1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4"/>
        </w:trPr>
        <w:tc>
          <w:tcPr>
            <w:tcW w:w="1480" w:type="dxa"/>
            <w:vAlign w:val="bottom"/>
            <w:tcBorders>
              <w:right w:val="single" w:sz="8" w:color="auto"/>
            </w:tcBorders>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9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8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right w:val="single" w:sz="8" w:color="auto"/>
            </w:tcBorders>
          </w:tcPr>
          <w:p>
            <w:pPr>
              <w:spacing w:after="0"/>
              <w:rPr>
                <w:sz w:val="10"/>
                <w:szCs w:val="10"/>
                <w:color w:val="auto"/>
              </w:rPr>
            </w:pPr>
          </w:p>
        </w:tc>
        <w:tc>
          <w:tcPr>
            <w:tcW w:w="95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950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5"/>
        </w:trPr>
        <w:tc>
          <w:tcPr>
            <w:tcW w:w="148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8"/>
                <w:szCs w:val="18"/>
                <w:color w:val="auto"/>
              </w:rPr>
              <w:t>REPORTING</w:t>
            </w:r>
          </w:p>
        </w:tc>
        <w:tc>
          <w:tcPr>
            <w:tcW w:w="460" w:type="dxa"/>
            <w:vAlign w:val="bottom"/>
            <w:tcBorders>
              <w:right w:val="single" w:sz="8" w:color="auto"/>
            </w:tcBorders>
          </w:tcPr>
          <w:p>
            <w:pPr>
              <w:spacing w:after="0"/>
              <w:rPr>
                <w:sz w:val="12"/>
                <w:szCs w:val="12"/>
                <w:color w:val="auto"/>
              </w:rPr>
            </w:pPr>
          </w:p>
        </w:tc>
        <w:tc>
          <w:tcPr>
            <w:tcW w:w="9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480" w:type="dxa"/>
            <w:vAlign w:val="bottom"/>
            <w:tcBorders>
              <w:right w:val="single" w:sz="8" w:color="auto"/>
            </w:tcBorders>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9</w:t>
            </w:r>
          </w:p>
        </w:tc>
        <w:tc>
          <w:tcPr>
            <w:tcW w:w="9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00" w:type="dxa"/>
            <w:vAlign w:val="bottom"/>
          </w:tcPr>
          <w:p>
            <w:pPr>
              <w:spacing w:after="0"/>
              <w:rPr>
                <w:sz w:val="14"/>
                <w:szCs w:val="14"/>
                <w:color w:val="auto"/>
              </w:rPr>
            </w:pPr>
          </w:p>
        </w:tc>
        <w:tc>
          <w:tcPr>
            <w:tcW w:w="108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vMerge w:val="continue"/>
          </w:tcPr>
          <w:p>
            <w:pPr>
              <w:spacing w:after="0"/>
              <w:rPr>
                <w:sz w:val="14"/>
                <w:szCs w:val="14"/>
                <w:color w:val="auto"/>
              </w:rPr>
            </w:pPr>
          </w:p>
        </w:tc>
        <w:tc>
          <w:tcPr>
            <w:tcW w:w="9500" w:type="dxa"/>
            <w:vAlign w:val="bottom"/>
            <w:vMerge w:val="restart"/>
          </w:tcPr>
          <w:p>
            <w:pPr>
              <w:ind w:left="1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3"/>
        </w:trPr>
        <w:tc>
          <w:tcPr>
            <w:tcW w:w="400" w:type="dxa"/>
            <w:vAlign w:val="bottom"/>
          </w:tcPr>
          <w:p>
            <w:pPr>
              <w:spacing w:after="0"/>
              <w:rPr>
                <w:sz w:val="4"/>
                <w:szCs w:val="4"/>
                <w:color w:val="auto"/>
              </w:rPr>
            </w:pPr>
          </w:p>
        </w:tc>
        <w:tc>
          <w:tcPr>
            <w:tcW w:w="1080" w:type="dxa"/>
            <w:vAlign w:val="bottom"/>
            <w:tcBorders>
              <w:right w:val="single" w:sz="8" w:color="auto"/>
            </w:tcBorders>
            <w:vMerge w:val="continue"/>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9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80" w:type="dxa"/>
            <w:vAlign w:val="bottom"/>
            <w:tcBorders>
              <w:right w:val="single" w:sz="8" w:color="auto"/>
            </w:tcBorders>
          </w:tcPr>
          <w:p>
            <w:pPr>
              <w:jc w:val="center"/>
              <w:ind w:right="166"/>
              <w:spacing w:after="0" w:line="203"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right w:val="single" w:sz="8" w:color="auto"/>
            </w:tcBorders>
          </w:tcPr>
          <w:p>
            <w:pPr>
              <w:spacing w:after="0"/>
              <w:rPr>
                <w:sz w:val="17"/>
                <w:szCs w:val="17"/>
                <w:color w:val="auto"/>
              </w:rPr>
            </w:pPr>
          </w:p>
        </w:tc>
        <w:tc>
          <w:tcPr>
            <w:tcW w:w="9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50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10</w:t>
            </w:r>
          </w:p>
        </w:tc>
        <w:tc>
          <w:tcPr>
            <w:tcW w:w="950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1,597,408</w:t>
            </w: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55"/>
        </w:trPr>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95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ind w:left="80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11</w:t>
      </w:r>
    </w:p>
    <w:p>
      <w:pPr>
        <w:spacing w:after="0" w:line="2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1,597,408</w:t>
      </w:r>
      <w:r>
        <w:rPr>
          <w:rFonts w:ascii="Arial" w:cs="Arial" w:eastAsia="Arial" w:hAnsi="Arial"/>
          <w:sz w:val="18"/>
          <w:szCs w:val="18"/>
          <w:b w:val="1"/>
          <w:bCs w:val="1"/>
          <w:color w:val="auto"/>
        </w:rPr>
        <w:t>(1)</w:t>
      </w:r>
    </w:p>
    <w:p>
      <w:pPr>
        <w:spacing w:after="0" w:line="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CHECK IF THE AGGREGATE AMOUNT IN ROW (11) EXCLUDES CERTAIN SHARES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12</w:t>
      </w:r>
    </w:p>
    <w:p>
      <w:pPr>
        <w:spacing w:after="0" w:line="16" w:lineRule="exact"/>
        <w:rPr>
          <w:sz w:val="20"/>
          <w:szCs w:val="20"/>
          <w:color w:val="auto"/>
        </w:rPr>
      </w:pPr>
    </w:p>
    <w:p>
      <w:pPr>
        <w:ind w:left="800"/>
        <w:spacing w:after="0" w:line="221" w:lineRule="exact"/>
        <w:rPr>
          <w:sz w:val="20"/>
          <w:szCs w:val="20"/>
          <w:color w:val="auto"/>
        </w:rPr>
      </w:pPr>
      <w:r>
        <w:rPr>
          <w:rFonts w:ascii="MS PGothic" w:cs="MS PGothic" w:eastAsia="MS PGothic" w:hAnsi="MS PGothic"/>
          <w:sz w:val="22"/>
          <w:szCs w:val="22"/>
          <w:color w:val="auto"/>
        </w:rPr>
        <w:t>☐</w:t>
      </w:r>
    </w:p>
    <w:p>
      <w:pPr>
        <w:spacing w:after="0" w:line="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PERCENT OF CLASS REPRESENTED BY AMOUNT IN ROW (11)</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13</w:t>
      </w:r>
    </w:p>
    <w:p>
      <w:pPr>
        <w:spacing w:after="0" w:line="2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6.8%</w:t>
      </w:r>
      <w:r>
        <w:rPr>
          <w:rFonts w:ascii="Arial" w:cs="Arial" w:eastAsia="Arial" w:hAnsi="Arial"/>
          <w:sz w:val="18"/>
          <w:szCs w:val="18"/>
          <w:color w:val="auto"/>
        </w:rPr>
        <w:t>(1)</w:t>
      </w:r>
    </w:p>
    <w:p>
      <w:pPr>
        <w:spacing w:after="0" w:line="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TYPE OF REPORTING PERSON (See Instructions)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14</w:t>
      </w:r>
    </w:p>
    <w:p>
      <w:pPr>
        <w:spacing w:after="0" w:line="2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5" w:lineRule="exact"/>
        <w:rPr>
          <w:sz w:val="20"/>
          <w:szCs w:val="20"/>
          <w:color w:val="auto"/>
        </w:rPr>
      </w:pPr>
    </w:p>
    <w:p>
      <w:pPr>
        <w:ind w:left="460" w:right="18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Based upon 23,404,819 shares of the Issuer’s Common Stock issued and outstanding as of November 12, 2014, as reported on the Issuer’s Form 10-Q for the quarterly period ended September 30, 2014.</w:t>
      </w:r>
    </w:p>
    <w:p>
      <w:pPr>
        <w:spacing w:after="0" w:line="102" w:lineRule="exact"/>
        <w:rPr>
          <w:rFonts w:ascii="Arial" w:cs="Arial" w:eastAsia="Arial" w:hAnsi="Arial"/>
          <w:sz w:val="15"/>
          <w:szCs w:val="15"/>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40"/>
          </w:cols>
          <w:pgMar w:left="240" w:top="270" w:right="219" w:bottom="1440" w:gutter="0" w:footer="0" w:header="0"/>
        </w:sectPr>
      </w:pPr>
    </w:p>
    <w:bookmarkStart w:id="2" w:name="page3"/>
    <w:bookmarkEnd w:id="2"/>
    <w:p>
      <w:pPr>
        <w:ind w:right="5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Rule 13d-1 of Regulation 13D-G of the General Rules and Regulations under the Securities Exchange Act of 1934, as amended, the undersigned, Ronald L. Chez (the “Reporting Person”) hereby files this Schedule 13D.</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This Schedule 13D relates to the Common Stock, Par Value $0.001 per share (“Common Stock”) of OptimizeRx Corporation (the “Company”). The principal executive offices of the Company are located at 400 Water Street, Suite 200, Rochester, MI, 48307.</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(a)-(b)-(c) The Reporting Person is an individual whose principal occupation is an investor and his business address is in Chicago, Illinois.</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 During the last five years, the Reporting Person has not been convicted in a criminal proceeding (excluding traffic violations or similar misdemeanors) or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The Reporting Person is a citizen of the United States of America.</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consideration used by the Reporting Person to purchase the Common Stock of the Company that require the filing of this Schedule 13D are personal funds, including amounts held by an individual retirement account for the benefit of the Reporting Person, and a charitable foundation controlled by the Reporting Person.</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121"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The Securities of the Company to which this statement relates have been acquired by the Reporting Person through his foundation and individual retirement account for investment purposes, consistent with the significant opportunities the Reporting Person currently sees for the Company.</w:t>
      </w:r>
    </w:p>
    <w:p>
      <w:pPr>
        <w:spacing w:after="0" w:line="124"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Reporting Person may give consideration to acquiring a more significant voice in the Company’s management and/or becoming a director of the Company, but he has not yet made that determination. It is possible that at a future date the Reporting Person might decide to sell shares of the Common Stock or to acquire additional shares of the Common Stock (or securities convertible or exchangeable into Common Stock, if any) through open market or privately negotiated transactions. Any such future decisions will be made by the Reporting Person in light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74" w:right="259" w:bottom="1440" w:gutter="0" w:footer="0" w:header="0"/>
        </w:sectPr>
      </w:pPr>
    </w:p>
    <w:bookmarkStart w:id="3" w:name="page4"/>
    <w:bookmarkEnd w:id="3"/>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then current financial conditions and prospects of the Company, the market value of the Common Stock, the financial condition of the Reporting Person and other relevant factors. Except as noted above, the Reporting Person has not formulated any plans or proposals which relate to or would result in:</w:t>
      </w:r>
    </w:p>
    <w:p>
      <w:pPr>
        <w:spacing w:after="0" w:line="124" w:lineRule="exact"/>
        <w:rPr>
          <w:sz w:val="20"/>
          <w:szCs w:val="20"/>
          <w:color w:val="auto"/>
        </w:rPr>
      </w:pPr>
    </w:p>
    <w:p>
      <w:pPr>
        <w:ind w:left="700" w:hanging="23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extraordinary corporate transaction, such as a merger, reorganization or liquidation, involving the issuer or any of its subsidiaries;</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of any of its subsidiaries;</w:t>
      </w:r>
    </w:p>
    <w:p>
      <w:pPr>
        <w:spacing w:after="0" w:line="225" w:lineRule="exact"/>
        <w:rPr>
          <w:rFonts w:ascii="Arial" w:cs="Arial" w:eastAsia="Arial" w:hAnsi="Arial"/>
          <w:sz w:val="18"/>
          <w:szCs w:val="18"/>
          <w:color w:val="auto"/>
        </w:rPr>
      </w:pPr>
    </w:p>
    <w:p>
      <w:pPr>
        <w:ind w:right="620" w:firstLine="464"/>
        <w:spacing w:after="0" w:line="277" w:lineRule="auto"/>
        <w:tabs>
          <w:tab w:leader="none" w:pos="711"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225" w:lineRule="exact"/>
        <w:rPr>
          <w:rFonts w:ascii="Arial" w:cs="Arial" w:eastAsia="Arial" w:hAnsi="Arial"/>
          <w:sz w:val="18"/>
          <w:szCs w:val="18"/>
          <w:color w:val="auto"/>
        </w:rPr>
      </w:pPr>
    </w:p>
    <w:p>
      <w:pPr>
        <w:ind w:right="580" w:firstLine="464"/>
        <w:spacing w:after="0" w:line="264" w:lineRule="auto"/>
        <w:tabs>
          <w:tab w:leader="none" w:pos="681"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 including but not limited to, if the issuer is a registered closed-end investment company, any plans or proposals to make any changes in its investment policy for which a vote is required by Section 13 of the Investment Company Act of 1940;</w:t>
      </w:r>
    </w:p>
    <w:p>
      <w:pPr>
        <w:spacing w:after="0" w:line="181" w:lineRule="exact"/>
        <w:rPr>
          <w:rFonts w:ascii="Arial" w:cs="Arial" w:eastAsia="Arial" w:hAnsi="Arial"/>
          <w:sz w:val="18"/>
          <w:szCs w:val="18"/>
          <w:color w:val="auto"/>
        </w:rPr>
      </w:pPr>
    </w:p>
    <w:p>
      <w:pPr>
        <w:ind w:right="200" w:firstLine="464"/>
        <w:spacing w:after="0" w:line="256" w:lineRule="auto"/>
        <w:tabs>
          <w:tab w:leader="none" w:pos="711"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 causing a class of securities of the issuer to be delisted from a national securities exchange or to cease to be authorized to be quoted in an inter-dealer quotation system of a registered national</w:t>
      </w:r>
    </w:p>
    <w:p>
      <w:pPr>
        <w:spacing w:after="0"/>
        <w:rPr>
          <w:rFonts w:ascii="Arial" w:cs="Arial" w:eastAsia="Arial" w:hAnsi="Arial"/>
          <w:sz w:val="18"/>
          <w:szCs w:val="18"/>
          <w:color w:val="auto"/>
        </w:rPr>
      </w:pPr>
      <w:r>
        <w:rPr>
          <w:rFonts w:ascii="Arial" w:cs="Arial" w:eastAsia="Arial" w:hAnsi="Arial"/>
          <w:sz w:val="18"/>
          <w:szCs w:val="18"/>
          <w:color w:val="auto"/>
        </w:rPr>
        <w:t>securities association;</w:t>
      </w:r>
    </w:p>
    <w:p>
      <w:pPr>
        <w:spacing w:after="0" w:line="210" w:lineRule="exact"/>
        <w:rPr>
          <w:rFonts w:ascii="Arial" w:cs="Arial" w:eastAsia="Arial" w:hAnsi="Arial"/>
          <w:sz w:val="18"/>
          <w:szCs w:val="18"/>
          <w:color w:val="auto"/>
        </w:rPr>
      </w:pPr>
    </w:p>
    <w:p>
      <w:pPr>
        <w:ind w:right="360" w:firstLine="464"/>
        <w:spacing w:after="0" w:line="277" w:lineRule="auto"/>
        <w:tabs>
          <w:tab w:leader="none" w:pos="711" w:val="left"/>
        </w:tabs>
        <w:numPr>
          <w:ilvl w:val="0"/>
          <w:numId w:val="4"/>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class of equity securities of the issuer becoming eligible for termination of registration pursuant to Section 12(g)(4) of the Act; or</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right="60" w:firstLine="464"/>
        <w:spacing w:after="0" w:line="286" w:lineRule="auto"/>
        <w:tabs>
          <w:tab w:leader="none" w:pos="70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statement relates to 1,597,408 shares of Common Stock owned by the Reporting Person. Based on the Company’s Form 10-Q for the quarterly period ended September 30, 2014, 23,404,819 shares of Common Stock were outstanding as of November 12, 2014. Therefore, the 1,597,408 shares of Common Stock reported on this Schedule 13D represent approximately 6.8% of the Company’s outstanding shares.</w:t>
      </w:r>
    </w:p>
    <w:p>
      <w:pPr>
        <w:spacing w:after="0" w:line="97" w:lineRule="exact"/>
        <w:rPr>
          <w:rFonts w:ascii="Arial" w:cs="Arial" w:eastAsia="Arial" w:hAnsi="Arial"/>
          <w:sz w:val="17"/>
          <w:szCs w:val="17"/>
          <w:color w:val="auto"/>
        </w:rPr>
      </w:pPr>
    </w:p>
    <w:p>
      <w:pPr>
        <w:ind w:left="5660" w:hanging="96"/>
        <w:spacing w:after="0"/>
        <w:tabs>
          <w:tab w:leader="none" w:pos="5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74" w:right="239" w:bottom="1440" w:gutter="0" w:footer="0" w:header="0"/>
        </w:sectPr>
      </w:pPr>
    </w:p>
    <w:bookmarkStart w:id="4" w:name="page5"/>
    <w:bookmarkEnd w:id="4"/>
    <w:p>
      <w:pPr>
        <w:ind w:right="380" w:firstLine="464"/>
        <w:spacing w:after="0" w:line="277" w:lineRule="auto"/>
        <w:tabs>
          <w:tab w:leader="none" w:pos="711"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Reporting Person has the sole power (and no shared power) to vote, dispose of or direct the disposition of the Securities and any Common Stock resulting from the exercise or conversion thereof.</w:t>
      </w:r>
    </w:p>
    <w:p>
      <w:pPr>
        <w:spacing w:after="0" w:line="170" w:lineRule="exact"/>
        <w:rPr>
          <w:rFonts w:ascii="Arial" w:cs="Arial" w:eastAsia="Arial" w:hAnsi="Arial"/>
          <w:sz w:val="18"/>
          <w:szCs w:val="18"/>
          <w:color w:val="auto"/>
        </w:rPr>
      </w:pPr>
    </w:p>
    <w:p>
      <w:pPr>
        <w:ind w:firstLine="464"/>
        <w:spacing w:after="0" w:line="277" w:lineRule="auto"/>
        <w:tabs>
          <w:tab w:leader="none" w:pos="701"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past 60 days, the Reporting Person effected the following purchases of the Company’s securities, each through open market transactions, on the dates, in the amounts, and at the prices per share shown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Transactions by Reporting Person’s individual retirement account:</w:t>
      </w:r>
    </w:p>
    <w:p>
      <w:pPr>
        <w:spacing w:after="0" w:line="231"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Unit</w:t>
            </w:r>
          </w:p>
        </w:tc>
      </w:tr>
      <w:tr>
        <w:trPr>
          <w:trHeight w:val="171"/>
        </w:trPr>
        <w:tc>
          <w:tcPr>
            <w:tcW w:w="2100" w:type="dxa"/>
            <w:vAlign w:val="bottom"/>
            <w:gridSpan w:val="3"/>
          </w:tcPr>
          <w:p>
            <w:pPr>
              <w:jc w:val="right"/>
              <w:ind w:right="1200"/>
              <w:spacing w:after="0" w:line="151" w:lineRule="exact"/>
              <w:rPr>
                <w:sz w:val="20"/>
                <w:szCs w:val="20"/>
                <w:color w:val="auto"/>
              </w:rPr>
            </w:pPr>
            <w:r>
              <w:rPr>
                <w:rFonts w:ascii="Arial" w:cs="Arial" w:eastAsia="Arial" w:hAnsi="Arial"/>
                <w:sz w:val="14"/>
                <w:szCs w:val="14"/>
                <w:b w:val="1"/>
                <w:bCs w:val="1"/>
                <w:color w:val="auto"/>
              </w:rPr>
              <w:t>Date</w:t>
            </w:r>
          </w:p>
        </w:tc>
        <w:tc>
          <w:tcPr>
            <w:tcW w:w="158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Shares</w:t>
            </w:r>
          </w:p>
        </w:tc>
        <w:tc>
          <w:tcPr>
            <w:tcW w:w="880" w:type="dxa"/>
            <w:vAlign w:val="bottom"/>
            <w:gridSpan w:val="2"/>
          </w:tcPr>
          <w:p>
            <w:pPr>
              <w:jc w:val="right"/>
              <w:ind w:right="600"/>
              <w:spacing w:after="0" w:line="151" w:lineRule="exact"/>
              <w:rPr>
                <w:sz w:val="20"/>
                <w:szCs w:val="20"/>
                <w:color w:val="auto"/>
              </w:rPr>
            </w:pPr>
            <w:r>
              <w:rPr>
                <w:rFonts w:ascii="Arial" w:cs="Arial" w:eastAsia="Arial" w:hAnsi="Arial"/>
                <w:sz w:val="14"/>
                <w:szCs w:val="14"/>
                <w:b w:val="1"/>
                <w:bCs w:val="1"/>
                <w:color w:val="auto"/>
                <w:w w:val="83"/>
              </w:rPr>
              <w:t>Cost</w:t>
            </w:r>
          </w:p>
        </w:tc>
      </w:tr>
      <w:tr>
        <w:trPr>
          <w:trHeight w:val="20"/>
        </w:trPr>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7"/>
        </w:trPr>
        <w:tc>
          <w:tcPr>
            <w:tcW w:w="2100" w:type="dxa"/>
            <w:vAlign w:val="bottom"/>
            <w:gridSpan w:val="3"/>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12/5/2014</w:t>
            </w:r>
          </w:p>
        </w:tc>
        <w:tc>
          <w:tcPr>
            <w:tcW w:w="158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3,500</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$0.8600</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12/8/2014</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4,400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$0.8600</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12/10/2014</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$0.9320</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12/11/2014</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3,000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$0.8901</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12/12/2014</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$0.9000</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12/15/2014</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6,800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$0.8704</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12/17/2014</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$0.9300</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12/19/2014</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16,200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$0.9500</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12/22/2014</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$1.0550</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12/26/2014</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21,800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$1.0367</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12/29/2014</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$1.0455</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12/30/2014</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28,000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$1.0468</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12/31/2014</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$1.0497</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1/5/2015</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6,000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$1.1083</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1/8/2015</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24,300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1/12/2015</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9,000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$1.0700</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1/13/2015</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$1.0353</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1/14/2015</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2,000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$1.1000</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1/14/2015</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1/15/2015</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3,000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1/16/2015</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$0.9973</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1/20/2015</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20,400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$0.9991</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1/21/2015</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$1.0089</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1/22/2015</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20,000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$1.0400</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1/26/2015</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49,154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$1.0355</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1/27/2015</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139,143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$1.0285</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1/28/2015</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$1.0365</w:t>
            </w:r>
          </w:p>
        </w:tc>
      </w:tr>
      <w:tr>
        <w:trPr>
          <w:trHeight w:val="230"/>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1/30/2015</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213,000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$1.0548</w:t>
            </w:r>
          </w:p>
        </w:tc>
      </w:tr>
      <w:tr>
        <w:trPr>
          <w:trHeight w:val="350"/>
        </w:trPr>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- 5 -</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Transactions by Reporting Person’s foundation:</w:t>
      </w:r>
    </w:p>
    <w:p>
      <w:pPr>
        <w:spacing w:after="0" w:line="231"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Unit</w:t>
            </w:r>
          </w:p>
        </w:tc>
      </w:tr>
      <w:tr>
        <w:trPr>
          <w:trHeight w:val="171"/>
        </w:trPr>
        <w:tc>
          <w:tcPr>
            <w:tcW w:w="2100" w:type="dxa"/>
            <w:vAlign w:val="bottom"/>
            <w:gridSpan w:val="3"/>
          </w:tcPr>
          <w:p>
            <w:pPr>
              <w:jc w:val="right"/>
              <w:ind w:right="1200"/>
              <w:spacing w:after="0" w:line="151" w:lineRule="exact"/>
              <w:rPr>
                <w:sz w:val="20"/>
                <w:szCs w:val="20"/>
                <w:color w:val="auto"/>
              </w:rPr>
            </w:pPr>
            <w:r>
              <w:rPr>
                <w:rFonts w:ascii="Arial" w:cs="Arial" w:eastAsia="Arial" w:hAnsi="Arial"/>
                <w:sz w:val="14"/>
                <w:szCs w:val="14"/>
                <w:b w:val="1"/>
                <w:bCs w:val="1"/>
                <w:color w:val="auto"/>
              </w:rPr>
              <w:t>Date</w:t>
            </w:r>
          </w:p>
        </w:tc>
        <w:tc>
          <w:tcPr>
            <w:tcW w:w="1580" w:type="dxa"/>
            <w:vAlign w:val="bottom"/>
            <w:gridSpan w:val="2"/>
          </w:tcPr>
          <w:p>
            <w:pPr>
              <w:jc w:val="right"/>
              <w:ind w:right="1160"/>
              <w:spacing w:after="0" w:line="151" w:lineRule="exact"/>
              <w:rPr>
                <w:sz w:val="20"/>
                <w:szCs w:val="20"/>
                <w:color w:val="auto"/>
              </w:rPr>
            </w:pPr>
            <w:r>
              <w:rPr>
                <w:rFonts w:ascii="Arial" w:cs="Arial" w:eastAsia="Arial" w:hAnsi="Arial"/>
                <w:sz w:val="14"/>
                <w:szCs w:val="14"/>
                <w:b w:val="1"/>
                <w:bCs w:val="1"/>
                <w:color w:val="auto"/>
                <w:w w:val="85"/>
              </w:rPr>
              <w:t>Shares</w:t>
            </w:r>
          </w:p>
        </w:tc>
        <w:tc>
          <w:tcPr>
            <w:tcW w:w="880" w:type="dxa"/>
            <w:vAlign w:val="bottom"/>
            <w:gridSpan w:val="2"/>
          </w:tcPr>
          <w:p>
            <w:pPr>
              <w:jc w:val="right"/>
              <w:ind w:right="600"/>
              <w:spacing w:after="0" w:line="151" w:lineRule="exact"/>
              <w:rPr>
                <w:sz w:val="20"/>
                <w:szCs w:val="20"/>
                <w:color w:val="auto"/>
              </w:rPr>
            </w:pPr>
            <w:r>
              <w:rPr>
                <w:rFonts w:ascii="Arial" w:cs="Arial" w:eastAsia="Arial" w:hAnsi="Arial"/>
                <w:sz w:val="14"/>
                <w:szCs w:val="14"/>
                <w:b w:val="1"/>
                <w:bCs w:val="1"/>
                <w:color w:val="auto"/>
                <w:w w:val="83"/>
              </w:rPr>
              <w:t>Cost</w:t>
            </w:r>
          </w:p>
        </w:tc>
      </w:tr>
      <w:tr>
        <w:trPr>
          <w:trHeight w:val="20"/>
        </w:trPr>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7"/>
        </w:trPr>
        <w:tc>
          <w:tcPr>
            <w:tcW w:w="2100" w:type="dxa"/>
            <w:vAlign w:val="bottom"/>
            <w:gridSpan w:val="3"/>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12/17/2014</w:t>
            </w:r>
          </w:p>
        </w:tc>
        <w:tc>
          <w:tcPr>
            <w:tcW w:w="158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5,300</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$0.9413</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12/19/2014</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5,000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$0.9500</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12/22/2014</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$1.0800</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12/23/2014</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23,060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$1.0010</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12/24/2014</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$1.0582</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12/26/2014</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7,500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$1.0400</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12/30/2014</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$1.0800</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12/31/2014</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11,200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$1.0650</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1/8/2015</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$1.1100</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1/15/2015</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5,000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$1.1000</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1/21/2015</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$1.0100</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1/22/2015</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4,800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$1.0200</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1/26/2015</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$1.0300</w:t>
            </w:r>
          </w:p>
        </w:tc>
      </w:tr>
      <w:tr>
        <w:trPr>
          <w:trHeight w:val="216"/>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1/28/2015</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5,500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$1.0336</w:t>
            </w:r>
          </w:p>
        </w:tc>
      </w:tr>
      <w:tr>
        <w:trPr>
          <w:trHeight w:val="216"/>
        </w:trPr>
        <w:tc>
          <w:tcPr>
            <w:tcW w:w="2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2/2/2015</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18,600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$1.0489</w:t>
            </w:r>
          </w:p>
        </w:tc>
      </w:tr>
      <w:tr>
        <w:trPr>
          <w:trHeight w:val="230"/>
        </w:trPr>
        <w:tc>
          <w:tcPr>
            <w:tcW w:w="2100" w:type="dxa"/>
            <w:vAlign w:val="bottom"/>
            <w:gridSpan w:val="3"/>
          </w:tcPr>
          <w:p>
            <w:pPr>
              <w:jc w:val="right"/>
              <w:ind w:right="560"/>
              <w:spacing w:after="0"/>
              <w:rPr>
                <w:sz w:val="20"/>
                <w:szCs w:val="20"/>
                <w:color w:val="auto"/>
              </w:rPr>
            </w:pPr>
            <w:r>
              <w:rPr>
                <w:rFonts w:ascii="Arial" w:cs="Arial" w:eastAsia="Arial" w:hAnsi="Arial"/>
                <w:sz w:val="18"/>
                <w:szCs w:val="18"/>
                <w:color w:val="auto"/>
              </w:rPr>
              <w:t>2/4/2015</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69,200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$1.0000</w:t>
            </w:r>
          </w:p>
        </w:tc>
      </w:tr>
    </w:tbl>
    <w:p>
      <w:pPr>
        <w:spacing w:after="0" w:line="187" w:lineRule="exact"/>
        <w:rPr>
          <w:sz w:val="20"/>
          <w:szCs w:val="20"/>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219"/>
          </w:cols>
          <w:pgMar w:left="240" w:top="274" w:right="1440" w:bottom="1440" w:gutter="0" w:footer="0" w:header="0"/>
        </w:sectPr>
      </w:pPr>
    </w:p>
    <w:bookmarkStart w:id="6" w:name="page7"/>
    <w:bookmarkEnd w:id="6"/>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5,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Barry L.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Barry L. Fischer, attorney-in-fact for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Ronald L. Chez</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- 7 -</w:t>
      </w:r>
    </w:p>
    <w:sectPr>
      <w:pgSz w:w="11900" w:h="16838" w:orient="portrait"/>
      <w:cols w:equalWidth="0" w:num="1">
        <w:col w:w="10920"/>
      </w:cols>
      <w:pgMar w:left="2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1)"/>
      <w:numFmt w:val="decimal"/>
      <w:start w:val="1"/>
    </w:lvl>
    <w:lvl w:ilvl="1">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lvl w:ilvl="1">
      <w:lvlJc w:val="left"/>
      <w:lvlText w:val="-"/>
      <w:numFmt w:val="bullet"/>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2019-12-08T21:33:44Z</dcterms:created>
  <dcterms:modified xsi:type="dcterms:W3CDTF">2019-12-08T21:33:44Z</dcterms:modified>
</cp:coreProperties>
</file>