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February 11, 2009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Registration No. 333 -155280</w:t>
      </w:r>
    </w:p>
    <w:p>
      <w:pPr>
        <w:spacing w:after="0" w:line="200" w:lineRule="exact"/>
        <w:rPr>
          <w:sz w:val="24"/>
          <w:szCs w:val="24"/>
          <w:color w:val="auto"/>
        </w:rPr>
      </w:pPr>
    </w:p>
    <w:p>
      <w:pPr>
        <w:sectPr>
          <w:pgSz w:w="11900" w:h="16838" w:orient="portrait"/>
          <w:cols w:equalWidth="0" w:num="2">
            <w:col w:w="8560" w:space="720"/>
            <w:col w:w="2140"/>
          </w:cols>
          <w:pgMar w:left="240" w:top="584" w:right="239" w:bottom="1440" w:gutter="0" w:footer="0" w:header="0"/>
        </w:sectPr>
      </w:pP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 /A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ectPr>
          <w:pgSz w:w="11900" w:h="16838" w:orient="portrait"/>
          <w:cols w:equalWidth="0" w:num="1">
            <w:col w:w="11420"/>
          </w:cols>
          <w:pgMar w:left="240" w:top="584" w:right="239" w:bottom="1440" w:gutter="0" w:footer="0" w:header="0"/>
          <w:type w:val="continuous"/>
        </w:sect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OPTIMIZERX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59"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0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7389</w:t>
            </w:r>
          </w:p>
        </w:tc>
        <w:tc>
          <w:tcPr>
            <w:tcW w:w="238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26-1265381</w:t>
            </w:r>
          </w:p>
        </w:tc>
      </w:tr>
      <w:tr>
        <w:trPr>
          <w:trHeight w:val="216"/>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980" w:type="dxa"/>
            <w:vAlign w:val="bottom"/>
          </w:tcPr>
          <w:p>
            <w:pPr>
              <w:jc w:val="center"/>
              <w:ind w:right="150"/>
              <w:spacing w:after="0"/>
              <w:rPr>
                <w:sz w:val="20"/>
                <w:szCs w:val="20"/>
                <w:color w:val="auto"/>
              </w:rPr>
            </w:pPr>
            <w:r>
              <w:rPr>
                <w:rFonts w:ascii="Arial" w:cs="Arial" w:eastAsia="Arial" w:hAnsi="Arial"/>
                <w:sz w:val="18"/>
                <w:szCs w:val="18"/>
                <w:color w:val="auto"/>
                <w:w w:val="91"/>
              </w:rPr>
              <w:t>(Primary Standard Industrial</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980" w:type="dxa"/>
            <w:vAlign w:val="bottom"/>
          </w:tcPr>
          <w:p>
            <w:pPr>
              <w:jc w:val="center"/>
              <w:ind w:right="130"/>
              <w:spacing w:after="0"/>
              <w:rPr>
                <w:sz w:val="20"/>
                <w:szCs w:val="20"/>
                <w:color w:val="auto"/>
              </w:rPr>
            </w:pPr>
            <w:r>
              <w:rPr>
                <w:rFonts w:ascii="Arial" w:cs="Arial" w:eastAsia="Arial" w:hAnsi="Arial"/>
                <w:sz w:val="18"/>
                <w:szCs w:val="18"/>
                <w:color w:val="auto"/>
                <w:w w:val="92"/>
              </w:rPr>
              <w:t>Classification Code Number)</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5"/>
              </w:rPr>
              <w:t>Identification No.)</w:t>
            </w: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407 Sixth Street, Rochester, MI 48307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(248) 651-6558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telephone number of principal executive offices and principal place of business)</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Corporation Trust Company of Nevada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6100 Neil Road, Suite 500</w:t>
      </w:r>
    </w:p>
    <w:p>
      <w:pPr>
        <w:spacing w:after="0" w:line="9" w:lineRule="exact"/>
        <w:rPr>
          <w:sz w:val="24"/>
          <w:szCs w:val="24"/>
          <w:color w:val="auto"/>
        </w:rPr>
      </w:pPr>
    </w:p>
    <w:p>
      <w:pPr>
        <w:jc w:val="right"/>
        <w:ind w:right="5100"/>
        <w:spacing w:after="0"/>
        <w:rPr>
          <w:sz w:val="20"/>
          <w:szCs w:val="20"/>
          <w:color w:val="auto"/>
        </w:rPr>
      </w:pPr>
      <w:r>
        <w:rPr>
          <w:rFonts w:ascii="Arial" w:cs="Arial" w:eastAsia="Arial" w:hAnsi="Arial"/>
          <w:sz w:val="18"/>
          <w:szCs w:val="18"/>
          <w:color w:val="auto"/>
        </w:rPr>
        <w:t>Reno, NV 86511</w:t>
      </w:r>
    </w:p>
    <w:p>
      <w:pPr>
        <w:spacing w:after="0" w:line="9" w:lineRule="exact"/>
        <w:rPr>
          <w:sz w:val="24"/>
          <w:szCs w:val="24"/>
          <w:color w:val="auto"/>
        </w:rPr>
      </w:pPr>
    </w:p>
    <w:p>
      <w:pPr>
        <w:jc w:val="right"/>
        <w:ind w:right="5120"/>
        <w:spacing w:after="0"/>
        <w:rPr>
          <w:sz w:val="20"/>
          <w:szCs w:val="20"/>
          <w:color w:val="auto"/>
        </w:rPr>
      </w:pPr>
      <w:r>
        <w:rPr>
          <w:rFonts w:ascii="Arial" w:cs="Arial" w:eastAsia="Arial" w:hAnsi="Arial"/>
          <w:sz w:val="18"/>
          <w:szCs w:val="18"/>
          <w:color w:val="auto"/>
        </w:rPr>
        <w:t>(755) 688-3061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Darrin Ocasio,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Sichenzia Ross Friedman Ference LLP</w:t>
      </w:r>
    </w:p>
    <w:p>
      <w:pPr>
        <w:jc w:val="center"/>
        <w:spacing w:after="0" w:line="200"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10006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Phone: (212) 930-9700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Fax: (212) 930-9725</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27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224" w:lineRule="exact"/>
        <w:rPr>
          <w:sz w:val="24"/>
          <w:szCs w:val="24"/>
          <w:color w:val="auto"/>
        </w:rPr>
      </w:pPr>
    </w:p>
    <w:p>
      <w:pPr>
        <w:ind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as amended,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36"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7680" w:type="dxa"/>
            <w:vAlign w:val="bottom"/>
          </w:tcPr>
          <w:p>
            <w:pPr>
              <w:ind w:left="1980"/>
              <w:spacing w:after="0"/>
              <w:rPr>
                <w:sz w:val="20"/>
                <w:szCs w:val="20"/>
                <w:color w:val="auto"/>
              </w:rPr>
            </w:pPr>
            <w:r>
              <w:rPr>
                <w:rFonts w:ascii="Arial" w:cs="Arial" w:eastAsia="Arial" w:hAnsi="Arial"/>
                <w:sz w:val="18"/>
                <w:szCs w:val="18"/>
                <w:color w:val="auto"/>
              </w:rPr>
              <w:t>Accelerated filer o</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Non-accelerated filer o</w:t>
            </w:r>
          </w:p>
        </w:tc>
        <w:tc>
          <w:tcPr>
            <w:tcW w:w="7680" w:type="dxa"/>
            <w:vAlign w:val="bottom"/>
          </w:tcPr>
          <w:p>
            <w:pPr>
              <w:ind w:left="1980"/>
              <w:spacing w:after="0"/>
              <w:rPr>
                <w:sz w:val="20"/>
                <w:szCs w:val="20"/>
                <w:color w:val="auto"/>
              </w:rPr>
            </w:pPr>
            <w:r>
              <w:rPr>
                <w:rFonts w:ascii="Arial" w:cs="Arial" w:eastAsia="Arial" w:hAnsi="Arial"/>
                <w:sz w:val="18"/>
                <w:szCs w:val="18"/>
                <w:color w:val="auto"/>
              </w:rPr>
              <w:t>Smaller reporting company x</w:t>
            </w:r>
          </w:p>
        </w:tc>
      </w:tr>
      <w:tr>
        <w:trPr>
          <w:trHeight w:val="145"/>
        </w:trPr>
        <w:tc>
          <w:tcPr>
            <w:tcW w:w="3740" w:type="dxa"/>
            <w:vAlign w:val="bottom"/>
          </w:tcPr>
          <w:p>
            <w:pPr>
              <w:spacing w:after="0"/>
              <w:rPr>
                <w:sz w:val="12"/>
                <w:szCs w:val="12"/>
                <w:color w:val="auto"/>
              </w:rPr>
            </w:pPr>
          </w:p>
        </w:tc>
        <w:tc>
          <w:tcPr>
            <w:tcW w:w="7680" w:type="dxa"/>
            <w:vAlign w:val="bottom"/>
          </w:tcPr>
          <w:p>
            <w:pPr>
              <w:spacing w:after="0"/>
              <w:rPr>
                <w:sz w:val="12"/>
                <w:szCs w:val="12"/>
                <w:color w:val="auto"/>
              </w:rPr>
            </w:pPr>
          </w:p>
        </w:tc>
      </w:tr>
      <w:tr>
        <w:trPr>
          <w:trHeight w:val="71"/>
        </w:trPr>
        <w:tc>
          <w:tcPr>
            <w:tcW w:w="3740" w:type="dxa"/>
            <w:vAlign w:val="bottom"/>
            <w:shd w:val="clear" w:color="auto" w:fill="808080"/>
          </w:tcPr>
          <w:p>
            <w:pPr>
              <w:spacing w:after="0"/>
              <w:rPr>
                <w:sz w:val="6"/>
                <w:szCs w:val="6"/>
                <w:color w:val="auto"/>
              </w:rPr>
            </w:pPr>
          </w:p>
        </w:tc>
        <w:tc>
          <w:tcPr>
            <w:tcW w:w="7680" w:type="dxa"/>
            <w:vAlign w:val="bottom"/>
            <w:shd w:val="clear" w:color="auto" w:fill="808080"/>
          </w:tcPr>
          <w:p>
            <w:pPr>
              <w:spacing w:after="0"/>
              <w:rPr>
                <w:sz w:val="6"/>
                <w:szCs w:val="6"/>
                <w:color w:val="auto"/>
              </w:rPr>
            </w:pPr>
          </w:p>
        </w:tc>
      </w:tr>
      <w:tr>
        <w:trPr>
          <w:trHeight w:val="95"/>
        </w:trPr>
        <w:tc>
          <w:tcPr>
            <w:tcW w:w="3740" w:type="dxa"/>
            <w:vAlign w:val="bottom"/>
            <w:tcBorders>
              <w:bottom w:val="single" w:sz="8" w:color="808080"/>
            </w:tcBorders>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584"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48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CALCULATION OF REGISTRATION FEE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Proposed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Title of each class of</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maximum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securities to be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Offering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aggregate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20" w:type="dxa"/>
            <w:vAlign w:val="bottom"/>
          </w:tcPr>
          <w:p>
            <w:pPr>
              <w:spacing w:after="0"/>
              <w:rPr>
                <w:sz w:val="20"/>
                <w:szCs w:val="20"/>
                <w:color w:val="auto"/>
              </w:rPr>
            </w:pPr>
          </w:p>
        </w:tc>
        <w:tc>
          <w:tcPr>
            <w:tcW w:w="3700" w:type="dxa"/>
            <w:vAlign w:val="bottom"/>
            <w:tcBorders>
              <w:bottom w:val="single" w:sz="8" w:color="auto"/>
            </w:tcBorders>
          </w:tcPr>
          <w:p>
            <w:pPr>
              <w:jc w:val="center"/>
              <w:ind w:left="1530"/>
              <w:spacing w:after="0"/>
              <w:rPr>
                <w:sz w:val="20"/>
                <w:szCs w:val="20"/>
                <w:color w:val="auto"/>
              </w:rPr>
            </w:pPr>
            <w:r>
              <w:rPr>
                <w:rFonts w:ascii="Arial" w:cs="Arial" w:eastAsia="Arial" w:hAnsi="Arial"/>
                <w:sz w:val="18"/>
                <w:szCs w:val="18"/>
                <w:b w:val="1"/>
                <w:bCs w:val="1"/>
                <w:color w:val="auto"/>
                <w:w w:val="87"/>
              </w:rPr>
              <w:t>registered</w:t>
            </w:r>
          </w:p>
        </w:tc>
        <w:tc>
          <w:tcPr>
            <w:tcW w:w="1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3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Price (1)(2)</w:t>
            </w:r>
          </w:p>
        </w:tc>
        <w:tc>
          <w:tcPr>
            <w:tcW w:w="20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registration fee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Common Stock, $0.001 par value</w:t>
            </w:r>
          </w:p>
        </w:tc>
        <w:tc>
          <w:tcPr>
            <w:tcW w:w="34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2,230,000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8,920,000</w:t>
            </w: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350.56</w:t>
            </w:r>
          </w:p>
        </w:tc>
        <w:tc>
          <w:tcPr>
            <w:tcW w:w="120" w:type="dxa"/>
            <w:vAlign w:val="bottom"/>
            <w:shd w:val="clear" w:color="auto" w:fill="EEEEEE"/>
          </w:tcPr>
          <w:p>
            <w:pPr>
              <w:spacing w:after="0"/>
              <w:rPr>
                <w:sz w:val="18"/>
                <w:szCs w:val="18"/>
                <w:color w:val="auto"/>
              </w:rPr>
            </w:pPr>
          </w:p>
        </w:tc>
      </w:tr>
    </w:tbl>
    <w:p>
      <w:pPr>
        <w:spacing w:after="0" w:line="256" w:lineRule="exact"/>
        <w:rPr>
          <w:sz w:val="20"/>
          <w:szCs w:val="20"/>
          <w:color w:val="auto"/>
        </w:rPr>
      </w:pPr>
    </w:p>
    <w:p>
      <w:pPr>
        <w:ind w:left="1040" w:right="40" w:hanging="451"/>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promulgated under the Securities Act of 1933, as amended, based on the price at which the common stock will initially be sold.</w:t>
      </w:r>
    </w:p>
    <w:p>
      <w:pPr>
        <w:spacing w:after="0" w:line="8" w:lineRule="exact"/>
        <w:rPr>
          <w:rFonts w:ascii="Arial" w:cs="Arial" w:eastAsia="Arial" w:hAnsi="Arial"/>
          <w:sz w:val="18"/>
          <w:szCs w:val="18"/>
          <w:color w:val="auto"/>
        </w:rPr>
      </w:pPr>
    </w:p>
    <w:p>
      <w:pPr>
        <w:jc w:val="both"/>
        <w:ind w:left="1040" w:hanging="451"/>
        <w:spacing w:after="0" w:line="253"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selling stockholders will offer their shares at $4.00 per share. There is currently no established trading market in our common stock. The price of $4.00 is a fixed price at which the selling stockholders may sell their shares until the Company’s common stock is quoted on the OTC Bulletin Board at which time the shares may be sold at prevailing market prices or privately negotiated prices. There can be no assurance that a market maker will agree to file the necessary documents with FINRA, which operates the OTC Electronic Bulletin Board, nor can there be any assurance that such an application for quotation will be approved. We will not receive proceeds from the sale of shares from the selling stockholders.</w:t>
      </w:r>
    </w:p>
    <w:p>
      <w:pPr>
        <w:spacing w:after="0" w:line="1" w:lineRule="exact"/>
        <w:rPr>
          <w:rFonts w:ascii="Arial" w:cs="Arial" w:eastAsia="Arial" w:hAnsi="Arial"/>
          <w:sz w:val="18"/>
          <w:szCs w:val="18"/>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upon conversion of Series A Preferred Stock and exercise of Series A Warrants.</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 selling stockholders may not sell these securities until the registration statement is filed with the Securities and Exchange Commission and becomes effective. This prospectus is not an offer to sell these securities and is not soliciting an offer to buy these securities in any state where the sale is not permitted.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completion, dated February 11, 2009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2,230,000 SHARES OF COMMON STOCK</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relates to the sale of up to 2,230,000 shares of common stock, issuable upon conversion of Series A Preferred Stock and exercise of the Series A Warrants, by the selling stockholders, all of whom were issued securities in connection with our September 8, 2008 private placement of securities convertible or exercisable into up to 9,500,000 shares of common stock. This is the initial registration of shares of our common stock. The 2,230,000 shares of common stock covered by this prospectus does not include any shares issuable as dividends on the Series A Preferred Stock. We will not receive any of the proceeds from the sale of those shares being sold by the selling security holders. The resale of the shares or the sale of new shares is not being underwritten. The selling security holders may sell or distribute the shares, from time to time, depending on market conditions and other factors, through underwriters, dealers, brokers or other agents, or directly to one or more purchasers. The selling stockholders will offer their shares at $4.00 per share until our shares are quoted on the OTC Bulletin Board and, assuming we secure this qualification, thereafter at prevailing market prices or privately negotiated prices. Pursuant to the registration rights granted by us to the selling security holders, we are obligated to register the shares held by the selling security holders. We are paying substantially all expenses incidental to registration of the shares.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prospectus, there is no established trading market in our common stock and we cannot assure you that an established trading market will develop. Our common stock is listed on the Pink Sheets (the “Pink Sheets”) under the symbol “OPRX.” The last reported sales price per share of our common stock as reported by the Pink Sheets on January 29, 2009, was $4.30.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407 Sixth Street, Rochester, MI 48307, and our telephone number is (248) 651-6558.</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Your investment involves a high degree of risk. See “Risk Factors” starting on page 7 for certain information you should consider before you purchase the shares.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date of this prospectus is _________, 2008.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72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07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Cautionary Note Regarding Forward Looking Statements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Use of Proceeds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Determination of Offering Price</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Selling Stockholders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Business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Description of Property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Legal Proceedings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Market Price of and Dividends on Common Equity and Related Stockholder Matters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Management's Discussion and Analysis or Plan of Operation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Directors and Executive Officers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Executive Compensation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Market for Common Equity and Related Stockholder Matters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Experts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Disclosure of Commission Position on Indemnification for Securities Act Liabilities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Index to Consolidated Financial Statements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F-1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Other Expenses of Issuance and Distribution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Indemnification of Officers and Directors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Recent Sale of Unregistered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Undertakings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72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II-4</w:t>
            </w:r>
          </w:p>
        </w:tc>
      </w:tr>
    </w:tbl>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information different from the information contained in this prospectus. We will not make an offer to sell these securities in any jurisdiction where offers and sales are not permitted. The information contained in this prospectus is accurate only as of the date of this prospectus, regardless of when this prospectus is delivered or when any sale of our common stock occurs.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summary highlights selected information contained in this prospectus. This summary does not contain all the information you should consider before investing in the securities. Before making an investment decision, you should read the entire prospectus carefully, including the "risk factors" section, the financial statements and the notes to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We provide the following services: (i) through our website, we provide patients the ability to centrally review and participate in prescription and healthcare savings/support programs;</w:t>
      </w:r>
    </w:p>
    <w:p>
      <w:pPr>
        <w:spacing w:after="0" w:line="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through OFFERx, we provide a platform to allow manufacturers to create, promote and fulfill new patient offer programs in over 60,000 pharmacies; and</w:t>
      </w:r>
    </w:p>
    <w:p>
      <w:pPr>
        <w:spacing w:after="0" w:line="32" w:lineRule="exact"/>
        <w:rPr>
          <w:rFonts w:ascii="Arial" w:cs="Arial" w:eastAsia="Arial" w:hAnsi="Arial"/>
          <w:sz w:val="16"/>
          <w:szCs w:val="16"/>
          <w:color w:val="auto"/>
        </w:rPr>
      </w:pPr>
    </w:p>
    <w:p>
      <w:pPr>
        <w:ind w:firstLine="8"/>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ADHERxE, we provide a platform that allows manufacturers to engage and monitor patients each month in exchange for activation of their monthly co-pay coupons.</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development stage company, we have limited capital and limited capital resources. Based on our initial revenues generated to date, we are not able to meet our current needs for cash from operating revenues. As a result of our September 8, 2008 private placement, which we completed after our reverse merger with a shell corporation, we raised $3,500,000 (approximately $2.95m net), which we believe will sufficiently fund our operations and business plan throughout 2009. By adjusting our operations and development to the level of our capitalization, we believe that our existing capital resources are sufficient to fund our current level of operating activities, capital expenditures and other obligations throughout 2009. However, we may also seek to raise additional capital in order to accelerate the development of our services and products, which will increase our expenditures from their current level. We currently have no commitments for any future funding, and may not be able to obtain additional financing on terms acceptable to us, if at all, in the future. Further, actual results may differ from our current belief, if there are material changes in any of the factors or assumptions upon which we based our current belief. Such factors and assumptions, include, without limitation, the development of our proprietary technology platform and our products, the timing of such development, market acceptance of our products, protection of our intellectual property, our success in implementing our strategic, operating and people initiatives and our ability to commercialize our products, any of which could impact sales, costs and expenses and/or planned strategies and timing. As a result, it is possible that the money we raised in the private placement will not be sufficient to meet our projected cash flow deficits from operations or to fund the development of our technology and products and we may need additional financing to meet our capital needs, which could have a material adverse affect on our business, results of operations, liquidity and financial condition.</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principal executive offices are located at 407 Sixth Street, Rochester, MI 48307, and our telephone number is (248) 651-6568. Our website is located at </w:t>
      </w:r>
      <w:r>
        <w:rPr>
          <w:rFonts w:ascii="Arial" w:cs="Arial" w:eastAsia="Arial" w:hAnsi="Arial"/>
          <w:sz w:val="18"/>
          <w:szCs w:val="18"/>
          <w:u w:val="single" w:color="auto"/>
          <w:color w:val="auto"/>
        </w:rPr>
        <w:t>www.optimizerx.com</w:t>
      </w:r>
      <w:r>
        <w:rPr>
          <w:rFonts w:ascii="Arial" w:cs="Arial" w:eastAsia="Arial" w:hAnsi="Arial"/>
          <w:sz w:val="18"/>
          <w:szCs w:val="18"/>
          <w:color w:val="auto"/>
        </w:rPr>
        <w:t xml:space="preserve"> .. Information on our website of any other website does not constitute a part of this prospectus.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shares of common stock outstanding</w:t>
      </w:r>
    </w:p>
    <w:p>
      <w:pPr>
        <w:spacing w:after="0" w:line="200" w:lineRule="exact"/>
        <w:rPr>
          <w:sz w:val="20"/>
          <w:szCs w:val="20"/>
          <w:color w:val="auto"/>
        </w:rPr>
      </w:pPr>
    </w:p>
    <w:p>
      <w:pPr>
        <w:spacing w:after="0" w:line="25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Common stock being offered for sale by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symbol for our common stock</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12,126,209 as of January 30, 2009 (of which 6,695,709 shares currently were held by non-affiliates).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Up to 2,230,000 shares which may be issued to the selling stockholders upon their conversion of our Series A Preferred Stock and exercise of the Series A Warrants. All of the shares offered by this prospectus are being sold by the selling stockholders. The shares offered by the selling stockholders pursuant to this prospectus represent 18.39 % of the total number of shares of common stock outstanding or 33.30 % of the number of non-affiliated shares of common stock outstanding. The selling stockholders will offer their shares at $4.00 per share until the Company’s shares are quoted on the OTC Bulletin Board and, assuming we secure this qualification, thereafter at prevailing market prices or privately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-1256665</wp:posOffset>
            </wp:positionV>
            <wp:extent cx="7246620" cy="1235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involve a high degree of risk. Investors should carefully consider the information set forth under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not receive any proceeds from the sale of our common stock offered through this prospectus by the selling stockholders. However, we will receive the sale price of any common stock we sell to the selling stockholder upon exercise of the warrants. We expect to use the proceeds received from the exercise of the warrants, if any, for general working capital purposes. All proceeds from the sale of our common stock sold under this Prospectus will go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-837565</wp:posOffset>
            </wp:positionV>
            <wp:extent cx="724662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380" w:space="720"/>
            <w:col w:w="63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investment has a high degree of risk. Before you invest you should carefully consider the risks and uncertainties described below, and the other information included in this prospectus. If any of the following risks actually occur, our business, operating results and financial condition could be harmed and the value of our stock could go down. This means you could lose all or a part of your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And May Never Earn A Profit.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development stage company and have incurred losses since we were formed. We have incurred net losses of $569,954 for the nine months ended September 30, 2008 and incurred cumulative losses since our inception on January 31, 2006 of $964,881. Although we now have three commercial marketing platforms that we anticipate to be viewed as unique and valuable to our targeted customers, the amount of revenue from operations will result in substantial net losses within the next year or longer. We cannot predict the extent of these future net losses, or when we may attain profitability, if at all. If we are unable to generate significant revenue or attain profitability, we will not be able to sustain operations and will have to curtail significantly or cease operations.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provide content, offers and services that attract and retain users to OptimizeRx.com on a consistent basis, our advertising and sponsorship revenue could be reduced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Users of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have numerous other online and offline sources of healthcare information services. Our ability to compete for user traffic on our public portals depends upon our ability to make available a variety of health and medical content, decision-support applications and other services that meet the needs of a variety of types of users, including consumers, pharmaceutical companies and other healthcare professionals, with a variety of reasons for seeking information. Our ability to do so depends, in turn, on:</w:t>
      </w:r>
    </w:p>
    <w:p>
      <w:pPr>
        <w:spacing w:after="0" w:line="241"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qualified authors, journalists and independent writers;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quality content from third parties; and promote abundant health savings and support offers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monitor and respond to increases and decreases in user interest in specific medications.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cannot assure you that we will be able to continue to develop or acquire needed content, applications and tools at a reasonable cost. In addition, since consumer users of our public portals may be attracted to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as a result of a specific condition or for a specific purpose, it is difficult for us to predict the rate at which they will return to the public portals. Because we generate revenue by, among other things, selling sponsorships of specific pages, sections or events on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 a decline in user traffic levels or a reduction in the number of pages viewed by users could cause our revenue to decrease and could have a material adverse effect on our results of operations.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face significant competition for our products and services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in which we operate are intensely competitive, continually evolving and, in some cases, subject to rapid change.</w:t>
      </w:r>
    </w:p>
    <w:p>
      <w:pPr>
        <w:spacing w:after="0" w:line="279" w:lineRule="exact"/>
        <w:rPr>
          <w:sz w:val="20"/>
          <w:szCs w:val="20"/>
          <w:color w:val="auto"/>
        </w:rPr>
      </w:pPr>
    </w:p>
    <w:p>
      <w:pPr>
        <w:jc w:val="both"/>
        <w:ind w:left="1160" w:hanging="571"/>
        <w:spacing w:after="0" w:line="255"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93"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and enhance the “ OptimizeRx ” brand could have a material adverse effect on our business</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the “OptimizeRx” brand identity that we have developed has contributed to the success of our business and has helped us achieve recognition as a trusted source of health and wellness information. We also believe that maintaining and enhancing that brand is important to expanding the user base for our public portals, to our relationships with sponsors and advertisers and to our ability to gain additional employer and healthcare payer clients for our private portals. We have expended considerable resources on establishing and enhancing the “WebMD” brand and our other brands, and we have developed policies and procedures designed to preserve and enhance our brands, including editorial procedures designed to provide quality control of the information we publish. We expect to continue to devote resources and efforts to maintain and enhance our brand. However, we may not be able to successfully maintain or enhance awareness of our brands, and events outside of our control may have a negative effect on our brands. If we are unable to maintain or enhance awareness of our brand, and do so in a cost-effective manner, our business could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online businesses have a limited operating history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online businesses have a limited operating history and participate in relatively new and rapidly changing markets. These businesses have undergone significant changes during their short history as a result of changes in the types of services provided, technological changes and changes in market conditions and are expected to continue to change for similar reasons. Many companies with business plans based on providing healthcare information and related services through the Internet have failed to be profitable and some have filed for bankruptcy and/or ceased operations. Even if demand from users exists, we cannot assure you that our businesses will continue to be profitable.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and retain qualified executives and employees may have a material adverse effect on our business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depends largely on the skills, experience and performance of key members of our management team. We also depend, in part, on our ability to attract and retain qualified writers and editors, software developers and other technical personnel and sales and marketing personnel. Competition for qualified personnel in the healthcare information services and Internet industries is intense. We cannot assure you that we will be able to hire or retain a sufficient number of qualified personnel to meet our requirements, or that we will be able to do so at salary and benefit costs that are acceptable to us. Failure to do so may have an adverse effect on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of our advertising and sponsorship revenue may vary significantly from quarter to quarter</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advertising and sponsorship revenue, which accounted for approximately100% of our total online services segment revenue for the year ended December 31, 2007, may vary significantly from quarter to quarter due to a number of factors, not all of which are in our control, and any of which may be difficult to forecast accurately. The majority of our advertising and sponsorship contracts are for terms of approximately one to twelve months. We cannot assure you that our current customers for these services will continue to use our services beyond the terms of their existing contracts or that they will enter into any additional contracts.</w:t>
      </w:r>
    </w:p>
    <w:p>
      <w:pPr>
        <w:sectPr>
          <w:pgSz w:w="11900" w:h="16838" w:orient="portrait"/>
          <w:cols w:equalWidth="0" w:num="1">
            <w:col w:w="11420"/>
          </w:cols>
          <w:pgMar w:left="240" w:top="368"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In addition, the time between the date of initial contact with a potential advertiser or sponsor regarding a specific program and the execution of a contract with the advertiser or sponsor for that program may be lengthy, especially for larger contracts, and may be subject to delays over which we have little or no control, including as a result of budgetary constraints of the advertiser or sponsor or their need for internal approvals. Other factors that could affect the timing of our revenue from advertisers and sponsors include:</w:t>
      </w:r>
    </w:p>
    <w:p>
      <w:pPr>
        <w:spacing w:after="0" w:line="241"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FDA approval for new products or for new approved uses for existing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FDA approval of generic products that compete with existing brand name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withdrawals of products from the market;</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factors relating to the prevalence of specific health conditions and other seasonal factors that may affect the timing of promotional campaigns for specific products;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scheduling of conferences for physicians and other healthcare professionals.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Lengthy sales and implementation cycles for our private online portals and offer development make it difficult to forecast our revenues from these applications and may have an adverse impact on our business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period from our initial contact with a potential client for a private online portal and the first purchase of our solution by the client is difficult to predict. In the past, this period has generally ranged from one to twelve months, but in some cases has been longer. These sales may be subject to delays due to a client’s internal procedures for approving large expenditures and other factors beyond our control. Implementation may be subject to delays based on the availability of the internal resources of the client that are needed and other factors outside of our control. As a result, we have limited ability to forecast the timing of revenue from new clients. This, in turn, makes it more difficult to predict our financial performance from quarter to quarter.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sales cycle and the implementation period, we may expend substantial time, effort and money preparing contract proposals, negotiating contracts and implementing the private online portal without receiving any related revenue. In addition, many of the expenses related to providing private online portals are relatively fixed in the short term, including personnel costs and technology and infrastructure costs. Even if our private portal revenue is lower than expected, we may not be able to reduce related short-term spending in response. Any shortfall in such revenue would have a direct impact on our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markets outside the United States will subject us to additional risks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element of our growth strategy is to seek to expand our online services to markets outside the United States. Generally, we expect that we would accomplish this through partnerships or joint ventures with other companies having expertise in the specific country or region. However, our participation in international markets will still be subject to certain risks beyond those applicable to our operations in the United States, such as:</w:t>
      </w:r>
    </w:p>
    <w:p>
      <w:pPr>
        <w:spacing w:after="0" w:line="220"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operations outside of the United States;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burdens of complying with a wide variety of legal, regulatory and market requirements;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variability of economic and political conditions;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or other trade barriers;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providing and marketing products and services in different markets;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repatriation of earnings;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Relationships with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79" w:lineRule="exact"/>
        <w:rPr>
          <w:sz w:val="20"/>
          <w:szCs w:val="20"/>
          <w:color w:val="auto"/>
        </w:rPr>
      </w:pPr>
    </w:p>
    <w:p>
      <w:pPr>
        <w:ind w:left="1160" w:hanging="571"/>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78"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1160" w:hanging="571"/>
        <w:spacing w:after="0" w:line="308"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increase advertising and sponsorship revenue from consumer products companies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our advertising and sponsorship revenue has, in the past, come from pharmaceutical, biotechnology and medical device companies. We have been focusing on increasing sponsorship revenue from consumer products companies that are interested in communicating health-related or safety-related information about their products to our audience. However, while a number of consumer products companies have indicated an intent to increase the portion of their promotional spending used on the Internet, we cannot assure you that these advertisers and sponsors will find our consumer Web sites to be as effective as other Web sites or traditional media for promoting their products and services. If we encounter difficulties in competing with the other alternatives available to consumer products companies, this portion of our business may develop more slowly than we expect or may fail to develop.</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subject to breach of warranty or other claims by clients of our online portals if the software and systems we use to provide them contain errors or experience failures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Errors in the software and systems we use could cause serious problems for clients of our online portals. We may fail to meet contractual performance standards or client expectations. Clients of our online portals may seek compensation from us or may seek to terminate their agreements with us, withhold payments due to us, seek refunds from us of part or all of the fees charged under those agreements or initiate litigation or other dispute resolution procedures. In addition, we could face breach of warranty or other claims by clients or additional development costs. Our software and systems are inherently complex and, despite testing and quality control, we cannot be certain that they will perform as planned.</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attempt to limit, by contract, our liability to our clients for damages arising from our negligence, errors or mistakes. However, contractual limitations on liability may not be enforceable in certain circumstances or may otherwise not provide sufficient protection to us from liability for damages. We maintain liability insurance coverage, including coverage for errors and omissions. However, it is possible that claims could exceed the amount of our applicable insurance coverage, if any, or that this coverage may not continue to be available on acceptable terms or in sufficient amounts. Even if these claims do not result in liability to us, investigating and defending against them would be expensive and time consuming and could divert management’s attention away from our operations. In addition, negative publicity caused by these events may delay or hinder market acceptance of our services, including unrelated services.</w:t>
      </w:r>
    </w:p>
    <w:p>
      <w:pPr>
        <w:sectPr>
          <w:pgSz w:w="11900" w:h="16838" w:orient="portrait"/>
          <w:cols w:equalWidth="0" w:num="1">
            <w:col w:w="11420"/>
          </w:cols>
          <w:pgMar w:left="240" w:top="391"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0" w:name="page11"/>
    <w:bookmarkEnd w:id="10"/>
    <w:p>
      <w:pPr>
        <w:ind w:right="2760" w:firstLine="2769"/>
        <w:spacing w:after="0" w:line="636" w:lineRule="auto"/>
        <w:rPr>
          <w:sz w:val="20"/>
          <w:szCs w:val="20"/>
          <w:color w:val="auto"/>
        </w:rPr>
      </w:pPr>
      <w:r>
        <w:rPr>
          <w:rFonts w:ascii="Arial" w:cs="Arial" w:eastAsia="Arial" w:hAnsi="Arial"/>
          <w:sz w:val="16"/>
          <w:szCs w:val="16"/>
          <w:b w:val="1"/>
          <w:bCs w:val="1"/>
          <w:color w:val="auto"/>
        </w:rPr>
        <w:t xml:space="preserve">Risks Related to Use of the Internet and to Our Technological Infrastructure </w:t>
      </w:r>
      <w:r>
        <w:rPr>
          <w:rFonts w:ascii="Arial" w:cs="Arial" w:eastAsia="Arial" w:hAnsi="Arial"/>
          <w:sz w:val="16"/>
          <w:szCs w:val="16"/>
          <w:b w:val="1"/>
          <w:bCs w:val="1"/>
          <w:i w:val="1"/>
          <w:iCs w:val="1"/>
          <w:color w:val="auto"/>
        </w:rPr>
        <w:t>Any service interruption or failure in the systems that we use to provide online services could harm our business</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online services are designed to operate 24 hours a day, seven days a week, without interruption. However, we have experienced and expect that we will in the future experience interruptions and delays in services and availability from time to time. We rely on internal systems as well as third-party vendors, including data center providers and bandwidth providers, to provide our online services. We may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users. In addition, system failures may result in loss of data, including user registration data, content, and other data critical to the operation of our online services, which could cause significant harm to our business and our reputation.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operate without interruption or loss of data, both we and our service providers must guard against:</w:t>
      </w:r>
    </w:p>
    <w:p>
      <w:pPr>
        <w:spacing w:after="0" w:line="279"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from fire, power loss and other natural disasters;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computer viruses and similar disruptive problems;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potential service interruptions.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disruption in the network access or co-location services provided by third-party providers to us or any failure by these third-party providers or our own systems to handle current or higher volume of use could significantly harm our business. We exercise little control over these third-party vendors, which increases our vulnerability to problems with services they provide.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errors, failures, interruptions or delays experienced in connection with these third-party technologies and information services or our own systems could negatively impact our relationships with users and adversely affect our brand and our business and could expose us to liabilities to third parties. Although we maintain insurance for our business, the coverage under our policies may not be adequate to compensate us for all losses that may occur. In addition, we cannot provide assurance that we will continue to be able to obtain adequate insurance coverage at an acceptable cost.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Implementation of additions to or changes in hardware and software platforms used to deliver our online services may result in performance problems and may not provide the additional functionality that was expected</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implement additions to or changes in the hardware and software platforms we use for providing our online services. During and after the implementation of additions or changes, a platform may not perform as expected, which could result in interruptions in operations, an increase in response time or an inability to track performance metrics. In addition, in connection with integrating acquired businesses, we may move their operations to our hardware and software platforms or make other changes, any of which could result in interruptions in those operations. Any significant interruption in our ability to operate any of our online services could have an adverse effect on our relationships with users and clients and, as a result, on our financial results. We rely on a combination of purchasing, licensing, internal development, and acquisitions to develop our hardware and software platforms. Our implementation of additions to or changes in these platforms may cost more than originally expected, may take longer than originally expected, and may require more testing than originally anticipated. In addition, we cannot provide assurance that additions to or changes in these platforms will provide the additional functionality and other benefits that were originally expected.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systems we use to provide online portals experience security breaches or are otherwise perceived to be insecure, our business could suffer</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retain and transmit confidential information, including personal health records, in the processing centers and other facilities we use to provide online services. It is critical that these facilities and infrastructure remain secure and be perceived by the marketplace as secure. A security breach could damage our reputation or result in liability. We may be required to expend significant capital and other resources to protect against security breaches and hackers or to alleviate problems caused by breaches. Despite the implementation of security measures, this infrastructure or other systems that we interface with, including the Internet and related systems, may be vulnerable to physical break-ins, hackers, improper employee or contractor access, computer viruses, programming errors, denial-of-service attacks or other attacks by third parties or similar disruptive problems. Any compromise of our security, whether as a result of our own systems or the systems that they interface with, could reduce demand for our services and could subject us to legal claims from our clients and users, including for breach of contract or breach of warranty.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online services are dependent on the development and maintenance of the Internet infrastructure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deliver our online services is dependent on the development and maintenance of the infrastructure of the Internet by third parties. The Internet has experienced a variety of outages and other delays as a result of damages to portions of its infrastructure, and it could face outages and delays in the future. The Internet has also experienced, and is likely to continue to experience, significant growth in the number of users and the amount of traffic. If the Internet continues to experience increased usage, the Internet infrastructure may be unable to support the demands placed on it. In addition, the reliability and performance of the Internet may be harmed by increased usage or by denial-of-service attacks. Any resulting interruptions in our services or increases in response time could, if significant, result in a loss of potential or existing users of and advertisers and sponsors on our Web sites and, if sustained or repeated, could reduce the attractiveness of our services.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Customers who utilize our online services depend on Internet service providers and other Web site operators for access to our Web sites. All of these providers have experienced significant outages in the past and could experience outages, delays and other difficulties in the future due to system failures unrelated to our systems. Any such outages or other failures on their part could reduce traffic to our Web sites.</w:t>
      </w: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Risks Related to the Legal and Regulatory Environment in Which We Operate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healthcare creates risks and challenges with respect to our compliance efforts and our business strategies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healthcare industry is highly regulated and is subject to changing political, legislative, regulatory and other influences. Existing and new laws and regulations affecting the healthcare industry could create unexpected liabilities for us, could cause us to incur additional costs and could restrict our operations. Many healthcare laws are complex, and their application to specific products and services may not be clear. In particular, many existing healthcare laws and regulations, when enacted, did not anticipate the healthcare information services that we provide. However, these laws and regulations may nonetheless be applied to our products and services. Our failure to accurately anticipate the application of these laws and regulations, or other failure to comply, could create liability for us, result in adverse publicity and negatively affect our businesses. Some of the risks we face from healthcare regulation are as follows:</w:t>
      </w:r>
    </w:p>
    <w:p>
      <w:pPr>
        <w:sectPr>
          <w:pgSz w:w="11900" w:h="16838" w:orient="portrait"/>
          <w:cols w:equalWidth="0" w:num="1">
            <w:col w:w="11420"/>
          </w:cols>
          <w:pgMar w:left="240" w:top="395" w:right="239" w:bottom="1440" w:gutter="0" w:footer="0" w:header="0"/>
        </w:sect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Regulation of Drug and Medical Device Advertising and Promotion. </w:t>
      </w:r>
      <w:r>
        <w:rPr>
          <w:rFonts w:ascii="Arial" w:cs="Arial" w:eastAsia="Arial" w:hAnsi="Arial"/>
          <w:sz w:val="16"/>
          <w:szCs w:val="16"/>
          <w:color w:val="auto"/>
        </w:rPr>
        <w:t>Our website provides services involving advertising and promotion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prescription and over-the-counter drugs and medical devices. If the FDA or the FTC finds that any information on </w:t>
      </w:r>
      <w:r>
        <w:rPr>
          <w:rFonts w:ascii="Arial" w:cs="Arial" w:eastAsia="Arial" w:hAnsi="Arial"/>
          <w:sz w:val="16"/>
          <w:szCs w:val="16"/>
          <w:i w:val="1"/>
          <w:iCs w:val="1"/>
          <w:color w:val="auto"/>
        </w:rPr>
        <w:t>OptimizeRx.com</w:t>
      </w:r>
      <w:r>
        <w:rPr>
          <w:rFonts w:ascii="Arial" w:cs="Arial" w:eastAsia="Arial" w:hAnsi="Arial"/>
          <w:sz w:val="16"/>
          <w:szCs w:val="16"/>
          <w:color w:val="auto"/>
        </w:rPr>
        <w:t xml:space="preserve"> violates FDA or FTC regulations, they may take regulatory or judicial action against us and/or the advertiser or sponsor of that information. State attorneys general may also take similar action based on their state’s consumer protection statutes. Any increase or change in regulation of drug or medical device advertising and promotion could make it more difficult for us to contract for sponsorships and advertising. Members of Congress, physician groups and others have criticized the FDA’s current policies, and have called for restrictions on advertising of prescription drugs to consumers and increased FDA enforcement. We cannot predict what actions the FDA or industry participants may take in response to these criticisms. It is also possible that new laws would be enacted that impose restrictions on such advertising. Our advertising and sponsorship revenue could be materially reduced by additional restrictions on the advertising of prescription drugs and medical devices to consumers, whether imposed by law or regulation or required under policies adopted by industry members.</w:t>
      </w:r>
    </w:p>
    <w:p>
      <w:pPr>
        <w:spacing w:after="0" w:line="169" w:lineRule="exact"/>
        <w:rPr>
          <w:sz w:val="20"/>
          <w:szCs w:val="20"/>
          <w:color w:val="auto"/>
        </w:rPr>
      </w:pPr>
    </w:p>
    <w:p>
      <w:pPr>
        <w:sectPr>
          <w:pgSz w:w="11900" w:h="16838" w:orient="portrait"/>
          <w:cols w:equalWidth="0" w:num="2">
            <w:col w:w="660" w:space="500"/>
            <w:col w:w="10260"/>
          </w:cols>
          <w:pgMar w:left="240" w:top="395" w:right="239" w:bottom="1440" w:gutter="0" w:footer="0" w:header="0"/>
          <w:type w:val="continuous"/>
        </w:sectPr>
      </w:pPr>
    </w:p>
    <w:p>
      <w:pPr>
        <w:jc w:val="both"/>
        <w:ind w:left="1160" w:hanging="571"/>
        <w:spacing w:after="0" w:line="288"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Anti-kickback Laws. </w:t>
      </w:r>
      <w:r>
        <w:rPr>
          <w:rFonts w:ascii="Arial" w:cs="Arial" w:eastAsia="Arial" w:hAnsi="Arial"/>
          <w:sz w:val="16"/>
          <w:szCs w:val="16"/>
          <w:color w:val="auto"/>
        </w:rPr>
        <w:t>There are federal and state laws that govern patient referrals, physician financial relationships and inducements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and patients. The federal healthcare programs’ anti-kickback law prohibits any person or entity from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Many states also have similar anti-kickback laws that are not necessarily limited to items or services for which payment is made by a federal healthcare program. These laws are applicable to manufacturers and distributors and, therefore, may restrict how we and some of our customers market products to healthcare providers, including e-details. Any determination by a state or federal regulatory agency that any of our practices violate any of these laws could subject us to civil or criminal penalties and require us to change or terminate some portions of our business and could have an adverse effect on our business. Even an unsuccessful challenge by regulatory authorities of our practices could result in adverse publicity and be costly for us to respond to.</w:t>
      </w:r>
    </w:p>
    <w:p>
      <w:pPr>
        <w:spacing w:after="0" w:line="169" w:lineRule="exact"/>
        <w:rPr>
          <w:rFonts w:ascii="Arial" w:cs="Arial" w:eastAsia="Arial" w:hAnsi="Arial"/>
          <w:sz w:val="16"/>
          <w:szCs w:val="16"/>
          <w:color w:val="auto"/>
        </w:rPr>
      </w:pPr>
    </w:p>
    <w:p>
      <w:pPr>
        <w:jc w:val="both"/>
        <w:ind w:left="1160" w:hanging="571"/>
        <w:spacing w:after="0" w:line="27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Medical Professional Regulation. </w:t>
      </w:r>
      <w:r>
        <w:rPr>
          <w:rFonts w:ascii="Arial" w:cs="Arial" w:eastAsia="Arial" w:hAnsi="Arial"/>
          <w:sz w:val="17"/>
          <w:szCs w:val="17"/>
          <w:color w:val="auto"/>
        </w:rPr>
        <w:t>The practice of most healthcare professions requires licensing under applicable state law.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in some states prohibit business entities from practicing medicine. If a state determines that some portion of our business violates these laws, it may seek to have us discontinue those portions or subject us to penalties or licensure requirements. Any determination that we are a healthcare provider and have acted improperly as a healthcare provider may result in liability to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Government regulation of the Internet could adversely affect our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Internet and its associated technologies are subject to government regulation. Our failure, or the failure of our business partners or third-party service providers, to accurately anticipate the application of laws and regulations affecting our products and services and the manner in which we deliver them, or any other failure to comply with such laws and regulations, could create liability for us, result in adverse publicity and negatively affect our business. In addition, new laws and regulations, or new interpretations of existing laws and regulations, may be adopted with respect to the Internet or other online services covering user privacy, patient confidentiality, consumer protection and other issues, including pricing, content, copyrights and patents, distribution and characteristics and quality of products and services. We cannot predict whether these laws or regulations will change or how such changes will affect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potential liability related to the privacy and security of personal information we collect from or on behalf of users of our services</w:t>
      </w:r>
    </w:p>
    <w:p>
      <w:pPr>
        <w:spacing w:after="0" w:line="2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Privacy of personal health information, particularly personal health information stored or transmitted electronically, is a major issue in the United States. The Privacy Standards under the Health Insurance Portability and Accountability Act of 1996 (or HIPAA) establish a set of basic national privacy standards for the protection of individually identifiable health information by health plans, healthcare clearinghouses and healthcare providers (referred to as covered entities) and their business associates. Only covered entities are directly subject to potential civil and criminal liability under the Privacy Standards. Accordingly, the Privacy Standards do not apply directly to us. However, portions of our business, such as those managing employee or plan member health information for employers or health plans, are or may be business associates of covered entities and are bound by certain contracts and agreements to use and disclose protected health information in a manner consistent with the Privacy Standards. Depending on the facts and circumstances, we could potentially be subject to criminal liability for aiding and abetting or conspiring with a covered entity to violate the Privacy Standards. We cannot assure you that we will adequately address the risks created by the Privacy Standards. In addition, we are unable to predict what changes to the Privacy Standards might be made in the future or how those changes could affect our business. Any new legislation or regulation in the area of privacy of personal information, including personal health information, could also affect the way we operate our business and could harm our business.</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internet user privacy and the use of consumer information to track online activities are major issues both in the United States and abroad. For example, in December 2007, the FTC published for comment proposed principles to govern tracking of consumers’ activities online in order to deliver advertising targeted to the interests of individual consumers. We have privacy policies posted on our Web sites that we believe comply with applicable laws requiring notice to users about our information collection, use and disclosure practices. However, whether and how existing privacy and consumer protection laws in various jurisdictions apply to the Internet is still uncertain. We also notify users about our information collection, use and disclosure practices relating to data we receive through offline means such as paper health risk assessments. We cannot assure you that the privacy policies and other statements we provide to users of our products and services, or our practices will be found sufficient to protect us from liability or adverse publicity in this area. A determination by a state or federal agency or court that any of our practices do not meet applicable standards, or the implementation of new standards or requirements, could adversely affect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protecting our intellectual property and proprietary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intellectual property and proprietary rights are important to our businesses. The steps that we take to protect our intellectual property, proprietary information and trade secrets may prove to be inadequate and, whether or not adequate, may be expensive. We rely on a combination of trade secret, patent and other intellectual property laws and confidentiality procedures and non-disclosure contractual provisions to protect our intellectual property. We cannot assure you that we will be able to detect potential or actual misappropriation or infringement of our intellectual property, proprietary information or trade secrets. Even if we detect misappropriation or infringement by a third party, we cannot assure you that we will be able to enforce our rights at a reasonable cost, or at all. In addition, our rights to intellectual property, proprietary information and trade secrets may not prevent independent third-party development and commercialization of competing products or services.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we are infringing their intellectual property, and we could suffer significant litigation or licensing expenses or be prevented from providing certain services, which may harm our business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could be subject to claims that we are misappropriating or infringing intellectual property or other proprietary rights of others. These claims, even if not meritorious, could be expensive to defend and divert management’s attention from our operations. If we become liable to third parties for infringing these rights, we could be required to pay a substantial damage award and to develop non-infringing technology, obtain a license or cease selling the products or services that use or contain the infringing intellectual property. We may be unable to develop non-infringing products or services or obtain a license on commercially reasonable terms, or at all. We may also be required to indemnify our customers if they become subject to third-party claims relating to intellectual property that we license or otherwise provide to them, which could be costly.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Third parties may challenge the enforceability of our online agreements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law governing the validity and enforceability of online agreements and other electronic transactions is evolving. We could be subject to claims by third parties that the online terms and conditions for use of our Web sites, including disclaimers or limitations of liability, are unenforceable. A finding by a court that these terms and conditions or other online agreements are invalid could harm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Consumers access health-related information through our online services, including information regarding particular medical conditions and possible adverse reactions or side effects from medications. If our content, or content we obtain from third parties, contains inaccuracies, it is possible that consumers, employees, health plan members or others may sue us for various causes of action. Although our Web sites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and physicians that provide the terms and conditions for use of our public or private portals are unenforceable. A finding by a court that these agreements are invalid and that we are subject to liability could harm our business and require costly changes to our business.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 consuming and could divert management’s attention away from our operations. In addition, our business is based on establishing the reputation of our portals as trustworthy and dependable sources of healthcare information. Allegations of impropriety or inaccuracy, even if unfounded, could therefore harm our reputation and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Our Stock</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expect to report future losses that may cause our stock price to decline and a loss of your investment.</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operating period since inception (January 31, 2006) through June 30, 2008, we have incurred a net cumulative loss of $963,592. We expect to continue to incur losses as we spend additional capital to develop and market our products and establish our infrastructure and organization to support anticipated operations. We cannot be certain whether we will ever earn a significant amount of revenues or profit, or if we do, that we will be able to continue earning such revenues or profit. Also, any economic weakness or global recession may limit our ability to develop and ultimately market our technologies. Any of these factors could cause our stock price to decline and result in a loss of a portion or all of your investment.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If we are unable to raise additional capital, our business may fail.</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are a development stage company and have no revenues, we need to obtain capital to provide cash for our operations. Our current working capital is not expected to be sufficient to carry out all of our plans and to fund our operating losses until we are able to generate enough revenues to sustain our business. If we are unable to obtain adequate funding, we may not be able to successfully develop and market our products and our business will most likely fail. To secure additional financing, we may need to borrow money or sell more securities. Under these circumstances, we may be unable to secure additional financing on favorable terms or at all.</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additional stock, either privately or publicly, would dilute the equity interests of our stockholders. If we borrow money, we will have to pay interest and may also have to agree to restrictions that limit our operating flexibility. If we are unable to obtain adequate financing, we may have to curtail business operations which would have a material negative effect on operating results and most likely result in a lower stock price.</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price and trading volume of our common stock is subject to certain factors beyond our control that may result in significant price and volume volatility, which substantially increases the risk that you may not be able to sell your shares at or above the price that you pay for the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beyond our control, that may cause our share price to fluctuate significantly include, but are not limited to, the following:</w:t>
      </w:r>
    </w:p>
    <w:p>
      <w:pPr>
        <w:spacing w:after="0" w:line="279"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a future market for our products;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left="1160" w:hanging="571"/>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contracts, acquisitions, strategic partnerships, joint ventures or capital commitments;</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 and volume.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recent years the stock market in general, and technology stocks in particular, have experienced extreme price and volume fluctuations. In some cases these fluctuations are unrelated or disproportionate to the operating performance of the underlying company. These market and industry factors may materially and adversely affect our stock price regardless of our operating performance. The historical trading of our common stock is not necessarily an indicator of how it will trade in the future and our trading price as of the date of this prospectus is not necessarily an indicator of what the trading price of our common stock might be in the future.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class action litigation has often been brought against companies following periods of volatility in the market price of those companies' common stock. If we become involved in this type of litigation in the future it could result in substantial costs and diversion of management attention and resources, which could have a further negative effect on your investment in our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common stock at a price below prevailing trading prices at the time of issuance may cause our stock price to decline.</w:t>
      </w: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January 30, 2009 there was outstanding $3,500,000 worth of preferred stock that is convertible into approximately 3,500,000 shares of common stock at $1.00 per share and warrants to purchase 6,600,000 shares of common stock, having an exercise price of $2.00 per share and warrants to purchase 350,000 shares of common stock, having an exercise price of $1.00 per share. These, as well as those we may issue in the future, including dividends we may issue from time to time to the holders of Series A Preferred Stock, may result in shares of common stock being issued for consideration that is less than the trading price of our common stock at the time the shares are issued. We may also issue shares of common stock in the future at a discount to the trading price of our common stock. Any such below market issuances, or the potential for such issuances, could cause our stock price to decline. Moreover, if investors holding a significant number of these shares decided to sell them in a short period of time, such sales could contribute significant downward pressure on the trading price of our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shares of preferred stock, warrants and stock options may have a negative effect on the trading price of our common stock.</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large number of shares of preferred stock, stock options and warrants outstanding. The conversion and exercise of these shares of preferred stock, stock options and warrants could cause significant dilution to our stockholders. Currently, upon the exercise of all outstanding Warrants, an additional 7,200,000 shares of Common Stock would be outstanding; upon conversion of all outstanding Series A Preferred Stock, an additional 3,500,000 shares of Common Stock would be outstanding and upon exercise of all outstanding options, an additional 365,000 shares of Common Stock would be outstanding. Moreover, we intend to continue to minimize our use of cash for consulting services by granting stock options and warrants to consultants at or below the current market price, which will cause additional dilution to our stockholders. In addition to the potential dilutive effect of issuing a large number of stock options and warrants, there is the potential that a large number of the shares may be sold in the public market at any given time, which could place additional downward pressure on the trading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interests due to the future issuance of additional shares of our common stock.</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may authorize the issuance of additional common or preferred shares under applicable state law without shareholder approval. We are authorized to issue 500,000,000 shares of common stock and 10,000,000 shares of preferred stock with such designations, preferences and rights as may be determined by our board of directors. We may also issue additional shares of our common stock or other securities that are convertible into or exercisable for common stock in connection with the hiring of personnel, future acquisitions, future private placements of our securities for capital raising purposes or for other business purposes. Future sales of substantial amounts of our common stock, or the perception that sales could occur, could have a material adverse effect on the price of our common stock. If we need to raise additional capital to expand or continue operations, it may be necessary for us to issue additional equity or convertible debt securities. If we issue equity or convertible debt securities, the net tangible book value per share may decrease, the percentage ownership of our current stockholders may be diluted and such equity securities may have rights, preferences or privileges senior or more advantageous to our common stockholders.</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assurance of an established public trading market, which would adversely affect the ability of investors in our company to sell their securities in the public markets.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our common stock trades on the Pink Sheets, a regular trading market for our common stock may not be sustained in the future. The Pink Sheets is an inter-dealer market that provides significantly less liquidity than a national securities exchange or automated quotation system. Quotes for stocks included on the Pink Sheets are not listed in the financial sections of newspapers as are those for stocks listed on national securities exchanges or automated quotation systems. Therefore, prices for securities traded solely on the Pink Sheets may be difficult to obtain and holders of common stock may be unable to resell their securities at or near their original offering price or at any price. Market prices for our common stock may be influenced by a number of factors, including: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new equity securities;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1060" w:hanging="458"/>
        <w:spacing w:after="0" w:line="250"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perceptions of our company and the technologies industries generally;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prior public market and trading market may cause volatility in the market price of our common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has only been quoted for trading since January 4, 2008. Our common stock is currently traded on a limited basis on the Pink Sheets. The quotation of our common stock on the Pink Sheets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volatility. In the absence of an active trading market:</w:t>
      </w:r>
    </w:p>
    <w:p>
      <w:pPr>
        <w:spacing w:after="0" w:line="241" w:lineRule="exact"/>
        <w:rPr>
          <w:sz w:val="20"/>
          <w:szCs w:val="20"/>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may have difficulty buying and selling or obtaining market quotations;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visibility for our common stock may be limited;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visibility for our common stock may have a depressive effect on the market for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a "Penny Stock."</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common stock is a “low-priced” security, or a penny stock, under rules promulgated under the Exchange Act. A stock could be considered to be a "penny stock" if it meets one or more of the definitions in Rules 15g-2 through 15g-6 promulgated under Section 15(g) of the Exchange Act. These include but are not limited to the following: (i) the stock trades at a price less than $5.00 per share; (ii) it is NOT traded on a "recognized" national exchange;</w:t>
      </w:r>
    </w:p>
    <w:p>
      <w:pPr>
        <w:jc w:val="both"/>
        <w:ind w:firstLine="8"/>
        <w:spacing w:after="0" w:line="254" w:lineRule="auto"/>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quoted on The NASDAQ Stock Market, or even if so, has a price less than $5.00 per share; or (iv) is issued by a company with net tangible assets less than $2.0 million, if in business more than a continuous three years, or with average revenues of less than $6.0 million for the past three years. The principal result or effect of being designated a "penny stock" is that securities broker-dealers cannot recommend the stock but must trade in it on an unsolicited basis.</w:t>
      </w: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these rules, broker-dealers participating in transactions in low-priced securities must first deliver a risk disclosure document which describes the risks associated with such stocks, the broker-dealer’s duties in selling the stock, the customer’s rights and remedies and certain market and other information. Furthermore, the broker-dealer must make a suitability determination approving the customer for low-priced stock transactions based on the customer’s financial situation, investment experience and objectives. Broker-dealers must also disclose these restrictions in writing to the customer, obtain specific written consent from the customer, and provide monthly account statements to the customer. The effect of these restrictions probably decreases the willingness of broker-dealers to make a market in our common stock, decreases liquidity of our common stock and increases transaction costs for sales and purchases of our common stock as compared to other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requirements may affect trading and liquidity.</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15(g) of the Securities Exchange Act of 1934, as amended, and Rule 15g-2 promulgated thereunder by the SEC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for holders of our common stock to resell their shares to third parties or to otherwise dispose of them in the market or otherwise.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Risks Due to Sale Restrictions Imposed by State “Blue Sky Laws”.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state regulations, which might affect the transferability of our shares. We have not registered its shares for sale under the securities or "blue sky" laws of any state and we have no plans to register or qualify its shares in any state. In all states except for Arkansas, Georgia, Illinois, Louisiana, New York, North Dakota, Ohio, Oregon and Tennessee, shareholders can make unsolicited sales of securities through broker dealers. Current shareholders, and persons who desire to purchase the shares in any trading market that may develop in the future, should be aware that there may be significant state restrictions upon the ability of new investors to purchase the securities.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stock, as the future sale of a substantial amount of our restricted stock in the public marketplace could reduce the price of our common stock.</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certain of our stockholders may be eligible to sell their shares of common stock by means of ordinary brokerage transactions in the open market pursuant to Rule 144 of the Securities Act of 1933, as amended, subject to certain requirements. In general, under Rule 144, unaffiliated stockholders (or stockholders whose shares are aggregated) who have satisfied a six month holding period may sell shares of our common stock, so long as we have filed all required reports under Section 13 or 15(d) of the Exchange Act during the 12-month period preceding such sale. Once a period of six months has elapsed since the date the common stock was acquired from us or from an affiliate of ours, unaffiliated stockholders can freely sell shares of our common stock. 12 months after acquiring shares from us or an affiliate, unaffiliated stockholders can freely sell their shares without any restriction or requirement that we are current in our SEC filings. Because we were a shell company until December 27, 2007, our stockholders holding unregistered shares of common stock are initially subject to a 12 month holding period, instead of a six month holding period, which began to run on January 4, 2008, the date we filed a “super” Form 8-K with the SEC. Any substantial sale of common stock pursuant to Rule 144 may have an adverse affect on the market price of our common stock.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Internal Controls in Accordance with Sections 302 and 404(a) of the Sarbanes-Oxley Act of 2002 Could Have A Material Adverse Effect on Our Business and Stock Price.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maintain adequate internal controls or fail to implement required new or improved controls, as such control standards are modified, supplemented or amended from time to time; we may not be able to assert that we can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 investors could lose confidence in our reported financial information, and there could be a material adverse effect on our stock price. We have examined and evaluated our internal control procedures to satisfy the requirements of Section 404(a) of the Sarbanes-Oxley Act, as required for this Prospectus on Form S-1 for the year ending December 31, 2007.</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plans to pay dividends on our common stock, stockholders must look solely to appreciation of our common stock to realize a gain on their investments.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anticipate paying any dividends on our common stock in the foreseeable future. We currently intend to retain future earnings, if any, to finance the expansion of our business. Our future dividend policy is within the discretion of our board of directors and will depend upon various factors, including our business, financial condition, results of operations, capital requirements and investment opportunities. In addition, our senior credit facility limits the payment of dividends without the prior written consent of the lenders. Accordingly, stockholders must look solely to appreciation of our common stock to realize a gain on their investment. This appreciation may not occur.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the September 8, 2008 issuance of the Series A Convertible Preferred Stock.</w:t>
      </w:r>
    </w:p>
    <w:p>
      <w:pPr>
        <w:spacing w:after="0" w:line="3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holders of the Series A Preferred Stock has certain redemption rights. Holders of the Series A Preferred Stock shall have the right to redeem in cash at a price equal to one hundred twenty percent (120%) of the stated value of the Series A Preferred Stock plus all accrued and unpaid dividends thereon at the time of such request. Redemption of the Series A Preferred Stock may be made, at our option in (a) cash or (b) shares of our common stock eligible for public resale by the holder under an effective registration statement covering such shares. If such a merger, consolidation, sale of all or substantially all of our asserts, tender offer or reclassification would ultimately be in the best interests of the shareholders, such anti-takeover provisions may dissuade potential suitors from engaging in such a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anti-takeover provisions that exist in connection with our September 8, 2008 private placement.</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warrants issued in the September 8, 2008 private placement, the warrant holders shall have the right to receive, for each share of common stock that would have been issuable upon such exercise immediately prior to the occurrence of any merger, consolidation or disposition of assets, the number of shares of common stock of the successor or acquiring corporation or of the company, if it is the surviving corporation, and any additional consideration receivable as a result of such merger, consolidation or disposition of assets, by a holder of the number of shares of Common Stock for which this Warrant is exercisable immediately prior to such event. Further, if we enter into a “change of control transaction”, the Series A Stock issued in the September 8, 2008 private placement has certain redemption rights, as previously described. If any merger, consolidation or disposition of assets or change of control transaction would ultimately be in the best interests of the stockholders, such anti-takeover provisions may dissuade potential suitors from engaging in such a transaction.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761"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Statements in this prospectus may be “forward-looking statements.”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Therefore, actual outcomes and results may, and are likely to, differ materially from what is expressed or forecasted in the forward-looking statements due to numerous factors, including those described above and those risks discussed from time to time in this prospectus, including the risks described under “Risk Factors,” “Management’s Discussion and Analysis” and “Our Business.”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important factors that could cause our actual results to differ materially from those in the forward-looking statements. These factors, include, without limitation, the following: our ability to develop our technology platform and our products; our ability to protect our intellectual property; the risk that we will not be able to develop our technology platform and products in the current projected timeframe; the risk that our products will not achieve performance standards in clinical trials; the risk that the clinical trial process will take longer than projected; the risk that our products will not receive regulatory approval; the risk that the regulatory review process will take longer than projected; the risk that we will not be unsuccessful in implementing our strategic, operating and people initiatives; the risk that we will not be able to commercialize our products; any of which could impact sales, costs and expenses and/or planned strategies. Additional information regarding factors that could cause results to differ can be found in this prospectus and our other recent filings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not receive any proceeds from the sale of our common stock offered through this prospectus by the selling security holder. However, we will receive the sale price of any common stock we sell to the selling stockholder upon exercise of the warrants. We expect to use the proceeds received from the exercise of the warrants, if any, for general working capital purposes.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83" w:lineRule="exact"/>
        <w:rPr>
          <w:sz w:val="20"/>
          <w:szCs w:val="20"/>
          <w:color w:val="auto"/>
        </w:rPr>
      </w:pPr>
    </w:p>
    <w:p>
      <w:pPr>
        <w:jc w:val="both"/>
        <w:ind w:firstLine="699"/>
        <w:spacing w:after="0" w:line="264" w:lineRule="auto"/>
        <w:rPr>
          <w:sz w:val="20"/>
          <w:szCs w:val="20"/>
          <w:color w:val="auto"/>
        </w:rPr>
      </w:pPr>
      <w:r>
        <w:rPr>
          <w:rFonts w:ascii="Arial" w:cs="Arial" w:eastAsia="Arial" w:hAnsi="Arial"/>
          <w:sz w:val="18"/>
          <w:szCs w:val="18"/>
          <w:color w:val="auto"/>
        </w:rPr>
        <w:t>Our common stock is traded on the Pink Sheets. Consequently, we cannot determine what the actual value of our common stock will be either now or at the time of sale. The selling security holders will sell all or a portion of their shares from time to time on the Pink Sheets at prices prevailing at the time of sale, or related to the market price at the time of sale, or at other negotiated prices.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center"/>
        <w:ind w:right="180"/>
        <w:spacing w:after="0"/>
        <w:rPr>
          <w:sz w:val="20"/>
          <w:szCs w:val="20"/>
          <w:color w:val="auto"/>
        </w:rPr>
      </w:pPr>
      <w:r>
        <w:rPr>
          <w:rFonts w:ascii="Arial" w:cs="Arial" w:eastAsia="Arial" w:hAnsi="Arial"/>
          <w:sz w:val="18"/>
          <w:szCs w:val="18"/>
          <w:b w:val="1"/>
          <w:bCs w:val="1"/>
          <w:color w:val="auto"/>
        </w:rPr>
        <w:t>SELLING STOCKHOLDERS</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following table sets forth the names of the selling stockholders, the number of shares of common stock owned beneficially by the selling stockholders as of January 30, 2009, and the number of shares of our common stock that may be offered by the selling stockholders pursuant to this prospectus. The table and the other information contained under the captions “Selling Stockholders” and “Plan of Distribution” has been prepared based upon information furnished to us by or on behalf of the selling stockholders. The following table sets forth, as to each of the selling stockholders, the number of shares beneficially owned, the number of share being sold, the number of shares beneficially owned upon completion of the offering and the percentage beneficial ownership upon completion of the offering. The table assumes that all of the securities will be sold in this offering. However, any or all of the securities listed below may be retained by any of the selling shareholders, and therefore, no accurate forecast can be made as to the number of securities that will be held by the selling shareholders upon termination of this offering. As of the date of this prospectus, there is no established trading market in our common stock. The selling shareholders will offer their shares at $4.00 per share until the Company’s shares are quoted on the OTC Bulletin Board and, assuming we secure this qualification, thereafter at prevailing market prices or privately negotiated prices. We will not receive proceeds from the sale of shares from the selling shareholders.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Total Shares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After the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Held</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of Common</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Including</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Percentage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Including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Stock</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Owned After</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Issuable</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Issuable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Offering</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Upon Full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of Common</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Upon Full</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Conversion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Before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Stock Before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Conversion</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Included in</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and/or</w:t>
            </w:r>
          </w:p>
        </w:tc>
      </w:tr>
      <w:tr>
        <w:trPr>
          <w:trHeight w:val="237"/>
        </w:trPr>
        <w:tc>
          <w:tcPr>
            <w:tcW w:w="2720" w:type="dxa"/>
            <w:vAlign w:val="bottom"/>
            <w:gridSpan w:val="2"/>
          </w:tcPr>
          <w:p>
            <w:pPr>
              <w:spacing w:after="0"/>
              <w:rPr>
                <w:sz w:val="20"/>
                <w:szCs w:val="20"/>
                <w:color w:val="auto"/>
              </w:rPr>
            </w:pPr>
            <w:r>
              <w:rPr>
                <w:rFonts w:ascii="Arial" w:cs="Arial" w:eastAsia="Arial" w:hAnsi="Arial"/>
                <w:sz w:val="18"/>
                <w:szCs w:val="18"/>
                <w:color w:val="auto"/>
              </w:rPr>
              <w:t>Name of Selling Stockholder</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exercise (3)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Prospectus (3)</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6"/>
              </w:rPr>
              <w:t>(1)(2)(3)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exercise (4)</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exercise (4)</w:t>
            </w: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Vicis Capital Master Fund (5)</w:t>
            </w:r>
          </w:p>
        </w:tc>
        <w:tc>
          <w:tcPr>
            <w:tcW w:w="120" w:type="dxa"/>
            <w:vAlign w:val="bottom"/>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9,500,000</w:t>
            </w:r>
          </w:p>
        </w:tc>
        <w:tc>
          <w:tcPr>
            <w:tcW w:w="10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43.93 %</w:t>
            </w:r>
          </w:p>
        </w:tc>
        <w:tc>
          <w:tcPr>
            <w:tcW w:w="120" w:type="dxa"/>
            <w:vAlign w:val="bottom"/>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2,230,000</w:t>
            </w:r>
          </w:p>
        </w:tc>
        <w:tc>
          <w:tcPr>
            <w:tcW w:w="10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605,098</w:t>
            </w:r>
          </w:p>
        </w:tc>
        <w:tc>
          <w:tcPr>
            <w:tcW w:w="120" w:type="dxa"/>
            <w:vAlign w:val="bottom"/>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7,270,000</w:t>
            </w:r>
          </w:p>
        </w:tc>
        <w:tc>
          <w:tcPr>
            <w:tcW w:w="120" w:type="dxa"/>
            <w:vAlign w:val="bottom"/>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33.62 %</w:t>
            </w:r>
          </w:p>
        </w:tc>
      </w:tr>
    </w:tbl>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columns represent the aggregate maximum number and percentage of shares that the selling stockholders can own at one time.</w:t>
      </w:r>
    </w:p>
    <w:p>
      <w:pPr>
        <w:spacing w:after="0" w:line="279" w:lineRule="exact"/>
        <w:rPr>
          <w:rFonts w:ascii="Arial" w:cs="Arial" w:eastAsia="Arial" w:hAnsi="Arial"/>
          <w:sz w:val="18"/>
          <w:szCs w:val="18"/>
          <w:color w:val="auto"/>
        </w:rPr>
      </w:pPr>
    </w:p>
    <w:p>
      <w:pPr>
        <w:jc w:val="both"/>
        <w:ind w:firstLine="8"/>
        <w:spacing w:after="0" w:line="302" w:lineRule="auto"/>
        <w:tabs>
          <w:tab w:leader="none" w:pos="2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and the information is not necessarily indicative of beneficial ownership for any other purpose. Under such rule, beneficial ownership includes any shares as to which the selling stockholders has sole or shared voting power or investment power and also any shares, which the selling stockholders has the right to acquire within 60 days. The percentage of shares owned by each selling stockholder is based on a total outstanding number of 12,126,209 as of January 30, 2009.</w:t>
      </w:r>
    </w:p>
    <w:p>
      <w:pPr>
        <w:spacing w:after="0" w:line="208" w:lineRule="exact"/>
        <w:rPr>
          <w:rFonts w:ascii="Arial" w:cs="Arial" w:eastAsia="Arial" w:hAnsi="Arial"/>
          <w:sz w:val="16"/>
          <w:szCs w:val="16"/>
          <w:color w:val="auto"/>
        </w:rPr>
      </w:pPr>
    </w:p>
    <w:p>
      <w:pPr>
        <w:jc w:val="both"/>
        <w:ind w:firstLine="8"/>
        <w:spacing w:after="0" w:line="271" w:lineRule="auto"/>
        <w:tabs>
          <w:tab w:leader="none" w:pos="26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32" w:lineRule="exact"/>
        <w:rPr>
          <w:rFonts w:ascii="Arial" w:cs="Arial" w:eastAsia="Arial" w:hAnsi="Arial"/>
          <w:sz w:val="17"/>
          <w:szCs w:val="17"/>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that all securities registered will be sold.</w:t>
      </w:r>
    </w:p>
    <w:p>
      <w:pPr>
        <w:spacing w:after="0" w:line="279" w:lineRule="exact"/>
        <w:rPr>
          <w:rFonts w:ascii="Arial" w:cs="Arial" w:eastAsia="Arial" w:hAnsi="Arial"/>
          <w:sz w:val="18"/>
          <w:szCs w:val="18"/>
          <w:color w:val="auto"/>
        </w:rPr>
      </w:pPr>
    </w:p>
    <w:p>
      <w:pPr>
        <w:jc w:val="both"/>
        <w:ind w:firstLine="8"/>
        <w:spacing w:after="0" w:line="259"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selling stockholders has not, or within the past three years, held any position, office or material relationship with us or with any of our predecessors or affiliates.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September 8, 2008 Private Placement</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the selling stockholders relationships to us and how each of the selling stockholders acquired its shares to be sold in this offering:</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8, 2008, we entered into a private placement (the "Private Placement") with the selling stockholders pursuant to which we sold various securities in consideration of an aggregate purchase price of $3,500,000. After all disbursements and fees ancillary to the Private Placement were paid, we received net proceeds of $2,985,000. In connection with this private placement, we issued the following securities to the selling stockholders:</w:t>
      </w:r>
    </w:p>
    <w:p>
      <w:pPr>
        <w:spacing w:after="0" w:line="201" w:lineRule="exact"/>
        <w:rPr>
          <w:sz w:val="20"/>
          <w:szCs w:val="20"/>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(each a “Holder”, collectively, the “Holders”) are entitled to receive cumulative preferred dividends at the rate per share of 10% per annum, payable on the first day of September and February of each year. So long as certain equity conditions are met, we may elect to pay dividends in either (i) cash, or (ii) shares of our C ommon Stock that are eligible for public resale by the Holder under an effective registration statement covering such shares; provided however, we shall not be permitted to issued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or other eligible market on which the Common Stock trades on.</w:t>
      </w:r>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share of Series A Preferred Stock is convertible at the option of the Holder into that number of shares of Common Stock of the Company equal to the Stated Value ($100,000) divided by a per share price of the Common Stock of $1.00 per share (the “Conversion Price”). A holder may effect a conversion at any time after the earlier of (x) the time that the Securities and Exchange Commission (“SEC”) declares effective a registration statement registering the shares of Common Stock to be sold by the Holder that underlie the shares of Series A Preferred Stock held by such Holder (the “Conversion Shares’) and (y) the time such Conversion Shares are eligible for resale by the Holder pursuant to Rule 144 of the Securities Act of 1933, as amended, (the “Conversion Eligibility Date”).</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The Company may only effect a Forced Conversion Notice if all of the conditions specified below are met through the applicable Threshold Period until the date of the applicable Forced Conversion and through and including the date such shares of Common Stock are issued to the Holder.</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may effect a Forced Conversion if at such time the conditions below are satisfied: (A) there is an effective registration statement covering the resale of the shares of Common Stock issuable on conversion of the shares of Series A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resole by the Holder under Rule 144), and (B) the Common Stock of the Company, including the Conversion Shares to be issued on the Forced Conversion Date, are eligible for trading on a market tier of the OTC or other Eligible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Preferred Dividends: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any dividends shall be paid or set aside for payment on any junior security of the Company, each Holder of the Series A Preferred Stock shall be entitled to receive dividends payable on the Stated Value of the Series A Preferred Stock at a rate of 10% per annum, which shall be cumulative, accrue daily from the date of issuance and be due and payable on the first day of September and February of each year (each, a “Dividend Date”). Such dividends shall accrue whether or not declared, and the accumulation of unpaid dividends shall bear interest at a rate of 10% per annum. If a Dividend Date is not a business day, then the dividend shall be due and payable on the business day immediately following such Dividend Date.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7"/>
          <w:szCs w:val="17"/>
          <w:color w:val="auto"/>
        </w:rPr>
        <w:t>Dividends on the Series A Preferred stock are payable, at the Company’s option in (a) cash or (b) shares of the Company’s Common Stock that are eligible for public resale by the Holder under an effective registration statement covering such shares; provided, however, the Company shall not be permitted to issue registered shares of Common Stock as dividend payments in the event that the market price is less than $0.50. The Company shall provide irrevocable written notice to the Holder of the form of the dividend payment at least thirty days prior to the Dividend Date. If no such notice is provided at least thirty days prior to the Dividend Date, the Company must make the dividend payment in cash. In addition, the Company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of the Company’s common Stock for the five days immediately preceding th applicable ex-dividend date.</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the Company is not the surviving corporation) another entity, or (ii) the selling, assignment, transfer, conveyance or disposition of all or substantially all of the properties or our assets to another Person,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has voting rights. Holders of shares of Series A Preferred Stock shall be entitled to vote on all matters submitted to a vote of the shareholders of the Company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2,230,000 shares of common stock covered by this prospectus does not include any shares issuable as dividends on the Series A Preferred Stock.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Once there is an effective registration statement, we may force conversion of the Series A Preferred Stock into common stock if the market price for 10 consecutive trading days exceeds $2.00 (subject to adjustment for reverse and forward stock splits, stock combinations and other similar transactions of the Common Stock that occur after the date thereof) and the average daily trading volume for the Common Stock during such ten-(10) day period exceeds 100,000 shares, we may, at any time after the fifth (5th) trading day after the end of any such period, deliver a notice to the holder to cause the holder to immediately convert all and not less than all of the stated value of the shares held by such holder plus accumulated and unpaid dividends at the then current conversion price.</w:t>
      </w:r>
    </w:p>
    <w:p>
      <w:pPr>
        <w:spacing w:after="0" w:line="2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380" w:right="20" w:hanging="332"/>
        <w:spacing w:after="0" w:line="250"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380" w:hanging="332"/>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380" w:hanging="332"/>
        <w:spacing w:after="0" w:line="250"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380" w:right="20" w:hanging="332"/>
        <w:spacing w:after="0" w:line="261"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7" w:lineRule="exact"/>
        <w:rPr>
          <w:rFonts w:ascii="Arial" w:cs="Arial" w:eastAsia="Arial" w:hAnsi="Arial"/>
          <w:sz w:val="18"/>
          <w:szCs w:val="18"/>
          <w:color w:val="auto"/>
        </w:rPr>
      </w:pPr>
    </w:p>
    <w:p>
      <w:pPr>
        <w:ind w:left="860" w:hanging="20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firstLine="656"/>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liquidation or winding up,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Series A Warrants are exercisable for a period of seven years at an exercise price of $2.00 per share. The Series A Warrants are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Registration Rights Agreement between us and the selling stockholders, which, as amended, requires the Company to make the requisite SEC filings to achieve and subsequently maintain the effectiveness of a registration statement covering the common stock issuable upon exercise of the Series A Preferred shares generally on or before February 6, 2009. Failure to file a required registration statement or to achieve or subsequently maintain the effectiveness of a required registration statement through the required time will subject the Company to liquidated damages equal to one percent (1.0%) of the face value of the Series A Preferred Shares then held by such holder on such date and one-half percent (0.5%) of the face value of the Series A Preferred then held by such holder for each calendar month or portion thereof thereafter from the event date until cured. In no event shall the amount of liquidated damages payable at any time and from time to time to any holder exceed an aggregate of six percent (6.0%) of the face value of the Series A Preferred then held by such holder.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241" w:lineRule="exact"/>
        <w:rPr>
          <w:sz w:val="20"/>
          <w:szCs w:val="20"/>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79" w:lineRule="exact"/>
        <w:rPr>
          <w:rFonts w:ascii="Arial" w:cs="Arial" w:eastAsia="Arial" w:hAnsi="Arial"/>
          <w:sz w:val="18"/>
          <w:szCs w:val="18"/>
          <w:color w:val="auto"/>
        </w:rPr>
      </w:pPr>
    </w:p>
    <w:p>
      <w:pPr>
        <w:ind w:left="580" w:right="40" w:hanging="319"/>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224"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302" w:lineRule="exact"/>
        <w:rPr>
          <w:rFonts w:ascii="Arial" w:cs="Arial" w:eastAsia="Arial" w:hAnsi="Arial"/>
          <w:sz w:val="16"/>
          <w:szCs w:val="16"/>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79" w:lineRule="exact"/>
        <w:rPr>
          <w:rFonts w:ascii="Arial" w:cs="Arial" w:eastAsia="Arial" w:hAnsi="Arial"/>
          <w:sz w:val="18"/>
          <w:szCs w:val="18"/>
          <w:color w:val="auto"/>
        </w:rPr>
      </w:pPr>
    </w:p>
    <w:p>
      <w:pPr>
        <w:ind w:left="580" w:hanging="31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security holders have agreed to indemnify one another against certain losses, damages and liabilities arising in connection with this prospectus, including liabilities under the Securities Act.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Penny Stock</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235"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1160" w:right="100" w:hanging="571"/>
        <w:spacing w:after="0" w:line="261"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broker or dealer receive from the investor a written agreement to the transaction, setting forth the identity and quantity of the penny stock to be purchased.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79"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1160" w:right="20" w:hanging="571"/>
        <w:spacing w:after="0" w:line="261"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224"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at a par value of $0.001 per share and 10,000,000 shares of preferred stock at a par value of $0.001 per share. As of January 30, 2009, there were 12,126,209 shares of our common stock issued and outstanding and 35 shares of Series A Preferred Stock issued and outstanding, which are currently convertible, at the option of the holder, into an aggregate of 35,000,000 shares of our common stock, 625,000 are reserved for outstanding stock options and warrants, and 1,490,000 are reserved for future grant under the 2008 Company Stock Option Plan.</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Holders of our common stock are entitled to one vote for each share on all matters submitted to a stockholder vote. Holders of common stock do not have cumulative voting rights. Therefore, holders of a majority of the shares of our common stock voting for the election of directors can elect all of the directors. Holders of our common stock representing a majority of the voting power of our capital stock issued, outstanding and entitled to vote, represented in person or by proxy, are necessary to constitute a quorum at any meeting of stockholders. A vote by the holders of a majority of our outstanding shares is required to effectuate certain fundamental corporate changes such as liquidation, merger or an amendment to our articles of incorporation.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rights of our Series A Preferred Stock, holders of our common stock are entitled to share in all dividends that the board of directors, in its discretion, declares from legally available funds. In the event of liquidation, dissolution or winding up, subject to the rights of our Series A Preferred Stock, each outstanding share entitles its holder to participate pro rata in all assets that remain after payment of liabilities and after providing for each class of stock, if any, having preference over the common stock. Our common stock has no pre-emptive rights, no conversion rights and there are no redemption provisions applicable to our common stock.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our common stockholders may be affected by rights, preferences and privileges of our Series A Preferred Stock. The following is a description of the rights, preferences and privileges of our Series A Preferred Stock:</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and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the Pink Sheets if not reported on Bloomberg Financial, or other eligible market on which the common stock trades on.</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we are not the surviving corporation) another entity, or (ii) the selling, assignment, transfer, conveyance or disposition of all or substantially all of the properties or our assets to another entity,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our aggregate voting stock.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ectPr>
          <w:pgSz w:w="11900" w:h="16838" w:orient="portrait"/>
          <w:cols w:equalWidth="0" w:num="1">
            <w:col w:w="11420"/>
          </w:cols>
          <w:pgMar w:left="240" w:top="39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5" w:name="page26"/>
    <w:bookmarkEnd w:id="25"/>
    <w:p>
      <w:pPr>
        <w:jc w:val="both"/>
        <w:ind w:firstLine="648"/>
        <w:spacing w:after="0" w:line="290" w:lineRule="auto"/>
        <w:rPr>
          <w:sz w:val="20"/>
          <w:szCs w:val="20"/>
          <w:color w:val="auto"/>
        </w:rPr>
      </w:pPr>
      <w:r>
        <w:rPr>
          <w:rFonts w:ascii="Arial" w:cs="Arial" w:eastAsia="Arial" w:hAnsi="Arial"/>
          <w:sz w:val="16"/>
          <w:szCs w:val="16"/>
          <w:color w:val="auto"/>
        </w:rPr>
        <w:t>The Series A Preferred Stock has voting rights. holders of shares of Series A Preferred Stock shall be entitled to vote on all matters submitted to a vote of our shareholders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380" w:right="20" w:hanging="454"/>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380" w:hanging="454"/>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380" w:hanging="454"/>
        <w:spacing w:after="0" w:line="250"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380" w:right="20" w:hanging="454"/>
        <w:spacing w:after="0" w:line="261" w:lineRule="auto"/>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ind w:left="860" w:hanging="20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rFonts w:ascii="Arial" w:cs="Arial" w:eastAsia="Arial" w:hAnsi="Arial"/>
          <w:sz w:val="18"/>
          <w:szCs w:val="18"/>
          <w:color w:val="auto"/>
        </w:rPr>
      </w:pPr>
    </w:p>
    <w:p>
      <w:pPr>
        <w:ind w:firstLine="656"/>
        <w:spacing w:after="0" w:line="277"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liquidation or winding up, the holders of shares of Series A Preferred Stock then outstanding shall be entitled to be paid out of the assets of the Company available for distribution to its stockholders an amount per share equal to the stated value of the Series A Preferred Stock plus the aggregate amount of accumulated but unpaid dividends on each share of Series A Preferred Stock. If, upon liquidation or winding up, the assets of the Company,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such liquidation or winding up, we shall declare for payment all accrued and unpaid dividends with respect to the Series A Preferred Stock but only to the extent that funds legally available for the payment of dividends.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Penny Stock Regulations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 has adopted regulations which generally define "penny stock" to be an equity security that has a market price of less than $5.00 per share. Our common stock, when and if a trading market develops, may fall within the definition of penny stock and subject to rules that impose additional sales practice requirements on broker-dealers who sell such securities to persons other than established customers and accredited investors (generally those with assets in excess of $1,000,000, or annual incomes exceeding $200,000 or $300,000, together with their spouse).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transactions covered by these rules, the broker-dealer must make a special suitability determination for the purchase of such securities and have received the purchaser's prior written consent to the transaction. Additionally, for any transaction, other than exempt transactions, involving a penny stock, the rules require the delivery, prior to the transaction, of a risk disclosure document mandated by the Commission relating to the penny stock market.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 Consequently, the "penny stock" rules may restrict the ability of broker-dealers to sell our common stock and may affect the ability of investors to sell their common stock in the secondary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Integrity Stock Transfer, located at 3265 E. Warm Springs Road, Las Vegas, NV 89120.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BUSINESS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founders recognized patients were becoming greater financial stakeholders in their healthcare decisions, including with their medications. Yet, there was very little information available on how patients could access available savings and support programs to help them affordably access and comply to their prescribed therapies. OPTIMIZERx.com was developed to be the patient savings and support portal to identify helpful programs that are available, based on the patients selected needs. In turn, we would offer powerful advertising platforms to pharmaceutical and healthcare manufacturers seeking to engage these patients needing their support.</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aging of America’s largest demographics, the internet emerging as the preferred way to seek information, and our founders expertise in the pharmaceutical and healthcare industries- the company was formed and advanced.</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website called OPTIMIZERx.com, we aid patients better afford and manage their rising healthcare costs. This provides unique advertising programs to the pharmaceutical and healthcare industries. Additionally, the company provides turn-key development and promotion of new savings offers for manufacturers through OFFERx. Finally, the company sells programs to manufacturers that help patients comply to their prescribed therapies each month through our new platform ADHERxE. ADHERxE allows manufacturers to extend additional savings to patients in turn for completion of monthly survey information to monitor treatment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83" w:lineRule="exact"/>
        <w:rPr>
          <w:sz w:val="20"/>
          <w:szCs w:val="20"/>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OPTIMIZERx.com- unique healthcare website for patients to centrally review and participate in prescription and healthcare savings/support programs.</w:t>
      </w:r>
    </w:p>
    <w:p>
      <w:pPr>
        <w:spacing w:after="0" w:line="224" w:lineRule="exact"/>
        <w:rPr>
          <w:rFonts w:ascii="Arial" w:cs="Arial" w:eastAsia="Arial" w:hAnsi="Arial"/>
          <w:sz w:val="18"/>
          <w:szCs w:val="18"/>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OFFERx - turn-key platform to allow manufactures to create, promote and fulfill new patient offer programs in over 64K pharmacies through our end to end system.</w:t>
      </w:r>
    </w:p>
    <w:p>
      <w:pPr>
        <w:spacing w:after="0" w:line="224" w:lineRule="exact"/>
        <w:rPr>
          <w:rFonts w:ascii="Arial" w:cs="Arial" w:eastAsia="Arial" w:hAnsi="Arial"/>
          <w:sz w:val="18"/>
          <w:szCs w:val="18"/>
          <w:color w:val="auto"/>
        </w:rPr>
      </w:pPr>
    </w:p>
    <w:p>
      <w:pPr>
        <w:ind w:left="1420" w:hanging="762"/>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ADHERxE - turn-key platform that allows manufacturers to engage and monitor patients each month in exchange for activation of their monthly co-pay coupons.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With our marketing partners, including our New York advertising and PR agencies, we will promote OPTIMIZERx primarily through the following:</w:t>
      </w:r>
    </w:p>
    <w:p>
      <w:pPr>
        <w:spacing w:after="0" w:line="291" w:lineRule="exact"/>
        <w:rPr>
          <w:sz w:val="20"/>
          <w:szCs w:val="20"/>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the Company has entered into co-promotional agreements with Cegedim Dendrite and Sudler &amp; Hennessey, a division of WPP.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any company, we are seeking new services and solutions to offer. However, our three current platforms provide robust opportunities and growth during the next five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and Drugs.com.</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each could also be a partner in co-promotion of exclusive offer and adherence campaigns we create on behalf of the client through OFFERx and ADHERxE.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competition could be other competitors to our exclusive partnership with Cegedim Dendrite, such as McKesson, who provide similar offer redemption services through a network of pharmacies.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competitors may be able to enter into the field by developing a website to promote health care offers. However, they are limited from not being able to create, promote and manage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and exclusive prescription trial or offers. Additionally, with ADHERxE and the ability to create multiple offers activated each month for returning patients who sign up, we are uniquely positioned with significant barriers to entry.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represents a huge asset and further opportunity upon its receipt.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our further integrating these platforms to provide more robust offerings. OPTIMIZERx.com and OFFERx are patent pending.</w:t>
      </w:r>
    </w:p>
    <w:p>
      <w:pPr>
        <w:sectPr>
          <w:pgSz w:w="11900" w:h="16838" w:orient="portrait"/>
          <w:cols w:equalWidth="0" w:num="1">
            <w:col w:w="11420"/>
          </w:cols>
          <w:pgMar w:left="240" w:top="39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App Number/</w:t>
            </w:r>
          </w:p>
        </w:tc>
        <w:tc>
          <w:tcPr>
            <w:tcW w:w="48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Brief Summary</w:t>
            </w:r>
          </w:p>
        </w:tc>
        <w:tc>
          <w:tcPr>
            <w:tcW w:w="440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482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89"/>
              </w:rPr>
              <w:t>(Products Covered)</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S.N. 11/528,292</w:t>
            </w:r>
          </w:p>
        </w:tc>
        <w:tc>
          <w:tcPr>
            <w:tcW w:w="4820" w:type="dxa"/>
            <w:vAlign w:val="bottom"/>
          </w:tcPr>
          <w:p>
            <w:pPr>
              <w:ind w:left="320"/>
              <w:spacing w:after="0" w:line="201" w:lineRule="exact"/>
              <w:rPr>
                <w:sz w:val="20"/>
                <w:szCs w:val="20"/>
                <w:color w:val="auto"/>
              </w:rPr>
            </w:pPr>
            <w:r>
              <w:rPr>
                <w:rFonts w:ascii="Arial" w:cs="Arial" w:eastAsia="Arial" w:hAnsi="Arial"/>
                <w:sz w:val="18"/>
                <w:szCs w:val="18"/>
                <w:color w:val="auto"/>
                <w:w w:val="96"/>
              </w:rPr>
              <w:t>System for providing patient savings and promoting health</w:t>
            </w: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Patent application pending.</w:t>
            </w:r>
          </w:p>
        </w:tc>
        <w:tc>
          <w:tcPr>
            <w:tcW w:w="0" w:type="dxa"/>
            <w:vAlign w:val="bottom"/>
          </w:tcPr>
          <w:p>
            <w:pPr>
              <w:spacing w:after="0"/>
              <w:rPr>
                <w:sz w:val="1"/>
                <w:szCs w:val="1"/>
                <w:color w:val="auto"/>
              </w:rPr>
            </w:pPr>
          </w:p>
        </w:tc>
      </w:tr>
      <w:tr>
        <w:trPr>
          <w:trHeight w:val="122"/>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September 27, 2006</w:t>
            </w:r>
          </w:p>
        </w:tc>
        <w:tc>
          <w:tcPr>
            <w:tcW w:w="4820" w:type="dxa"/>
            <w:vAlign w:val="bottom"/>
            <w:vMerge w:val="restart"/>
          </w:tcPr>
          <w:p>
            <w:pPr>
              <w:ind w:left="320"/>
              <w:spacing w:after="0"/>
              <w:rPr>
                <w:sz w:val="20"/>
                <w:szCs w:val="20"/>
                <w:color w:val="auto"/>
              </w:rPr>
            </w:pPr>
            <w:r>
              <w:rPr>
                <w:rFonts w:ascii="Arial" w:cs="Arial" w:eastAsia="Arial" w:hAnsi="Arial"/>
                <w:sz w:val="18"/>
                <w:szCs w:val="18"/>
                <w:color w:val="auto"/>
              </w:rPr>
              <w:t>care product sales</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auto"/>
            </w:tcBorders>
            <w:gridSpan w:val="2"/>
            <w:vMerge w:val="continue"/>
          </w:tcPr>
          <w:p>
            <w:pPr>
              <w:spacing w:after="0"/>
              <w:rPr>
                <w:sz w:val="10"/>
                <w:szCs w:val="10"/>
                <w:color w:val="auto"/>
              </w:rPr>
            </w:pPr>
          </w:p>
        </w:tc>
        <w:tc>
          <w:tcPr>
            <w:tcW w:w="482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Government Regulation</w:t>
            </w:r>
          </w:p>
        </w:tc>
        <w:tc>
          <w:tcPr>
            <w:tcW w:w="48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Anti-Kickback Statutes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Claims Laws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30, 2009, we had two full-time employees and four independent sales and programming contractors who perform various services for us. We also engage consultants for investor relations, accounting and legal services.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PROPERTY</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color w:val="auto"/>
        </w:rPr>
        <w:t>We are not aware of any pending or threatened litigation against us that we expect will have a material adverse effect on our business, financial condition, liquidity, or operating results. However, legal claims are inherently uncertain and we cannot assure you that we will not be adversely affected in the future by legal proceedings.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AND DIVDENDS ON COMMON EQUITY AND RELATED STOCKHOLDER MATTERS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is no established trading market in our Common Stock. There is no assurance than an established trading market will develop, that a market maker will agree to file the necessary documents with FINRA, which operates the OTC Electronic Bulletin Boar, nor can here be any assurance that such an application for quotation will be approved. Our Common Stock is traded on the Pink Sheets, under the symbol OPRX.PK since April 2, 2008. Our common stock was previously traded under the symbol RFDL. The most recent price for our common stock as of January 29, 2009 was $4.30.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bid prices of the Company's Common Stock traded on the Pink Sheets for the fiscal years ended December 31, 2008, December 31, 2007, and December 31, 2006. The quotations reflect inter-dealer prices, without retail mark-up, mark-down or commission, and may not represent actual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2008</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Fiscal Year 2007</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590.00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490.00</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5"/>
          </w:tcPr>
          <w:p>
            <w:pPr>
              <w:ind w:left="38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2006</w:t>
            </w:r>
          </w:p>
        </w:tc>
        <w:tc>
          <w:tcPr>
            <w:tcW w:w="5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5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558.33</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658.33</w:t>
            </w:r>
          </w:p>
        </w:tc>
        <w:tc>
          <w:tcPr>
            <w:tcW w:w="3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5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80" w:type="dxa"/>
            <w:vAlign w:val="bottom"/>
          </w:tcPr>
          <w:p>
            <w:pPr>
              <w:jc w:val="right"/>
              <w:ind w:right="281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There were approximately 357 holders of record of our common stock as of January 30, 2009.</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never declared or paid cash dividends on our common stock and do not expect to pay any dividends on our common stock in the foreseeable future. We currently intend to retain any future earnings for our business. The payment of any future dividends on our common stock will be determined by our Board of Directors and will depend on business conditions, our financial earnings and other factors.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OR PLAN OF OPERATION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Some of the statements contained in this Prospectus that are not historical facts are "forward-looking statements" which can be identified by the use of terminology such as "estimates," "projects," "plans," "believes," "expects," "anticipates," "intends," or the negative or other variations, or by discussions of strategy that involve risks and uncertainties. We urge you to be cautious of the forward-looking statements, that such statements, which are contained in this Prospectus, reflect our current beliefs with respect to future events and involve known and unknown risks, uncertainties and other factors affecting our operations, market growth, services, products and licenses. No assurances can be given regarding the achievement of future results, as actual results may differ materially as a result of the risks we face, and actual events may differ from the assumptions underlying the statements that have been made regarding anticipated events. Factors that may cause actual results, our performance or achievements, or industry results, to differ materially from those contemplated by such forward-looking statements include without limitation:</w:t>
      </w:r>
    </w:p>
    <w:p>
      <w:pPr>
        <w:spacing w:after="0" w:line="233" w:lineRule="exact"/>
        <w:rPr>
          <w:sz w:val="20"/>
          <w:szCs w:val="20"/>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management, and to integrate and maintain technical information and management information systems;</w:t>
      </w:r>
    </w:p>
    <w:p>
      <w:pPr>
        <w:spacing w:after="0" w:line="23"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 and conditions;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intensity of competition; and</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35" w:lineRule="exact"/>
        <w:rPr>
          <w:sz w:val="20"/>
          <w:szCs w:val="20"/>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580" w:hanging="319"/>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per activation of new savings each month</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Nine Months Ended September 30, 2008</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formation in January 2006, we have focused on developing a business and financing plan to launch and expand OPTIMIZERx.com and its additional marketing and offer development platforms.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loss for the nine months ended September 30, 2008 was $569,954. The operating loss for the period reflects expenses paid to consultants and firms related to developing the operating functions of our business in editorial, finance, product development and technology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2008, we had a cash balance of $2,807,520. On Sept 8, 2008, we received gross proceeds of $3,500,000 from VICIS Capital (net $2,985,000).</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currently available working capital after receiving the net proceeds of the VICIS Capital agreement should be adequate to sustain our operations at our current levels through at least the next twelve to eighteen months. However, depending on our future needs and changes and trends in the capital markets affecting our shares and us, we may determine to seek additional equity or debt financing in the private or public markets. Additional financing, whether through public or private equity or debt financing, arrangements with stockholders or other sources to fund operations, may not be available, or if available, may be on terms unacceptable to us.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monthly use of funds is for general operations, product development, sales and marketing. Our operational overhead is generally minimized through our small staff and use of independent contractors.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Estimated Monthly Expenses:</w:t>
            </w:r>
          </w:p>
        </w:tc>
        <w:tc>
          <w:tcPr>
            <w:tcW w:w="4680" w:type="dxa"/>
            <w:vAlign w:val="bottom"/>
            <w:gridSpan w:val="2"/>
            <w:shd w:val="clear" w:color="auto" w:fill="EEEEEE"/>
          </w:tcPr>
          <w:p>
            <w:pPr>
              <w:jc w:val="center"/>
              <w:ind w:left="310"/>
              <w:spacing w:after="0"/>
              <w:rPr>
                <w:sz w:val="20"/>
                <w:szCs w:val="20"/>
                <w:color w:val="auto"/>
              </w:rPr>
            </w:pPr>
            <w:r>
              <w:rPr>
                <w:rFonts w:ascii="Arial" w:cs="Arial" w:eastAsia="Arial" w:hAnsi="Arial"/>
                <w:sz w:val="18"/>
                <w:szCs w:val="18"/>
                <w:color w:val="auto"/>
                <w:w w:val="89"/>
              </w:rPr>
              <w:t>Normal Expected Range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Staff salaries</w:t>
            </w:r>
          </w:p>
        </w:tc>
        <w:tc>
          <w:tcPr>
            <w:tcW w:w="2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$25,000</w:t>
            </w:r>
          </w:p>
        </w:tc>
        <w:tc>
          <w:tcPr>
            <w:tcW w:w="2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Independent Sales Representatives</w:t>
            </w:r>
          </w:p>
        </w:tc>
        <w:tc>
          <w:tcPr>
            <w:tcW w:w="2540" w:type="dxa"/>
            <w:vAlign w:val="bottom"/>
          </w:tcPr>
          <w:p>
            <w:pPr>
              <w:jc w:val="right"/>
              <w:spacing w:after="0"/>
              <w:rPr>
                <w:sz w:val="20"/>
                <w:szCs w:val="20"/>
                <w:color w:val="auto"/>
              </w:rPr>
            </w:pPr>
            <w:r>
              <w:rPr>
                <w:rFonts w:ascii="Arial" w:cs="Arial" w:eastAsia="Arial" w:hAnsi="Arial"/>
                <w:sz w:val="18"/>
                <w:szCs w:val="18"/>
                <w:color w:val="auto"/>
              </w:rPr>
              <w:t>$10,000</w:t>
            </w:r>
          </w:p>
        </w:tc>
        <w:tc>
          <w:tcPr>
            <w:tcW w:w="2140" w:type="dxa"/>
            <w:vAlign w:val="bottom"/>
          </w:tcPr>
          <w:p>
            <w:pPr>
              <w:ind w:left="2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IT and Web/Product Development</w:t>
            </w:r>
          </w:p>
        </w:tc>
        <w:tc>
          <w:tcPr>
            <w:tcW w:w="2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Rent and other general expenses</w:t>
            </w:r>
          </w:p>
        </w:tc>
        <w:tc>
          <w:tcPr>
            <w:tcW w:w="46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Travel and other related expenses</w:t>
            </w:r>
          </w:p>
        </w:tc>
        <w:tc>
          <w:tcPr>
            <w:tcW w:w="468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90"/>
              </w:rPr>
              <w:t>$5,000 - 10,000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$2,000</w:t>
            </w:r>
          </w:p>
        </w:tc>
        <w:tc>
          <w:tcPr>
            <w:tcW w:w="2140" w:type="dxa"/>
            <w:vAlign w:val="bottom"/>
          </w:tcPr>
          <w:p>
            <w:pPr>
              <w:ind w:left="20"/>
              <w:spacing w:after="0"/>
              <w:rPr>
                <w:sz w:val="20"/>
                <w:szCs w:val="20"/>
                <w:color w:val="auto"/>
              </w:rPr>
            </w:pPr>
            <w:r>
              <w:rPr>
                <w:rFonts w:ascii="Arial" w:cs="Arial" w:eastAsia="Arial" w:hAnsi="Arial"/>
                <w:sz w:val="18"/>
                <w:szCs w:val="18"/>
                <w:color w:val="auto"/>
              </w:rPr>
              <w:t>- 5,000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Marketing &amp; Advertising</w:t>
            </w:r>
          </w:p>
        </w:tc>
        <w:tc>
          <w:tcPr>
            <w:tcW w:w="468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89"/>
              </w:rPr>
              <w:t>(Variable: See comments below)</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Normal Expected Monthly Burn Rate: Approximately $57,000- 90,000 plus marketing and advertising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biggest anticipated variance in expenses will relate to company’s marketing/advertising expenses to both the pharmaceutical industry and direct to consumers. Based on confirmation of successful online and traditional advertising programs, we will aggressively ramp up these programs to increase site traffic, membership database and revenue.</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includes our anticipated plans to spend $250,000 in online advertising to generate approximately 500,000+ additional enrollments into our database through a contract with ValueClick Media during the first 4 months of 2009. Additionally, we will be testing a new 30 second national cable commercial to deliver approximately 70 million views/impressions at a cost of approximately $150,000 within the first quarter of 2009 (for a preview, please go to www.optimizerx.com/commercial/). Upon attaining specific advertisers, we may also have additional advertising expenses to generate maximum advertising revenue to the company. Management anticipates our current cash balance positions us well to manage the required expenses to support our growth plans over the next twelve months.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net losses for the fiscal years ending December 31, 2007 and 2006 were $361,466 and $184,310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2007, our financing since inception activities consisted of founder equity financing, loans and advances made to cover our operating expenses in 2007 and 2006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91"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Stock Based Compensation</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MANAGEMENT AND CERTAIN SECURITY 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and text sets forth the names and ages of all our directors and executive officers and our key management personnel as of January 30, 2009. All of our directors serve until the next annual meeting of stockholders and until their successors are elected and qualified, or until their earlier death, retirement, resignation or removal. Executive officers serve at the discretion of the Board of Directors, and are elected or appointed to serve until the next Board of Directors meeting following the annual meeting of stockholders. Also provided is a brief description of the business experience of each director and executive officer and the key management personnel during the past five years and an indication of directorships held by each director in other companies subject to the reporting requirements under the Federal securities laws.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920" w:type="dxa"/>
            <w:vAlign w:val="bottom"/>
          </w:tcPr>
          <w:p>
            <w:pPr>
              <w:jc w:val="center"/>
              <w:ind w:left="1010"/>
              <w:spacing w:after="0"/>
              <w:rPr>
                <w:sz w:val="20"/>
                <w:szCs w:val="20"/>
                <w:color w:val="auto"/>
              </w:rPr>
            </w:pPr>
            <w:r>
              <w:rPr>
                <w:rFonts w:ascii="Arial" w:cs="Arial" w:eastAsia="Arial" w:hAnsi="Arial"/>
                <w:sz w:val="18"/>
                <w:szCs w:val="18"/>
                <w:b w:val="1"/>
                <w:bCs w:val="1"/>
                <w:color w:val="auto"/>
                <w:w w:val="88"/>
              </w:rPr>
              <w:t>Age</w:t>
            </w:r>
          </w:p>
        </w:tc>
        <w:tc>
          <w:tcPr>
            <w:tcW w:w="6440" w:type="dxa"/>
            <w:vAlign w:val="bottom"/>
          </w:tcPr>
          <w:p>
            <w:pPr>
              <w:ind w:left="280"/>
              <w:spacing w:after="0"/>
              <w:rPr>
                <w:sz w:val="20"/>
                <w:szCs w:val="20"/>
                <w:color w:val="auto"/>
              </w:rPr>
            </w:pPr>
            <w:r>
              <w:rPr>
                <w:rFonts w:ascii="Arial" w:cs="Arial" w:eastAsia="Arial" w:hAnsi="Arial"/>
                <w:sz w:val="18"/>
                <w:szCs w:val="18"/>
                <w:b w:val="1"/>
                <w:bCs w:val="1"/>
                <w:color w:val="auto"/>
              </w:rPr>
              <w:t>Position with company and subsidiaries</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David A. Harrell</w:t>
            </w:r>
          </w:p>
        </w:tc>
        <w:tc>
          <w:tcPr>
            <w:tcW w:w="1920" w:type="dxa"/>
            <w:vAlign w:val="bottom"/>
            <w:shd w:val="clear" w:color="auto" w:fill="EEEEEE"/>
          </w:tcPr>
          <w:p>
            <w:pPr>
              <w:jc w:val="center"/>
              <w:ind w:left="1010"/>
              <w:spacing w:after="0"/>
              <w:rPr>
                <w:sz w:val="20"/>
                <w:szCs w:val="20"/>
                <w:color w:val="auto"/>
              </w:rPr>
            </w:pPr>
            <w:r>
              <w:rPr>
                <w:rFonts w:ascii="Arial" w:cs="Arial" w:eastAsia="Arial" w:hAnsi="Arial"/>
                <w:sz w:val="18"/>
                <w:szCs w:val="18"/>
                <w:color w:val="auto"/>
                <w:w w:val="89"/>
              </w:rPr>
              <w:t>42</w:t>
            </w:r>
          </w:p>
        </w:tc>
        <w:tc>
          <w:tcPr>
            <w:tcW w:w="6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Thomas E. Majerowicz</w:t>
            </w:r>
          </w:p>
        </w:tc>
        <w:tc>
          <w:tcPr>
            <w:tcW w:w="1920" w:type="dxa"/>
            <w:vAlign w:val="bottom"/>
          </w:tcPr>
          <w:p>
            <w:pPr>
              <w:jc w:val="center"/>
              <w:ind w:left="1010"/>
              <w:spacing w:after="0"/>
              <w:rPr>
                <w:sz w:val="20"/>
                <w:szCs w:val="20"/>
                <w:color w:val="auto"/>
              </w:rPr>
            </w:pPr>
            <w:r>
              <w:rPr>
                <w:rFonts w:ascii="Arial" w:cs="Arial" w:eastAsia="Arial" w:hAnsi="Arial"/>
                <w:sz w:val="18"/>
                <w:szCs w:val="18"/>
                <w:color w:val="auto"/>
                <w:w w:val="89"/>
              </w:rPr>
              <w:t>57</w:t>
            </w:r>
          </w:p>
        </w:tc>
        <w:tc>
          <w:tcPr>
            <w:tcW w:w="6440" w:type="dxa"/>
            <w:vAlign w:val="bottom"/>
          </w:tcPr>
          <w:p>
            <w:pPr>
              <w:ind w:left="280"/>
              <w:spacing w:after="0"/>
              <w:rPr>
                <w:sz w:val="20"/>
                <w:szCs w:val="20"/>
                <w:color w:val="auto"/>
              </w:rPr>
            </w:pPr>
            <w:r>
              <w:rPr>
                <w:rFonts w:ascii="Arial" w:cs="Arial" w:eastAsia="Arial" w:hAnsi="Arial"/>
                <w:sz w:val="18"/>
                <w:szCs w:val="18"/>
                <w:color w:val="auto"/>
              </w:rPr>
              <w:t>Secretary and Director</w:t>
            </w:r>
          </w:p>
        </w:tc>
      </w:tr>
      <w:tr>
        <w:trPr>
          <w:trHeight w:val="216"/>
        </w:trPr>
        <w:tc>
          <w:tcPr>
            <w:tcW w:w="3060" w:type="dxa"/>
            <w:vAlign w:val="bottom"/>
            <w:shd w:val="clear" w:color="auto" w:fill="EEEEEE"/>
          </w:tcPr>
          <w:p>
            <w:pPr>
              <w:spacing w:after="0"/>
              <w:rPr>
                <w:sz w:val="20"/>
                <w:szCs w:val="20"/>
                <w:color w:val="auto"/>
              </w:rPr>
            </w:pPr>
            <w:r>
              <w:rPr>
                <w:rFonts w:ascii="Arial" w:cs="Arial" w:eastAsia="Arial" w:hAnsi="Arial"/>
                <w:sz w:val="18"/>
                <w:szCs w:val="18"/>
                <w:color w:val="auto"/>
              </w:rPr>
              <w:t>Terence J. Hamilton</w:t>
            </w:r>
          </w:p>
        </w:tc>
        <w:tc>
          <w:tcPr>
            <w:tcW w:w="1920" w:type="dxa"/>
            <w:vAlign w:val="bottom"/>
            <w:shd w:val="clear" w:color="auto" w:fill="EEEEEE"/>
          </w:tcPr>
          <w:p>
            <w:pPr>
              <w:jc w:val="center"/>
              <w:ind w:left="1010"/>
              <w:spacing w:after="0"/>
              <w:rPr>
                <w:sz w:val="20"/>
                <w:szCs w:val="20"/>
                <w:color w:val="auto"/>
              </w:rPr>
            </w:pPr>
            <w:r>
              <w:rPr>
                <w:rFonts w:ascii="Arial" w:cs="Arial" w:eastAsia="Arial" w:hAnsi="Arial"/>
                <w:sz w:val="18"/>
                <w:szCs w:val="18"/>
                <w:color w:val="auto"/>
                <w:w w:val="89"/>
              </w:rPr>
              <w:t>43</w:t>
            </w:r>
          </w:p>
        </w:tc>
        <w:tc>
          <w:tcPr>
            <w:tcW w:w="6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Director</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Harrell founded the Company in January 2006 and served as its President and Chief Executive Officer. Mr. Harrell became a director when the Company changed from a limited liability to a corporation in 2007. Mr. Harrell was the Vice President of Development for Meridian Incorporated from 2003-2005 and, prior to that, was Vice President of Sales and Marketing since 1999 at Advance Graphic Systems. Mr. Harrell spent two decades leading sales, marketing and business development units within the pharmaceutical and national retail industries. Prior to founding the Company, Mr. Harrell served as Vice President of Business Development for Meridian. Prior to that, Mr. Harrell was Vice President of Sales and Marketing for Advance Graphic Systems. Serving ten years at SmithKline Beecham, Mr. Harrell specialized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meeting of our shareholders or until removed from office in accordance with our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our board of directors and hold office until removed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Family Relationships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best of our knowledge, during the past five years, none of the following occurred with respect to a present director, person nominated to become director, executive officer, or control person: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Salary $</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Bonus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Awards $</w:t>
            </w: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Awards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0" w:type="dxa"/>
            <w:vAlign w:val="bottom"/>
            <w:shd w:val="clear" w:color="auto" w:fill="EEEEEE"/>
          </w:tcPr>
          <w:p>
            <w:pPr>
              <w:spacing w:after="0"/>
              <w:rPr>
                <w:sz w:val="18"/>
                <w:szCs w:val="18"/>
                <w:color w:val="auto"/>
              </w:rPr>
            </w:pPr>
          </w:p>
        </w:tc>
        <w:tc>
          <w:tcPr>
            <w:tcW w:w="9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91,000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235,000</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James Vandeberg</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Former Chief Executive Officer of RFID Ltd.</w:t>
            </w:r>
          </w:p>
        </w:tc>
        <w:tc>
          <w:tcPr>
            <w:tcW w:w="10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433"/>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to purchase 100,000 shares of Common Stock valued at $0.91 per share with an exercise price of $1.00 per share. Please see our Management’s Discussion and Analysis for a discussion on the valuation of our options .</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w w:val="91"/>
              </w:rPr>
              <w:t>Director Compensation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2"/>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Changes in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Pension Value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Non-Equity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Nonqualified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Incentive Plan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Deferred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Fees Earned or</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Stock</w:t>
            </w: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Compensation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Pain In Cash</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Awards ($)</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Awards ($)</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Earnings ($)</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 ($)</w:t>
            </w:r>
          </w:p>
        </w:tc>
        <w:tc>
          <w:tcPr>
            <w:tcW w:w="100" w:type="dxa"/>
            <w:vAlign w:val="bottom"/>
          </w:tcPr>
          <w:p>
            <w:pPr>
              <w:spacing w:after="0"/>
              <w:rPr>
                <w:sz w:val="20"/>
                <w:szCs w:val="20"/>
                <w:color w:val="auto"/>
              </w:rPr>
            </w:pPr>
          </w:p>
        </w:tc>
      </w:tr>
      <w:tr>
        <w:trPr>
          <w:trHeight w:val="243"/>
        </w:trPr>
        <w:tc>
          <w:tcPr>
            <w:tcW w:w="184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4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136,500(1)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136,500</w:t>
            </w:r>
          </w:p>
        </w:tc>
      </w:tr>
      <w:tr>
        <w:trPr>
          <w:trHeight w:val="243"/>
        </w:trPr>
        <w:tc>
          <w:tcPr>
            <w:tcW w:w="1840" w:type="dxa"/>
            <w:vAlign w:val="bottom"/>
          </w:tcPr>
          <w:p>
            <w:pPr>
              <w:spacing w:after="0"/>
              <w:rPr>
                <w:sz w:val="20"/>
                <w:szCs w:val="20"/>
                <w:color w:val="auto"/>
              </w:rPr>
            </w:pPr>
            <w:r>
              <w:rPr>
                <w:rFonts w:ascii="Arial" w:cs="Arial" w:eastAsia="Arial" w:hAnsi="Arial"/>
                <w:sz w:val="18"/>
                <w:szCs w:val="18"/>
                <w:color w:val="auto"/>
              </w:rPr>
              <w:t>Thomas Majerowicz</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18,200(2)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r>
    </w:tbl>
    <w:p>
      <w:pPr>
        <w:spacing w:after="0" w:line="256" w:lineRule="exact"/>
        <w:rPr>
          <w:sz w:val="20"/>
          <w:szCs w:val="20"/>
          <w:color w:val="auto"/>
        </w:rPr>
      </w:pPr>
    </w:p>
    <w:p>
      <w:pPr>
        <w:jc w:val="both"/>
        <w:ind w:left="660" w:hanging="433"/>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150,000 options to purchase common stock valued at $0.91 per share with an exercise price of $1.00 per share. 150,000 options were outstanding at the end of our fiscal 2008 year. Please see our Management’s Discussion and Analysis for a discussion on the valuation of our common stock.</w:t>
      </w:r>
    </w:p>
    <w:p>
      <w:pPr>
        <w:jc w:val="both"/>
        <w:ind w:left="660" w:hanging="433"/>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20,000 options to purchase common stock valued at $0.91 per share with an exercise price of $1.00 per share. 20,000 options were outstanding at the end of our fiscal 2008 year. Please see our Management’s Discussion and Analysis for a discussion on the valuation of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rPr>
              <w:t>Stock Awards</w:t>
            </w: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or Units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Shares or</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Underlying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Units of</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Stock That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Unexercisable</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20" w:type="dxa"/>
            <w:vAlign w:val="bottom"/>
            <w:shd w:val="clear" w:color="auto" w:fill="EEEEEE"/>
          </w:tcPr>
          <w:p>
            <w:pPr>
              <w:spacing w:after="0"/>
              <w:rPr>
                <w:sz w:val="21"/>
                <w:szCs w:val="21"/>
                <w:color w:val="auto"/>
              </w:rPr>
            </w:pPr>
          </w:p>
        </w:tc>
        <w:tc>
          <w:tcPr>
            <w:tcW w:w="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100,000 (1)</w:t>
            </w:r>
          </w:p>
        </w:tc>
        <w:tc>
          <w:tcPr>
            <w:tcW w:w="120" w:type="dxa"/>
            <w:vAlign w:val="bottom"/>
            <w:shd w:val="clear" w:color="auto" w:fill="EEEEEE"/>
          </w:tcPr>
          <w:p>
            <w:pPr>
              <w:spacing w:after="0"/>
              <w:rPr>
                <w:sz w:val="21"/>
                <w:szCs w:val="21"/>
                <w:color w:val="auto"/>
              </w:rPr>
            </w:pPr>
          </w:p>
        </w:tc>
        <w:tc>
          <w:tcPr>
            <w:tcW w:w="1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EEEEEE"/>
          </w:tcPr>
          <w:p>
            <w:pPr>
              <w:spacing w:after="0"/>
              <w:rPr>
                <w:sz w:val="21"/>
                <w:szCs w:val="21"/>
                <w:color w:val="auto"/>
              </w:rPr>
            </w:pPr>
          </w:p>
        </w:tc>
        <w:tc>
          <w:tcPr>
            <w:tcW w:w="10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EEEEE"/>
          </w:tcPr>
          <w:p>
            <w:pPr>
              <w:spacing w:after="0"/>
              <w:rPr>
                <w:sz w:val="21"/>
                <w:szCs w:val="21"/>
                <w:color w:val="auto"/>
              </w:rPr>
            </w:pPr>
          </w:p>
        </w:tc>
        <w:tc>
          <w:tcPr>
            <w:tcW w:w="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1"/>
                <w:szCs w:val="21"/>
                <w:color w:val="auto"/>
              </w:rPr>
            </w:pPr>
          </w:p>
        </w:tc>
        <w:tc>
          <w:tcPr>
            <w:tcW w:w="1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0" w:type="dxa"/>
            <w:vAlign w:val="bottom"/>
            <w:shd w:val="clear" w:color="auto" w:fill="EEEEEE"/>
          </w:tcPr>
          <w:p>
            <w:pPr>
              <w:spacing w:after="0"/>
              <w:rPr>
                <w:sz w:val="21"/>
                <w:szCs w:val="21"/>
                <w:color w:val="auto"/>
              </w:rPr>
            </w:pPr>
          </w:p>
        </w:tc>
        <w:tc>
          <w:tcPr>
            <w:tcW w:w="9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EEEEE"/>
          </w:tcPr>
          <w:p>
            <w:pPr>
              <w:spacing w:after="0"/>
              <w:rPr>
                <w:sz w:val="21"/>
                <w:szCs w:val="21"/>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EEEEEE"/>
          </w:tcPr>
          <w:p>
            <w:pPr>
              <w:spacing w:after="0"/>
              <w:rPr>
                <w:sz w:val="21"/>
                <w:szCs w:val="21"/>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21"/>
                <w:szCs w:val="21"/>
                <w:color w:val="auto"/>
              </w:rPr>
            </w:pPr>
          </w:p>
        </w:tc>
        <w:tc>
          <w:tcPr>
            <w:tcW w:w="1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150,000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Vernon Hartman</w:t>
            </w:r>
          </w:p>
        </w:tc>
        <w:tc>
          <w:tcPr>
            <w:tcW w:w="104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2"/>
              </w:rPr>
              <w:t>50,000 (1)</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2"/>
                <w:szCs w:val="22"/>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Andrew Dahl</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Jay Pinney, MD</w:t>
            </w:r>
          </w:p>
        </w:tc>
        <w:tc>
          <w:tcPr>
            <w:tcW w:w="104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2"/>
              </w:rPr>
              <w:t>25,000 (1)</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22"/>
                <w:szCs w:val="22"/>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Thomas Majerowicz</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20,000 (1)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hanging="4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options fully vested on the date of grant.</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March 5, 2008, the Board of Directors of the Company approved the issuance of stock options to the above individuals.</w:t>
      </w:r>
    </w:p>
    <w:p>
      <w:pPr>
        <w:sectPr>
          <w:pgSz w:w="11900" w:h="16838" w:orient="portrait"/>
          <w:cols w:equalWidth="0" w:num="1">
            <w:col w:w="11420"/>
          </w:cols>
          <w:pgMar w:left="240" w:top="391"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number of shares of common stock beneficially owned as of January 30, 2009 by (i) those persons or groups known to us to beneficially own more than 5% of our common stock; (ii) each director; (iii) each executive officer; and (iv) all directors and executive officers as a group. Except as indicated below, each of the stockholders listed below possesses sole voting and investment power with respect to their shares and the address of each person is c/o OptimizeRx Corp., 407 Sixth Street, Rochester, Michigan 48307.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24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2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Beneficially Owned (1)</w:t>
            </w:r>
          </w:p>
        </w:tc>
        <w:tc>
          <w:tcPr>
            <w:tcW w:w="24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(2)</w:t>
            </w:r>
          </w:p>
        </w:tc>
      </w:tr>
      <w:tr>
        <w:trPr>
          <w:trHeight w:val="216"/>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Richard J. Kraniak Roth IRA (3)</w:t>
            </w:r>
          </w:p>
        </w:tc>
        <w:tc>
          <w:tcPr>
            <w:tcW w:w="240" w:type="dxa"/>
            <w:vAlign w:val="bottom"/>
            <w:shd w:val="clear" w:color="auto" w:fill="EEEEEE"/>
          </w:tcPr>
          <w:p>
            <w:pPr>
              <w:spacing w:after="0"/>
              <w:rPr>
                <w:sz w:val="18"/>
                <w:szCs w:val="18"/>
                <w:color w:val="auto"/>
              </w:rPr>
            </w:pPr>
          </w:p>
        </w:tc>
        <w:tc>
          <w:tcPr>
            <w:tcW w:w="24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1,250,000</w:t>
            </w:r>
          </w:p>
        </w:tc>
        <w:tc>
          <w:tcPr>
            <w:tcW w:w="240" w:type="dxa"/>
            <w:vAlign w:val="bottom"/>
            <w:shd w:val="clear" w:color="auto" w:fill="EEEEEE"/>
          </w:tcPr>
          <w:p>
            <w:pPr>
              <w:spacing w:after="0"/>
              <w:rPr>
                <w:sz w:val="18"/>
                <w:szCs w:val="18"/>
                <w:color w:val="auto"/>
              </w:rPr>
            </w:pPr>
          </w:p>
        </w:tc>
        <w:tc>
          <w:tcPr>
            <w:tcW w:w="20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10.31%</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Cypress Trust (4)</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9.48%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David Harrell (5)</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3,612,250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1"/>
              </w:rPr>
              <w:t>29.55%</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Terrance Hamilton (6)</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595,500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4.85%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 (7)</w:t>
            </w:r>
          </w:p>
        </w:tc>
        <w:tc>
          <w:tcPr>
            <w:tcW w:w="264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242,750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3"/>
              </w:rPr>
              <w:t>2.00%</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Vicis Capital Master Fund (8)</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9,500,000</w:t>
            </w:r>
          </w:p>
        </w:tc>
        <w:tc>
          <w:tcPr>
            <w:tcW w:w="22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43.93% (9)</w:t>
            </w:r>
          </w:p>
        </w:tc>
        <w:tc>
          <w:tcPr>
            <w:tcW w:w="1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Cypress Trust i/t/f Jillene Pinella</w:t>
            </w:r>
          </w:p>
        </w:tc>
        <w:tc>
          <w:tcPr>
            <w:tcW w:w="264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1,150,000</w:t>
            </w:r>
          </w:p>
        </w:tc>
        <w:tc>
          <w:tcPr>
            <w:tcW w:w="228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3"/>
              </w:rPr>
              <w:t>9.48%</w:t>
            </w:r>
          </w:p>
        </w:tc>
        <w:tc>
          <w:tcPr>
            <w:tcW w:w="120" w:type="dxa"/>
            <w:vAlign w:val="bottom"/>
            <w:shd w:val="clear" w:color="auto" w:fill="EEEEEE"/>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All officers and directors as a group (3 persons)</w:t>
            </w:r>
          </w:p>
        </w:tc>
        <w:tc>
          <w:tcPr>
            <w:tcW w:w="26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4,450,500</w:t>
            </w:r>
          </w:p>
        </w:tc>
        <w:tc>
          <w:tcPr>
            <w:tcW w:w="2280" w:type="dxa"/>
            <w:vAlign w:val="bottom"/>
            <w:gridSpan w:val="2"/>
          </w:tcPr>
          <w:p>
            <w:pPr>
              <w:jc w:val="right"/>
              <w:ind w:right="73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w:t>
      </w:r>
    </w:p>
    <w:p>
      <w:pPr>
        <w:spacing w:after="0" w:line="9" w:lineRule="exact"/>
        <w:rPr>
          <w:rFonts w:ascii="Arial" w:cs="Arial" w:eastAsia="Arial" w:hAnsi="Arial"/>
          <w:sz w:val="18"/>
          <w:szCs w:val="18"/>
          <w:color w:val="auto"/>
        </w:rPr>
      </w:pPr>
    </w:p>
    <w:p>
      <w:pPr>
        <w:ind w:left="580" w:hanging="415"/>
        <w:spacing w:after="0" w:line="250"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Includes stock option grants made to officers, directors, employees and/or consultants under the 2008 Company Stock Option Plan. All options listed in this table were granted under the 2008 Stock Option Plan.</w:t>
      </w:r>
    </w:p>
    <w:p>
      <w:pPr>
        <w:jc w:val="both"/>
        <w:ind w:left="580" w:hanging="415"/>
        <w:spacing w:after="0" w:line="250"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Applicable percentage ownership is based on 12,126,209 shares of common stock outstanding as of January 30, 2009, together with securities exercisable or convertible into shares of common stock within 60 days of January 30, 2009 for each stockholder. Shares of common stock that are currently exercisable or exercisable within 60 days of January 30, 2009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 w:lineRule="exact"/>
        <w:rPr>
          <w:rFonts w:ascii="Arial" w:cs="Arial" w:eastAsia="Arial" w:hAnsi="Arial"/>
          <w:sz w:val="18"/>
          <w:szCs w:val="18"/>
          <w:color w:val="auto"/>
        </w:rPr>
      </w:pPr>
    </w:p>
    <w:p>
      <w:pPr>
        <w:ind w:left="580" w:hanging="415"/>
        <w:spacing w:after="0" w:line="250"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Richard J. Kraniak has voting and dispositive control over the shares held by Richard J. Kraniak Roth IRA, which is located at 101 West Long Lake, Bloomfield Hills, Michigan 48304.</w:t>
      </w:r>
    </w:p>
    <w:p>
      <w:pPr>
        <w:ind w:left="580" w:right="20" w:hanging="415"/>
        <w:spacing w:after="0" w:line="250"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580" w:hanging="415"/>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$1.00 per share.</w:t>
      </w:r>
    </w:p>
    <w:p>
      <w:pPr>
        <w:spacing w:after="0" w:line="9" w:lineRule="exact"/>
        <w:rPr>
          <w:rFonts w:ascii="Arial" w:cs="Arial" w:eastAsia="Arial" w:hAnsi="Arial"/>
          <w:sz w:val="18"/>
          <w:szCs w:val="18"/>
          <w:color w:val="auto"/>
        </w:rPr>
      </w:pPr>
    </w:p>
    <w:p>
      <w:pPr>
        <w:ind w:left="580" w:hanging="415"/>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$1.00 per share.</w:t>
      </w:r>
    </w:p>
    <w:p>
      <w:pPr>
        <w:spacing w:after="0" w:line="9" w:lineRule="exact"/>
        <w:rPr>
          <w:rFonts w:ascii="Arial" w:cs="Arial" w:eastAsia="Arial" w:hAnsi="Arial"/>
          <w:sz w:val="18"/>
          <w:szCs w:val="18"/>
          <w:color w:val="auto"/>
        </w:rPr>
      </w:pPr>
    </w:p>
    <w:p>
      <w:pPr>
        <w:ind w:left="580" w:hanging="415"/>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at a price of $1.00 per share.</w:t>
      </w:r>
    </w:p>
    <w:p>
      <w:pPr>
        <w:spacing w:after="0" w:line="9" w:lineRule="exact"/>
        <w:rPr>
          <w:rFonts w:ascii="Arial" w:cs="Arial" w:eastAsia="Arial" w:hAnsi="Arial"/>
          <w:sz w:val="18"/>
          <w:szCs w:val="18"/>
          <w:color w:val="auto"/>
        </w:rPr>
      </w:pPr>
    </w:p>
    <w:p>
      <w:pPr>
        <w:jc w:val="both"/>
        <w:ind w:left="580" w:right="20" w:hanging="415"/>
        <w:spacing w:after="0" w:line="281" w:lineRule="auto"/>
        <w:tabs>
          <w:tab w:leader="none" w:pos="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w:t>
      </w:r>
    </w:p>
    <w:p>
      <w:pPr>
        <w:spacing w:after="0" w:line="1" w:lineRule="exact"/>
        <w:rPr>
          <w:rFonts w:ascii="Arial" w:cs="Arial" w:eastAsia="Arial" w:hAnsi="Arial"/>
          <w:sz w:val="16"/>
          <w:szCs w:val="16"/>
          <w:color w:val="auto"/>
        </w:rPr>
      </w:pPr>
    </w:p>
    <w:p>
      <w:pPr>
        <w:ind w:left="580" w:right="20" w:firstLine="9"/>
        <w:spacing w:after="0" w:line="250" w:lineRule="auto"/>
        <w:tabs>
          <w:tab w:leader="none" w:pos="861" w:val="left"/>
        </w:tabs>
        <w:numPr>
          <w:ilvl w:val="2"/>
          <w:numId w:val="33"/>
        </w:numPr>
        <w:rPr>
          <w:rFonts w:ascii="Arial" w:cs="Arial" w:eastAsia="Arial" w:hAnsi="Arial"/>
          <w:sz w:val="18"/>
          <w:szCs w:val="18"/>
          <w:color w:val="auto"/>
        </w:rPr>
      </w:pPr>
      <w:r>
        <w:rPr>
          <w:rFonts w:ascii="Arial" w:cs="Arial" w:eastAsia="Arial" w:hAnsi="Arial"/>
          <w:sz w:val="18"/>
          <w:szCs w:val="18"/>
          <w:color w:val="auto"/>
        </w:rPr>
        <w:t>6,000,000 shares issuable upon the exercise of the Series A Warrants. The selling stockholder has informed us that it is not a broker-dealer or affiliate of a broker-dealer.</w:t>
      </w:r>
    </w:p>
    <w:p>
      <w:pPr>
        <w:jc w:val="both"/>
        <w:ind w:left="580" w:right="20" w:hanging="415"/>
        <w:spacing w:after="0" w:line="287" w:lineRule="auto"/>
        <w:tabs>
          <w:tab w:leader="none" w:pos="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Percentage of outstanding shares assumes full conversion and/or exercise of the Series A Preferred Stock and Series A Warrants, respectively. 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2008 STOCK OPTION PLAN INFORMATION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2007 Plan.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GRANTS AND STOCK OPTIONS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OUR 2008 STOCK OPTION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Avg</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Qty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Price $</w:t>
            </w:r>
          </w:p>
        </w:tc>
        <w:tc>
          <w:tcPr>
            <w:tcW w:w="2980" w:type="dxa"/>
            <w:vAlign w:val="bottom"/>
          </w:tcPr>
          <w:p>
            <w:pPr>
              <w:ind w:left="130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b w:val="1"/>
                <w:bCs w:val="1"/>
                <w:color w:val="auto"/>
              </w:rPr>
              <w:t>Options Outstanding under 2008 Company Stock Option Plan</w:t>
            </w:r>
          </w:p>
        </w:tc>
        <w:tc>
          <w:tcPr>
            <w:tcW w:w="120" w:type="dxa"/>
            <w:vAlign w:val="bottom"/>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David Harrell</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Sr. Vice President/Director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Vernon Hartman</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Andrew Dahl</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Business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Jay Pinney, MD</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tcPr>
          <w:p>
            <w:pPr>
              <w:ind w:left="40"/>
              <w:spacing w:after="0"/>
              <w:rPr>
                <w:sz w:val="20"/>
                <w:szCs w:val="20"/>
                <w:color w:val="auto"/>
              </w:rPr>
            </w:pPr>
            <w:r>
              <w:rPr>
                <w:rFonts w:ascii="Arial" w:cs="Arial" w:eastAsia="Arial" w:hAnsi="Arial"/>
                <w:sz w:val="18"/>
                <w:szCs w:val="18"/>
                <w:color w:val="auto"/>
              </w:rPr>
              <w:t>Medical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ind w:left="40"/>
              <w:spacing w:after="0"/>
              <w:rPr>
                <w:sz w:val="20"/>
                <w:szCs w:val="20"/>
                <w:color w:val="auto"/>
              </w:rPr>
            </w:pPr>
            <w:r>
              <w:rPr>
                <w:rFonts w:ascii="Arial" w:cs="Arial" w:eastAsia="Arial" w:hAnsi="Arial"/>
                <w:sz w:val="18"/>
                <w:szCs w:val="18"/>
                <w:color w:val="auto"/>
              </w:rPr>
              <w:t>Director and Legal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Issued</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365,000</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1.00</w:t>
            </w: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Total Remaining Stock Options for future use:</w:t>
            </w: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625,000</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Remaining Stock Grants:</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Total Stock Options and Stock Grants</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1,490,000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00" w:type="dxa"/>
            <w:vAlign w:val="bottom"/>
            <w:gridSpan w:val="2"/>
          </w:tcPr>
          <w:p>
            <w:pPr>
              <w:jc w:val="right"/>
              <w:ind w:right="8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currently no trading market for our common stock. Upon completion of this offering we intend to take the steps necessary to have our common stock included for quotation on the Over the Counter Bulletin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there were 12,126,209 shares of common stock issued and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there were approximately 357 holders of record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2009, we had the following shares of common stock reserved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11,590,000 shares (options, warrants, plans,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not paid any dividends to the holders of our common stock and we do not expect to pay any such dividends in the foreseeable future as we expect to retain our future earnings for use in the operation and expansion of our business.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 d personal loans from private investors to Richard Krankiak and Jillene Pinella, each consisting of $160,000, which represent the only debt of the Company. Both Mr. Krankiak and Ms. Pinella are shareholders of the Company, each holding in excess of 5% but less than 10% of the issued and outstanding common stock of the Company. No interest accrued on either loan. The Company paid each loan in full with proceeds from the September 8, 2008 private placement it conducted with Vicis Capital Master Fund, the selling stockholders, as described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 DIRECTOR INDEPENDENCE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Currently, all actions that would otherwise be performed by standing committees of the Board, are performed by the Board, including the administration of our 2008 Company Stock Option Plan, the recent hiring of an executive officer and his compensation, the hiring of our independent public accountants and the oversight of the independent auditor relationship, the review of our significant accounting policies and our internal controls.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has analyzed the independence of each director and has determined that Thomas E. Majerowicz is independent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LLC rules and has no direct or indirect material relationships with us:</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particular, the Board of Directors has determined that the aforementioned director has no relationships that would cause him or her not to be independent under the specific criteria of Section 4200(a)(15) of the NASDAQ Manual.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Sichenzia Ross Friedman Ference LLP, New York, New York will issue an opinion with respect to the validity of the shares of common stock being offered hereby.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as of December 31, 2007 and for the period January 31, 2006 (date of inception) through December 31, 2007, have been included herein in reliance upon the report of Maddox, Ungar, Silberstein PLLC, independent registered public accounting firm, appearing elsewhere herein, and upon authority of said firm as experts in accounting and auditing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with the Commission a registration statement on this Form S-1 under the Securities Act, with respect to the common stock offered by this prospectus. This prospectus, filed as part of the registration statement, does not contain all of the information set forth in the registration statement and its exhibits and schedules. For further information regarding us and the shares offered hereby, please refer to the registration statement. You may inspect a copy of the registration statement without charge at the Commission's principal offices, and you may obtain copies of all or any part of the registration statement from such office upon payment of the fees prescribed by the Commission.</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required to file periodic reports with the Securities and Exchange Commission, including quarterly reports, annual reports which include our audited financial statements. You may read and copy any reports, statements or other information we file at the Commission’s public reference facility maintained by the Commission at 100 F Street, N.E., Washington, D.C. 20549. You can request copies of these documents, upon payment of a duplicating fee, by writing to the Commission. Please call the Commission at 1-800-SEC-0330 for further information on the operation of the public reference room. Our SEC filings are also available to the public through the Commission Internet site at http\\www.sec.gov. These filings may be inspected and copied (at prescribed rates) at the Commission's Public Reference Room at 100 F Street, N.E., Washington, D.C. 20549.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provision in our charter, by-laws, or other contracts providing for indemnification of our officers and directors. In the event that a claim for indemnification against such liabilities (other than the payment by us of expenses incurred or paid by a director, officer or controlling person of the registrant in the successful defense of any such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Commission, such indemnification is against public policy as expressed in the Securities Act and is, therefore, unenforceable.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3" w:name="page44"/>
    <w:bookmarkEnd w:id="43"/>
    <w:p>
      <w:pPr>
        <w:jc w:val="center"/>
        <w:ind w:left="1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(A DEVELOPMENT STAGE COMPANY)</w:t>
      </w:r>
    </w:p>
    <w:p>
      <w:pPr>
        <w:spacing w:after="0" w:line="26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2007 and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 as of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Statements of Operations for the Years Ended December 31, 2007 and 2006 and for the Period from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Statements of Cash Flows for the Years Ended December 31, 2007 and 2006 and for the Period from Inception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F-2</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F-3</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F-4</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F-5</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F-6 - F-11</w:t>
      </w:r>
    </w:p>
    <w:p>
      <w:pPr>
        <w:sectPr>
          <w:pgSz w:w="11900" w:h="16838" w:orient="portrait"/>
          <w:cols w:equalWidth="0" w:num="2">
            <w:col w:w="10080" w:space="480"/>
            <w:col w:w="740"/>
          </w:cols>
          <w:pgMar w:left="240" w:top="39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FF0000"/>
        </w:rPr>
        <w:t>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rPr>
        <w:t>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Boards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OptimizeRx Corporation and Optimizer Systems, LLC, as of December 31, 2007 and Optimizer Systems, LLC as of December 31, 2006, and the related statements of operations, stockholders’ equity (deficit), and cash flows for the years then ended and for the period from January 31, 2006 (inception) to December 31, 2007. These financial statements are the responsibility of the Companies management. Our responsibility is to express an opinion on these financial statements based on our audits.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OptimizeRx Corporation and Optimizer Systems, LLC, as of December 31, 2007 and Optimizer Systems, LLC as of December 31, 2006 and the results of their operations and cash flows for the years then ended and for the period from January 31, 2006 (inception) to December 31, 2007,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2009</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 AND 2006</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135,429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137,429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5,972</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3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151,564</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294,965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49,422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43,216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18,926</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2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339,892</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Long - term Debt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389,892</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2"/>
              </w:rPr>
              <w:t>Common stock, par $.001, 40,000,000 shares authorized, 10,300,000 shares issued and outstanding</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10,300</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289,700</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(394,927)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(94,927)</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2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49,422</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100,318</w:t>
            </w:r>
          </w:p>
        </w:tc>
        <w:tc>
          <w:tcPr>
            <w:tcW w:w="4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456,259</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640,570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3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(355,941)</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(540,252)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(5,525)</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3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34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4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(184,311)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4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2,071,233</w:t>
            </w:r>
          </w:p>
        </w:tc>
        <w:tc>
          <w:tcPr>
            <w:tcW w:w="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(Deficit)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accumulated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during the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development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stage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 January 31, 2006</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224,600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2006</w:t>
            </w:r>
          </w:p>
        </w:tc>
        <w:tc>
          <w:tcPr>
            <w:tcW w:w="1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(184,311)</w:t>
            </w:r>
          </w:p>
        </w:tc>
        <w:tc>
          <w:tcPr>
            <w:tcW w:w="2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2006</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40,289</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(253,750)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former LLC members</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private offering</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299,700</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2007</w:t>
            </w:r>
          </w:p>
        </w:tc>
        <w:tc>
          <w:tcPr>
            <w:tcW w:w="1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2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December 31, 2007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10,300,000</w:t>
            </w:r>
          </w:p>
        </w:tc>
        <w:tc>
          <w:tcPr>
            <w:tcW w:w="100" w:type="dxa"/>
            <w:vAlign w:val="bottom"/>
            <w:shd w:val="clear" w:color="auto" w:fill="EEEEEE"/>
          </w:tcPr>
          <w:p>
            <w:pPr>
              <w:spacing w:after="0"/>
              <w:rPr>
                <w:sz w:val="20"/>
                <w:szCs w:val="20"/>
                <w:color w:val="auto"/>
              </w:rPr>
            </w:pP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289,700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( 394,927)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780" w:type="dxa"/>
            <w:vAlign w:val="bottom"/>
            <w:gridSpan w:val="10"/>
          </w:tcPr>
          <w:p>
            <w:pPr>
              <w:jc w:val="center"/>
              <w:ind w:left="2510"/>
              <w:spacing w:after="0"/>
              <w:rPr>
                <w:sz w:val="20"/>
                <w:szCs w:val="20"/>
                <w:color w:val="auto"/>
              </w:rPr>
            </w:pPr>
            <w:r>
              <w:rPr>
                <w:rFonts w:ascii="Arial" w:cs="Arial" w:eastAsia="Arial" w:hAnsi="Arial"/>
                <w:sz w:val="18"/>
                <w:szCs w:val="18"/>
                <w:color w:val="auto"/>
                <w:w w:val="89"/>
              </w:rPr>
              <w:t>The accompanying notes are an integral part of the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gridSpan w:val="2"/>
          </w:tcPr>
          <w:p>
            <w:pPr>
              <w:jc w:val="center"/>
              <w:ind w:left="670"/>
              <w:spacing w:after="0"/>
              <w:rPr>
                <w:sz w:val="20"/>
                <w:szCs w:val="20"/>
                <w:color w:val="auto"/>
              </w:rPr>
            </w:pPr>
            <w:r>
              <w:rPr>
                <w:rFonts w:ascii="Arial" w:cs="Arial" w:eastAsia="Arial" w:hAnsi="Arial"/>
                <w:sz w:val="18"/>
                <w:szCs w:val="18"/>
                <w:color w:val="auto"/>
                <w:w w:val="96"/>
              </w:rPr>
              <w:t>F-4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(361,466)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(184,311)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w w:val="96"/>
              </w:rPr>
              <w:t>Adjustments to Reconcile Net Loss to Net Cash Used in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prepaid rent</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Increase in accounts payable</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accrued expenses</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13,793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(303,633)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(179,139)</w:t>
            </w:r>
          </w:p>
        </w:tc>
        <w:tc>
          <w:tcPr>
            <w:tcW w:w="1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(5,493)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(120,088)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(34,044)</w:t>
            </w: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(154,132)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(125,581)</w:t>
            </w: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(34,818)</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(160,399)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Member contributions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404,600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EEEEEE"/>
          </w:tcPr>
          <w:p>
            <w:pPr>
              <w:spacing w:after="0"/>
              <w:rPr>
                <w:sz w:val="19"/>
                <w:szCs w:val="19"/>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228,600</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120,786</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3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14,643</w:t>
            </w: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40" w:type="dxa"/>
            <w:vAlign w:val="bottom"/>
            <w:shd w:val="clear" w:color="auto" w:fill="EEEEEE"/>
          </w:tcPr>
          <w:p>
            <w:pPr>
              <w:spacing w:after="0"/>
              <w:rPr>
                <w:sz w:val="22"/>
                <w:szCs w:val="22"/>
                <w:color w:val="auto"/>
              </w:rPr>
            </w:pPr>
          </w:p>
        </w:tc>
        <w:tc>
          <w:tcPr>
            <w:tcW w:w="4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4,453</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253,750</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82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consider cash on hand, cash in banks, as cash and cash equivalents.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82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 Like any company, we are seeking new services and solutions to offer. However, our three current platforms provide robust opportunities and growth during the next five years.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and the LLC owned equipment recorded at cost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21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1,974</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4,293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4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Subtotal</w:t>
            </w:r>
          </w:p>
        </w:tc>
        <w:tc>
          <w:tcPr>
            <w:tcW w:w="1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6,267</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7"/>
        </w:trPr>
        <w:tc>
          <w:tcPr>
            <w:tcW w:w="4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1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Property and Equipment, Net</w:t>
            </w:r>
          </w:p>
        </w:tc>
        <w:tc>
          <w:tcPr>
            <w:tcW w:w="186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5,972</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735</w:t>
            </w:r>
          </w:p>
        </w:tc>
      </w:tr>
      <w:tr>
        <w:trPr>
          <w:trHeight w:val="20"/>
        </w:trPr>
        <w:tc>
          <w:tcPr>
            <w:tcW w:w="414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Depreciation expense was $256 and $39 for the years ended December 31, 2007 and 2006, respectively.</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Web site costs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154,133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34,044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(2,569)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6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60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Web site development costs, Net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8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34,044</w:t>
            </w:r>
          </w:p>
        </w:tc>
      </w:tr>
      <w:tr>
        <w:trPr>
          <w:trHeight w:val="20"/>
        </w:trPr>
        <w:tc>
          <w:tcPr>
            <w:tcW w:w="60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Amortization expense was $2,569 and $0 for the years ended December 31, 2007 and 2006,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80" w:type="dxa"/>
            <w:vAlign w:val="bottom"/>
          </w:tcPr>
          <w:p>
            <w:pPr>
              <w:spacing w:after="0"/>
              <w:rPr>
                <w:sz w:val="17"/>
                <w:szCs w:val="17"/>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80" w:type="dxa"/>
            <w:vAlign w:val="bottom"/>
            <w:gridSpan w:val="5"/>
          </w:tcPr>
          <w:p>
            <w:pPr>
              <w:ind w:left="120"/>
              <w:spacing w:after="0"/>
              <w:rPr>
                <w:sz w:val="20"/>
                <w:szCs w:val="20"/>
                <w:color w:val="auto"/>
              </w:rPr>
            </w:pPr>
            <w:r>
              <w:rPr>
                <w:rFonts w:ascii="Arial" w:cs="Arial" w:eastAsia="Arial" w:hAnsi="Arial"/>
                <w:sz w:val="18"/>
                <w:szCs w:val="18"/>
                <w:color w:val="auto"/>
              </w:rPr>
              <w:t>Accrued expenses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audit fees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EEEEEE"/>
          </w:tcPr>
          <w:p>
            <w:pPr>
              <w:spacing w:after="0"/>
              <w:rPr>
                <w:sz w:val="2"/>
                <w:szCs w:val="2"/>
                <w:color w:val="auto"/>
              </w:rPr>
            </w:pPr>
          </w:p>
        </w:tc>
        <w:tc>
          <w:tcPr>
            <w:tcW w:w="920" w:type="dxa"/>
            <w:vAlign w:val="bottom"/>
            <w:shd w:val="clear" w:color="auto" w:fill="EEEEEE"/>
          </w:tcPr>
          <w:p>
            <w:pPr>
              <w:spacing w:after="0"/>
              <w:rPr>
                <w:sz w:val="2"/>
                <w:szCs w:val="2"/>
                <w:color w:val="auto"/>
              </w:rPr>
            </w:pPr>
          </w:p>
        </w:tc>
        <w:tc>
          <w:tcPr>
            <w:tcW w:w="428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180" w:type="dxa"/>
            <w:vAlign w:val="bottom"/>
          </w:tcPr>
          <w:p>
            <w:pPr>
              <w:spacing w:after="0" w:line="20" w:lineRule="exact"/>
              <w:rPr>
                <w:sz w:val="1"/>
                <w:szCs w:val="1"/>
                <w:color w:val="auto"/>
              </w:rPr>
            </w:pPr>
          </w:p>
        </w:tc>
        <w:tc>
          <w:tcPr>
            <w:tcW w:w="66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Notes Payable – Related Party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3"/>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780" w:type="dxa"/>
            <w:vAlign w:val="bottom"/>
            <w:gridSpan w:val="5"/>
          </w:tcPr>
          <w:p>
            <w:pPr>
              <w:ind w:left="120"/>
              <w:spacing w:after="0"/>
              <w:rPr>
                <w:sz w:val="20"/>
                <w:szCs w:val="20"/>
                <w:color w:val="auto"/>
              </w:rPr>
            </w:pPr>
            <w:r>
              <w:rPr>
                <w:rFonts w:ascii="Arial" w:cs="Arial" w:eastAsia="Arial" w:hAnsi="Arial"/>
                <w:sz w:val="18"/>
                <w:szCs w:val="18"/>
                <w:color w:val="auto"/>
              </w:rPr>
              <w:t>Long-term debt consists of the following at December 31, 2007 and 2006: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Dante Panetta</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Note Payable – David Harrell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LLC members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EEEEEE"/>
          </w:tcPr>
          <w:p>
            <w:pPr>
              <w:spacing w:after="0"/>
              <w:rPr>
                <w:sz w:val="2"/>
                <w:szCs w:val="2"/>
                <w:color w:val="auto"/>
              </w:rPr>
            </w:pPr>
          </w:p>
        </w:tc>
        <w:tc>
          <w:tcPr>
            <w:tcW w:w="920" w:type="dxa"/>
            <w:vAlign w:val="bottom"/>
            <w:shd w:val="clear" w:color="auto" w:fill="EEEEEE"/>
          </w:tcPr>
          <w:p>
            <w:pPr>
              <w:spacing w:after="0"/>
              <w:rPr>
                <w:sz w:val="2"/>
                <w:szCs w:val="2"/>
                <w:color w:val="auto"/>
              </w:rPr>
            </w:pPr>
          </w:p>
        </w:tc>
        <w:tc>
          <w:tcPr>
            <w:tcW w:w="428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327,750</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note payable to David Harrell was paid off during the year ended December 31, 2007. The note was due on demand and bore 9% interest.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note payable to Dante Panetta is non-interest bearing and is due within 5 days of the Company raising $1,000,000 of additional capital.</w:t>
      </w:r>
    </w:p>
    <w:p>
      <w:pPr>
        <w:spacing w:after="0" w:line="291" w:lineRule="exact"/>
        <w:rPr>
          <w:sz w:val="20"/>
          <w:szCs w:val="20"/>
          <w:color w:val="auto"/>
        </w:rPr>
      </w:pPr>
    </w:p>
    <w:p>
      <w:pPr>
        <w:ind w:left="820"/>
        <w:spacing w:after="0" w:line="282" w:lineRule="auto"/>
        <w:rPr>
          <w:sz w:val="20"/>
          <w:szCs w:val="20"/>
          <w:color w:val="auto"/>
        </w:rPr>
      </w:pPr>
      <w:r>
        <w:rPr>
          <w:rFonts w:ascii="Arial" w:cs="Arial" w:eastAsia="Arial" w:hAnsi="Arial"/>
          <w:sz w:val="18"/>
          <w:szCs w:val="18"/>
          <w:color w:val="auto"/>
        </w:rPr>
        <w:t xml:space="preserve">The note payable to the LLC members was created in a dilution agreement on October 18, 2007 and is non-interest bearing. The entire loan was paid off in the 1 </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2008.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180" w:type="dxa"/>
            <w:vAlign w:val="bottom"/>
          </w:tcPr>
          <w:p>
            <w:pPr>
              <w:spacing w:after="0"/>
              <w:rPr>
                <w:sz w:val="18"/>
                <w:szCs w:val="18"/>
                <w:color w:val="auto"/>
              </w:rPr>
            </w:pPr>
          </w:p>
        </w:tc>
        <w:tc>
          <w:tcPr>
            <w:tcW w:w="7900" w:type="dxa"/>
            <w:vAlign w:val="bottom"/>
            <w:gridSpan w:val="4"/>
          </w:tcPr>
          <w:p>
            <w:pPr>
              <w:jc w:val="center"/>
              <w:ind w:right="5360"/>
              <w:spacing w:after="0"/>
              <w:rPr>
                <w:sz w:val="20"/>
                <w:szCs w:val="20"/>
                <w:color w:val="auto"/>
              </w:rPr>
            </w:pPr>
            <w:r>
              <w:rPr>
                <w:rFonts w:ascii="Arial" w:cs="Arial" w:eastAsia="Arial" w:hAnsi="Arial"/>
                <w:sz w:val="18"/>
                <w:szCs w:val="18"/>
                <w:b w:val="1"/>
                <w:bCs w:val="1"/>
                <w:color w:val="auto"/>
                <w:w w:val="88"/>
              </w:rPr>
              <w:t>Commitments and Contingencies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8080" w:type="dxa"/>
            <w:vAlign w:val="bottom"/>
            <w:gridSpan w:val="5"/>
          </w:tcPr>
          <w:p>
            <w:pPr>
              <w:ind w:left="120"/>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3"/>
            <w:shd w:val="clear" w:color="auto" w:fill="EEEEEE"/>
          </w:tcPr>
          <w:p>
            <w:pPr>
              <w:jc w:val="center"/>
              <w:ind w:right="5920"/>
              <w:spacing w:after="0"/>
              <w:rPr>
                <w:sz w:val="20"/>
                <w:szCs w:val="20"/>
                <w:color w:val="auto"/>
              </w:rPr>
            </w:pPr>
            <w:r>
              <w:rPr>
                <w:rFonts w:ascii="Arial" w:cs="Arial" w:eastAsia="Arial" w:hAnsi="Arial"/>
                <w:sz w:val="18"/>
                <w:szCs w:val="18"/>
                <w:color w:val="auto"/>
                <w:w w:val="89"/>
              </w:rPr>
              <w:t>December 31, 2008</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30,000</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3"/>
          </w:tcPr>
          <w:p>
            <w:pPr>
              <w:jc w:val="center"/>
              <w:ind w:right="5920"/>
              <w:spacing w:after="0"/>
              <w:rPr>
                <w:sz w:val="20"/>
                <w:szCs w:val="20"/>
                <w:color w:val="auto"/>
              </w:rPr>
            </w:pPr>
            <w:r>
              <w:rPr>
                <w:rFonts w:ascii="Arial" w:cs="Arial" w:eastAsia="Arial" w:hAnsi="Arial"/>
                <w:sz w:val="18"/>
                <w:szCs w:val="18"/>
                <w:color w:val="auto"/>
                <w:w w:val="89"/>
              </w:rPr>
              <w:t>December 31, 2009</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12,500</w:t>
            </w:r>
          </w:p>
        </w:tc>
      </w:tr>
      <w:tr>
        <w:trPr>
          <w:trHeight w:val="27"/>
        </w:trPr>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4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Total Lease Obligation</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42,500</w:t>
            </w: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53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18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8"/>
                <w:szCs w:val="18"/>
                <w:b w:val="1"/>
                <w:bCs w:val="1"/>
                <w:color w:val="auto"/>
              </w:rPr>
              <w:t>Dividend Distribution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Related Party Transactions</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engaged an officer of the company for management services under a contract that paid him $114,500 and $101,900 in 2007 and 2006, respectively.</w:t>
      </w:r>
    </w:p>
    <w:p>
      <w:pPr>
        <w:spacing w:after="0" w:line="224"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224"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The company has a $50,000 note payable to a shareholder (see note 5) that will be repaid only if $1,000,000 of additional capital is raised. In addition there is a $24,000 note to an officer of the company (see note 5).</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Income Taxes</w:t>
      </w:r>
    </w:p>
    <w:p>
      <w:pPr>
        <w:spacing w:after="0" w:line="283"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For the periods ended December 31, 2007, the Company has incurred a net loss of approximately 200,000 and therefore has no tax liability. The company began operations in 2007 and therefore it has no previous net operating loss carry-forwards. The 2007 loss will be carried forward and can be used through the year 2027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61"/>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6" w:lineRule="exact"/>
        <w:rPr>
          <w:sz w:val="20"/>
          <w:szCs w:val="20"/>
          <w:color w:val="auto"/>
        </w:rPr>
      </w:pPr>
    </w:p>
    <w:p>
      <w:pPr>
        <w:ind w:left="641" w:hanging="641"/>
        <w:spacing w:after="0"/>
        <w:tabs>
          <w:tab w:leader="none" w:pos="6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68,000</w:t>
      </w:r>
    </w:p>
    <w:p>
      <w:pPr>
        <w:spacing w:after="0" w:line="23" w:lineRule="exact"/>
        <w:rPr>
          <w:rFonts w:ascii="Arial" w:cs="Arial" w:eastAsia="Arial" w:hAnsi="Arial"/>
          <w:sz w:val="18"/>
          <w:szCs w:val="18"/>
          <w:color w:val="auto"/>
        </w:rPr>
      </w:pPr>
    </w:p>
    <w:p>
      <w:pPr>
        <w:ind w:left="581"/>
        <w:spacing w:after="0"/>
        <w:rPr>
          <w:rFonts w:ascii="Arial" w:cs="Arial" w:eastAsia="Arial" w:hAnsi="Arial"/>
          <w:sz w:val="18"/>
          <w:szCs w:val="18"/>
          <w:color w:val="auto"/>
        </w:rPr>
      </w:pPr>
      <w:r>
        <w:rPr>
          <w:rFonts w:ascii="Arial" w:cs="Arial" w:eastAsia="Arial" w:hAnsi="Arial"/>
          <w:sz w:val="16"/>
          <w:szCs w:val="16"/>
          <w:color w:val="auto"/>
        </w:rPr>
        <w:t>(68,000)</w:t>
      </w:r>
    </w:p>
    <w:p>
      <w:pPr>
        <w:spacing w:after="0" w:line="45" w:lineRule="exact"/>
        <w:rPr>
          <w:sz w:val="20"/>
          <w:szCs w:val="20"/>
          <w:color w:val="auto"/>
        </w:rPr>
      </w:pPr>
    </w:p>
    <w:p>
      <w:pPr>
        <w:ind w:left="1081" w:hanging="1081"/>
        <w:spacing w:after="0"/>
        <w:tabs>
          <w:tab w:leader="none" w:pos="10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39" w:space="720"/>
            <w:col w:w="2661"/>
          </w:cols>
          <w:pgMar w:left="240" w:top="391" w:right="239" w:bottom="1440" w:gutter="0" w:footer="0" w:header="0"/>
          <w:type w:val="continuous"/>
        </w:sectPr>
      </w:pP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Other Expenses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expenses consisted of the following for the years ended December 31, 2007 and 2006: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920" w:type="dxa"/>
            <w:vAlign w:val="bottom"/>
            <w:shd w:val="clear" w:color="auto" w:fill="EEEEEE"/>
          </w:tcPr>
          <w:p>
            <w:pPr>
              <w:spacing w:after="0"/>
              <w:rPr>
                <w:sz w:val="2"/>
                <w:szCs w:val="2"/>
                <w:color w:val="auto"/>
              </w:rPr>
            </w:pPr>
          </w:p>
        </w:tc>
        <w:tc>
          <w:tcPr>
            <w:tcW w:w="310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 Other Expenses</w:t>
            </w:r>
          </w:p>
        </w:tc>
        <w:tc>
          <w:tcPr>
            <w:tcW w:w="3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(5,525)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0"/>
        </w:trPr>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20" w:type="dxa"/>
            <w:vAlign w:val="bottom"/>
            <w:gridSpan w:val="2"/>
          </w:tcPr>
          <w:p>
            <w:pPr>
              <w:jc w:val="right"/>
              <w:ind w:right="1710"/>
              <w:spacing w:after="0"/>
              <w:rPr>
                <w:sz w:val="20"/>
                <w:szCs w:val="20"/>
                <w:color w:val="auto"/>
              </w:rPr>
            </w:pPr>
            <w:r>
              <w:rPr>
                <w:rFonts w:ascii="Arial" w:cs="Arial" w:eastAsia="Arial" w:hAnsi="Arial"/>
                <w:sz w:val="18"/>
                <w:szCs w:val="18"/>
                <w:color w:val="auto"/>
              </w:rPr>
              <w:t>F-10</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14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91"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Subsequent Events</w:t>
      </w:r>
    </w:p>
    <w:p>
      <w:pPr>
        <w:spacing w:after="0" w:line="28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On September 8, 2008, we entered into a private placement pursuant to which we sold various securities in consideration of an aggregate purchase price of $3,500,000. In connection with this private placement, we issued the following securities:</w:t>
      </w:r>
    </w:p>
    <w:p>
      <w:pPr>
        <w:spacing w:after="0" w:line="224" w:lineRule="exact"/>
        <w:rPr>
          <w:sz w:val="20"/>
          <w:szCs w:val="20"/>
          <w:color w:val="auto"/>
        </w:rPr>
      </w:pPr>
    </w:p>
    <w:p>
      <w:pPr>
        <w:ind w:left="1080" w:hanging="26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79" w:lineRule="exact"/>
        <w:rPr>
          <w:rFonts w:ascii="Arial" w:cs="Arial" w:eastAsia="Arial" w:hAnsi="Arial"/>
          <w:sz w:val="18"/>
          <w:szCs w:val="18"/>
          <w:color w:val="auto"/>
        </w:rPr>
      </w:pPr>
    </w:p>
    <w:p>
      <w:pPr>
        <w:ind w:left="5540" w:right="540" w:hanging="4722"/>
        <w:spacing w:after="0" w:line="590" w:lineRule="auto"/>
        <w:tabs>
          <w:tab w:leader="none" w:pos="10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Series A Common Stock Purchase Warrants to purchase 6,000,000 shares of common stock at $2.00 per share for a period of five years.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56" w:name="page57"/>
    <w:bookmarkEnd w:id="56"/>
    <w:p>
      <w:pPr>
        <w:jc w:val="center"/>
        <w:ind w:left="13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60"/>
        <w:spacing w:after="0"/>
        <w:rPr>
          <w:sz w:val="20"/>
          <w:szCs w:val="20"/>
          <w:color w:val="auto"/>
        </w:rPr>
      </w:pPr>
      <w:r>
        <w:rPr>
          <w:rFonts w:ascii="Arial" w:cs="Arial" w:eastAsia="Arial" w:hAnsi="Arial"/>
          <w:sz w:val="17"/>
          <w:szCs w:val="17"/>
          <w:b w:val="1"/>
          <w:bCs w:val="1"/>
          <w:color w:val="auto"/>
        </w:rPr>
        <w:t>(A DEVELOPMENT STAGE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 as of September 30, 2008 (unaudited) and December 31, 2007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for the Nine Months Ended September 30,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and for the Period from January 31, 2006 (inception) to September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39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F-2</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F-3</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F-6 - F-</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2">
            <w:col w:w="10060" w:space="720"/>
            <w:col w:w="580"/>
          </w:cols>
          <w:pgMar w:left="240" w:top="391"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 and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2,807,520</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2,807,520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7,618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151,284</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2,966,422</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294,965</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11,303</w:t>
            </w:r>
          </w:p>
        </w:tc>
        <w:tc>
          <w:tcPr>
            <w:tcW w:w="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EEEEEE"/>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11,303</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389,892</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w w:val="98"/>
              </w:rPr>
              <w:t>Common stock, par $.001, 40,000,000 shares authorized, 16,650,000 shares issued and outstanding</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w w:val="92"/>
              </w:rPr>
              <w:t>Series A Convertible Preferred Stock, Par $.001, 1000 Shares authorized 35 shares issued and outstanding</w:t>
            </w:r>
          </w:p>
        </w:tc>
        <w:tc>
          <w:tcPr>
            <w:tcW w:w="10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1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4,236,354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289,770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1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(1,297,885)</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(394,927)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2,955,119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right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2,966,422</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400" w:type="dxa"/>
            <w:vAlign w:val="bottom"/>
            <w:gridSpan w:val="2"/>
          </w:tcPr>
          <w:p>
            <w:pPr>
              <w:ind w:left="3100"/>
              <w:spacing w:after="0"/>
              <w:rPr>
                <w:sz w:val="20"/>
                <w:szCs w:val="20"/>
                <w:color w:val="auto"/>
              </w:rPr>
            </w:pPr>
            <w:r>
              <w:rPr>
                <w:rFonts w:ascii="Arial" w:cs="Arial" w:eastAsia="Arial" w:hAnsi="Arial"/>
                <w:sz w:val="18"/>
                <w:szCs w:val="18"/>
                <w:color w:val="auto"/>
                <w:w w:val="91"/>
              </w:rPr>
              <w:t>The accompanying notes are an integral part of the financial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300" w:type="dxa"/>
            <w:vAlign w:val="bottom"/>
          </w:tcPr>
          <w:p>
            <w:pPr>
              <w:ind w:left="5580"/>
              <w:spacing w:after="0"/>
              <w:rPr>
                <w:sz w:val="20"/>
                <w:szCs w:val="20"/>
                <w:color w:val="auto"/>
              </w:rPr>
            </w:pPr>
            <w:r>
              <w:rPr>
                <w:rFonts w:ascii="Arial" w:cs="Arial" w:eastAsia="Arial" w:hAnsi="Arial"/>
                <w:sz w:val="16"/>
                <w:szCs w:val="16"/>
                <w:color w:val="auto"/>
              </w:rPr>
              <w:t>F-2</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Nine Months</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68,331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7,475</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168,649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971,289</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184,406</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1,461,009</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(902,958)</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(1,292,360)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(902,958)</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(902,958)</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(176,931)</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bottom w:val="single" w:sz="8" w:color="auto"/>
            </w:tcBorders>
            <w:shd w:val="clear" w:color="auto" w:fill="EEEEEE"/>
          </w:tcPr>
          <w:p>
            <w:pPr>
              <w:spacing w:after="0"/>
              <w:rPr>
                <w:sz w:val="22"/>
                <w:szCs w:val="22"/>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13,475,000</w:t>
            </w:r>
          </w:p>
        </w:tc>
        <w:tc>
          <w:tcPr>
            <w:tcW w:w="20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22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126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(Deficit)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520" w:type="dxa"/>
            <w:vAlign w:val="bottom"/>
            <w:gridSpan w:val="6"/>
          </w:tcPr>
          <w:p>
            <w:pPr>
              <w:ind w:left="540"/>
              <w:spacing w:after="0"/>
              <w:rPr>
                <w:sz w:val="20"/>
                <w:szCs w:val="20"/>
                <w:color w:val="auto"/>
              </w:rPr>
            </w:pPr>
            <w:r>
              <w:rPr>
                <w:rFonts w:ascii="Arial" w:cs="Arial" w:eastAsia="Arial" w:hAnsi="Arial"/>
                <w:sz w:val="18"/>
                <w:szCs w:val="18"/>
                <w:b w:val="1"/>
                <w:bCs w:val="1"/>
                <w:color w:val="auto"/>
              </w:rPr>
              <w:t>Common Stock</w:t>
            </w:r>
          </w:p>
        </w:tc>
        <w:tc>
          <w:tcPr>
            <w:tcW w:w="2480" w:type="dxa"/>
            <w:vAlign w:val="bottom"/>
            <w:gridSpan w:val="6"/>
          </w:tcPr>
          <w:p>
            <w:pPr>
              <w:ind w:left="500"/>
              <w:spacing w:after="0"/>
              <w:rPr>
                <w:sz w:val="20"/>
                <w:szCs w:val="20"/>
                <w:color w:val="auto"/>
              </w:rPr>
            </w:pPr>
            <w:r>
              <w:rPr>
                <w:rFonts w:ascii="Arial" w:cs="Arial" w:eastAsia="Arial" w:hAnsi="Arial"/>
                <w:sz w:val="18"/>
                <w:szCs w:val="18"/>
                <w:b w:val="1"/>
                <w:bCs w:val="1"/>
                <w:color w:val="auto"/>
              </w:rPr>
              <w:t>Preferred Stock</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 xml:space="preserve">during </w:t>
            </w:r>
            <w:r>
              <w:rPr>
                <w:rFonts w:ascii="Arial" w:cs="Arial" w:eastAsia="Arial" w:hAnsi="Arial"/>
                <w:sz w:val="17"/>
                <w:szCs w:val="17"/>
                <w:b w:val="1"/>
                <w:bCs w:val="1"/>
                <w:color w:val="auto"/>
                <w:w w:val="92"/>
              </w:rPr>
              <w:t>the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development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 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stage</w:t>
            </w:r>
          </w:p>
        </w:tc>
        <w:tc>
          <w:tcPr>
            <w:tcW w:w="2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Balance, January 1,</w:t>
            </w:r>
          </w:p>
        </w:tc>
        <w:tc>
          <w:tcPr>
            <w:tcW w:w="108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20" w:type="dxa"/>
            <w:vAlign w:val="bottom"/>
            <w:tcBorders>
              <w:top w:val="single" w:sz="8" w:color="auto"/>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40,289</w:t>
            </w: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(253,750)</w:t>
            </w: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88"/>
              </w:rPr>
              <w:t>Issuance of common stock</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w w:val="98"/>
              </w:rPr>
              <w:t>to former LLC members</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10,000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299,700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December 31,</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240" w:type="dxa"/>
            <w:vAlign w:val="bottom"/>
            <w:shd w:val="clear" w:color="auto" w:fill="EEEEEE"/>
          </w:tcPr>
          <w:p>
            <w:pPr>
              <w:spacing w:after="0"/>
              <w:rPr>
                <w:sz w:val="22"/>
                <w:szCs w:val="22"/>
                <w:color w:val="auto"/>
              </w:rPr>
            </w:pPr>
          </w:p>
        </w:tc>
        <w:tc>
          <w:tcPr>
            <w:tcW w:w="98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840" w:type="dxa"/>
            <w:vAlign w:val="bottom"/>
            <w:shd w:val="clear" w:color="auto" w:fill="EEEEEE"/>
          </w:tcPr>
          <w:p>
            <w:pPr>
              <w:spacing w:after="0"/>
              <w:rPr>
                <w:sz w:val="22"/>
                <w:szCs w:val="22"/>
                <w:color w:val="auto"/>
              </w:rPr>
            </w:pPr>
          </w:p>
        </w:tc>
        <w:tc>
          <w:tcPr>
            <w:tcW w:w="260" w:type="dxa"/>
            <w:vAlign w:val="bottom"/>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1080" w:type="dxa"/>
            <w:vAlign w:val="bottom"/>
            <w:shd w:val="clear" w:color="auto" w:fill="EEEEEE"/>
          </w:tcPr>
          <w:p>
            <w:pPr>
              <w:spacing w:after="0"/>
              <w:rPr>
                <w:sz w:val="22"/>
                <w:szCs w:val="22"/>
                <w:color w:val="auto"/>
              </w:rPr>
            </w:pPr>
          </w:p>
        </w:tc>
        <w:tc>
          <w:tcPr>
            <w:tcW w:w="16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(361,466)</w:t>
            </w:r>
          </w:p>
        </w:tc>
        <w:tc>
          <w:tcPr>
            <w:tcW w:w="260" w:type="dxa"/>
            <w:vAlign w:val="bottom"/>
            <w:shd w:val="clear" w:color="auto" w:fill="EEEEEE"/>
          </w:tcPr>
          <w:p>
            <w:pPr>
              <w:spacing w:after="0"/>
              <w:rPr>
                <w:sz w:val="22"/>
                <w:szCs w:val="22"/>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2007</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10,300,000</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10,300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289,700</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(394,927)</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private offering</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6,350</w:t>
            </w: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628,650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stock</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options</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333,004</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333,004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Preferred</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stock</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2,985,000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for the nine</w:t>
            </w: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months ended Sept 30,</w:t>
            </w: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(902,958)</w:t>
            </w:r>
          </w:p>
        </w:tc>
        <w:tc>
          <w:tcPr>
            <w:tcW w:w="26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(902,958)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0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900" w:type="dxa"/>
            <w:vAlign w:val="bottom"/>
            <w:shd w:val="clear" w:color="auto" w:fill="EEEEEE"/>
          </w:tcPr>
          <w:p>
            <w:pPr>
              <w:spacing w:after="0"/>
              <w:rPr>
                <w:sz w:val="20"/>
                <w:szCs w:val="20"/>
                <w:color w:val="auto"/>
              </w:rPr>
            </w:pPr>
            <w:r>
              <w:rPr>
                <w:rFonts w:ascii="Arial" w:cs="Arial" w:eastAsia="Arial" w:hAnsi="Arial"/>
                <w:sz w:val="18"/>
                <w:szCs w:val="18"/>
                <w:color w:val="auto"/>
              </w:rPr>
              <w:t>Sept 30, 2008</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16,650,000</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16,650</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4,236,354</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(1,297,885)</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(2,955,119)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2006(inception)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(902,958)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(176,931)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(1,297,885)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 options issued for compensation</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333,004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333,004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4"/>
              </w:rPr>
              <w:t>Adjustments to Reconcile Net Loss to Net Cash Used in Operating Activities: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Decrease in prepaid rent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in accounts payable</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(30,912)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Increase (Decrease) in accrued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(594,639)</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(176,931)</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(922,916)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Acquisitions of property and equipment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Website site development costs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(26,874)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(14,652)</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EEEEEE"/>
          </w:tcPr>
          <w:p>
            <w:pPr>
              <w:spacing w:after="0"/>
              <w:rPr>
                <w:sz w:val="2"/>
                <w:szCs w:val="2"/>
                <w:color w:val="auto"/>
              </w:rPr>
            </w:pPr>
          </w:p>
        </w:tc>
        <w:tc>
          <w:tcPr>
            <w:tcW w:w="36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(14,652)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(Payments) on Notes Payable</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(324,094)</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129,300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 of Preferred Stock</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Paid in Capital</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3,613,640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3,295,896</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200,819</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2,672,090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9,236</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2,807,516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3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135,430</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14,643</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2,807,520</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23,879</w:t>
            </w:r>
          </w:p>
        </w:tc>
        <w:tc>
          <w:tcPr>
            <w:tcW w:w="2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 Income Taxes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36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Presentation</w:t>
      </w:r>
    </w:p>
    <w:p>
      <w:pPr>
        <w:spacing w:after="0" w:line="2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generally accepted accounting principles have been condensed or omitted. We believe that the disclosures are adequate to make the financial information presented not misleading. These condensed financial statements should be read in conjunction with the audited consolidated financial statements and the notes thereto for the year ended December 31, 2007. All adjustments were of a normal recurring nature unless otherwise disclosed. In the opinion of management, all adjustments necessary for a fair statement of the results of operations for the interim period have been included. The results of operations for such interim periods are not necessarily indicative of the results for the full year.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cash on hand, cash in banks, as cash and cash equivalents.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66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660" w:right="20"/>
        <w:spacing w:after="0" w:line="323"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owned equipment recorded at cost which consisted of the following at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68935" cy="737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935" cy="7372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4,267</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Furniture &amp; Fixtures</w:t>
            </w: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4,293</w:t>
            </w:r>
          </w:p>
        </w:tc>
      </w:tr>
      <w:tr>
        <w:trPr>
          <w:trHeight w:val="216"/>
        </w:trPr>
        <w:tc>
          <w:tcPr>
            <w:tcW w:w="5720" w:type="dxa"/>
            <w:vAlign w:val="bottom"/>
            <w:shd w:val="clear" w:color="auto" w:fill="EEEEEE"/>
          </w:tcPr>
          <w:p>
            <w:pPr>
              <w:ind w:left="820"/>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8,560</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7"/>
        </w:trPr>
        <w:tc>
          <w:tcPr>
            <w:tcW w:w="5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2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7,618</w:t>
            </w:r>
          </w:p>
        </w:tc>
      </w:tr>
      <w:tr>
        <w:trPr>
          <w:trHeight w:val="20"/>
        </w:trPr>
        <w:tc>
          <w:tcPr>
            <w:tcW w:w="57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$647 for the period ended September 30, 2008.</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368935" cy="462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46291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Website Costs</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181,008</w:t>
            </w:r>
          </w:p>
        </w:tc>
      </w:tr>
      <w:tr>
        <w:trPr>
          <w:trHeight w:val="216"/>
        </w:trPr>
        <w:tc>
          <w:tcPr>
            <w:tcW w:w="5720" w:type="dxa"/>
            <w:vAlign w:val="bottom"/>
          </w:tcPr>
          <w:p>
            <w:pPr>
              <w:ind w:left="580"/>
              <w:spacing w:after="0"/>
              <w:rPr>
                <w:sz w:val="20"/>
                <w:szCs w:val="20"/>
                <w:color w:val="auto"/>
              </w:rPr>
            </w:pPr>
            <w:r>
              <w:rPr>
                <w:rFonts w:ascii="Arial" w:cs="Arial" w:eastAsia="Arial" w:hAnsi="Arial"/>
                <w:sz w:val="18"/>
                <w:szCs w:val="18"/>
                <w:color w:val="auto"/>
              </w:rPr>
              <w:t>Accumulated Amortization</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(29,724)</w:t>
            </w:r>
          </w:p>
        </w:tc>
      </w:tr>
      <w:tr>
        <w:trPr>
          <w:trHeight w:val="27"/>
        </w:trPr>
        <w:tc>
          <w:tcPr>
            <w:tcW w:w="5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20" w:type="dxa"/>
            <w:vAlign w:val="bottom"/>
            <w:shd w:val="clear" w:color="auto" w:fill="EEEEEE"/>
          </w:tcPr>
          <w:p>
            <w:pPr>
              <w:ind w:left="760"/>
              <w:spacing w:after="0"/>
              <w:rPr>
                <w:sz w:val="20"/>
                <w:szCs w:val="20"/>
                <w:color w:val="auto"/>
              </w:rPr>
            </w:pPr>
            <w:r>
              <w:rPr>
                <w:rFonts w:ascii="Arial" w:cs="Arial" w:eastAsia="Arial" w:hAnsi="Arial"/>
                <w:sz w:val="18"/>
                <w:szCs w:val="18"/>
                <w:color w:val="auto"/>
              </w:rPr>
              <w:t>Website Development Costs, Net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151,284</w:t>
            </w:r>
          </w:p>
        </w:tc>
      </w:tr>
      <w:tr>
        <w:trPr>
          <w:trHeight w:val="20"/>
        </w:trPr>
        <w:tc>
          <w:tcPr>
            <w:tcW w:w="57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$27,152 for the period ended September 30, 2008.</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u w:val="single" w:color="auto"/>
          <w:color w:val="auto"/>
        </w:rPr>
        <w:t>Commitments and Contingencies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p>
      <w:pPr>
        <w:spacing w:after="0" w:line="255" w:lineRule="exact"/>
        <w:rPr>
          <w:sz w:val="20"/>
          <w:szCs w:val="20"/>
          <w:color w:val="auto"/>
        </w:rPr>
      </w:pPr>
    </w:p>
    <w:p>
      <w:pPr>
        <w:spacing w:after="0"/>
        <w:tabs>
          <w:tab w:leader="none" w:pos="4700" w:val="left"/>
          <w:tab w:leader="none" w:pos="5120" w:val="left"/>
        </w:tabs>
        <w:rPr>
          <w:sz w:val="20"/>
          <w:szCs w:val="20"/>
          <w:color w:val="auto"/>
        </w:rPr>
      </w:pPr>
      <w:r>
        <w:rPr>
          <w:sz w:val="1"/>
          <w:szCs w:val="1"/>
          <w:color w:val="auto"/>
        </w:rPr>
        <w:drawing>
          <wp:inline distT="0" distB="0" distL="0" distR="0">
            <wp:extent cx="360045" cy="137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0045" cy="137160"/>
                    </a:xfrm>
                    <a:prstGeom prst="rect">
                      <a:avLst/>
                    </a:prstGeom>
                    <a:noFill/>
                    <a:ln>
                      <a:noFill/>
                    </a:ln>
                  </pic:spPr>
                </pic:pic>
              </a:graphicData>
            </a:graphic>
          </wp:inline>
        </w:drawing>
      </w:r>
      <w:r>
        <w:rPr>
          <w:rFonts w:ascii="Arial" w:cs="Arial" w:eastAsia="Arial" w:hAnsi="Arial"/>
          <w:sz w:val="18"/>
          <w:szCs w:val="18"/>
          <w:color w:val="auto"/>
        </w:rPr>
        <w:t>September 30, 2009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61886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Dividend Distribution</w:t>
      </w:r>
    </w:p>
    <w:p>
      <w:pPr>
        <w:spacing w:after="0" w:line="28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 additional 6,350,000 shares of common stock were sold during the period ended Sept 30, 2008. At September 30, 2008, there were 16,650,000 common shares issued and outstanding. An additional 35 shares of preferred stock were sold during the period ended September 30, 2008. There were 35 preferred shares issued and outstanding at September 30, 2008.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Income Taxes</w:t>
      </w:r>
    </w:p>
    <w:p>
      <w:pPr>
        <w:spacing w:after="0" w:line="28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the period ended September 30, 2008, the Company has incurred a net loss of approximately $903,000 and therefore has no tax liability. The company began operations in 2007 had approximately $200,000 of loss carry-forwards. The 2008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6"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2371"/>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jc w:val="center"/>
        <w:ind w:right="2371"/>
        <w:spacing w:after="0"/>
        <w:rPr>
          <w:sz w:val="20"/>
          <w:szCs w:val="20"/>
          <w:color w:val="auto"/>
        </w:rPr>
      </w:pP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09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9320" cy="17145"/>
                    </a:xfrm>
                    <a:prstGeom prst="rect">
                      <a:avLst/>
                    </a:prstGeom>
                    <a:noFill/>
                  </pic:spPr>
                </pic:pic>
              </a:graphicData>
            </a:graphic>
          </wp:anchor>
        </w:drawing>
      </w:r>
    </w:p>
    <w:p>
      <w:pPr>
        <w:spacing w:after="0" w:line="218" w:lineRule="exact"/>
        <w:rPr>
          <w:sz w:val="20"/>
          <w:szCs w:val="20"/>
          <w:color w:val="auto"/>
        </w:rPr>
      </w:pPr>
    </w:p>
    <w:p>
      <w:pPr>
        <w:ind w:left="849" w:hanging="849"/>
        <w:spacing w:after="0"/>
        <w:tabs>
          <w:tab w:leader="none" w:pos="849" w:val="left"/>
        </w:tabs>
        <w:numPr>
          <w:ilvl w:val="0"/>
          <w:numId w:val="37"/>
        </w:numPr>
        <w:rPr>
          <w:rFonts w:ascii="Arial" w:cs="Arial" w:eastAsia="Arial" w:hAnsi="Arial"/>
          <w:sz w:val="17"/>
          <w:szCs w:val="17"/>
          <w:color w:val="auto"/>
        </w:rPr>
      </w:pPr>
      <w:r>
        <w:rPr>
          <w:rFonts w:ascii="Arial" w:cs="Arial" w:eastAsia="Arial" w:hAnsi="Arial"/>
          <w:sz w:val="17"/>
          <w:szCs w:val="17"/>
          <w:color w:val="auto"/>
        </w:rPr>
        <w:t>375,000</w:t>
      </w:r>
    </w:p>
    <w:p>
      <w:pPr>
        <w:spacing w:after="0" w:line="34" w:lineRule="exact"/>
        <w:rPr>
          <w:rFonts w:ascii="Arial" w:cs="Arial" w:eastAsia="Arial" w:hAnsi="Arial"/>
          <w:sz w:val="17"/>
          <w:szCs w:val="17"/>
          <w:color w:val="auto"/>
        </w:rPr>
      </w:pPr>
    </w:p>
    <w:p>
      <w:pPr>
        <w:ind w:left="789"/>
        <w:spacing w:after="0"/>
        <w:rPr>
          <w:rFonts w:ascii="Arial" w:cs="Arial" w:eastAsia="Arial" w:hAnsi="Arial"/>
          <w:sz w:val="17"/>
          <w:szCs w:val="17"/>
          <w:color w:val="auto"/>
        </w:rPr>
      </w:pPr>
      <w:r>
        <w:rPr>
          <w:rFonts w:ascii="Arial" w:cs="Arial" w:eastAsia="Arial" w:hAnsi="Arial"/>
          <w:sz w:val="16"/>
          <w:szCs w:val="16"/>
          <w:color w:val="auto"/>
        </w:rPr>
        <w:t>(375,000)</w:t>
      </w:r>
    </w:p>
    <w:p>
      <w:pPr>
        <w:spacing w:after="0" w:line="45" w:lineRule="exact"/>
        <w:rPr>
          <w:sz w:val="20"/>
          <w:szCs w:val="20"/>
          <w:color w:val="auto"/>
        </w:rPr>
      </w:pPr>
    </w:p>
    <w:p>
      <w:pPr>
        <w:ind w:left="9"/>
        <w:spacing w:after="0"/>
        <w:tabs>
          <w:tab w:leader="none" w:pos="1348"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09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909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91" w:space="720"/>
            <w:col w:w="3809"/>
          </w:cols>
          <w:pgMar w:left="240" w:top="391" w:right="239" w:bottom="1440" w:gutter="0" w:footer="0" w:header="0"/>
          <w:type w:val="continuous"/>
        </w:sectPr>
      </w:pP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PREFERRED STOCK</w:t>
      </w:r>
    </w:p>
    <w:p>
      <w:pPr>
        <w:spacing w:after="0" w:line="28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Preferred stock is preferred in that dividends shall be paid or set aside for payment on any Junior Security of the Corporation. Holders shall be entitled to receive dividends payable on the Stated Value of the Series A Preferred Stock at a rate of 10% per annum, which shall be cumulative, and accrue daily from the Issuance date. The dividends may be paid in cash or shares of the Corporation’s common stock at the Company’s discretion. If after the Conversion Eligibility Date, the Market Price for the Common Stock for any ten consecutive Trading Days in which the stock trades for over two dollars per share and trading exceeds 100,000 shares per day, the Company can force the Preferred Shareholders to convert their shares to common stock. Each share of Series A Preferred Stock shall also be convertible at the option of the Holder into that number of shares of Common Stock of the Corporation at the stated value of such share at a one dollar conversion price. 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w:t>
      </w:r>
    </w:p>
    <w:p>
      <w:pPr>
        <w:spacing w:after="0" w:line="24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83"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0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3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estimated costs and expenses to be incurred in connection with the issuance and distribution of the securities registered under this registration statement. All amounts are estimates except the Commission registration fee. The following expenses will be borne solely by us.</w:t>
      </w:r>
    </w:p>
    <w:p>
      <w:pPr>
        <w:sectPr>
          <w:pgSz w:w="11900" w:h="16838" w:orient="portrait"/>
          <w:cols w:equalWidth="0" w:num="1">
            <w:col w:w="11420"/>
          </w:cols>
          <w:pgMar w:left="240" w:top="391" w:right="239" w:bottom="1004"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70" w:hanging="670"/>
        <w:spacing w:after="0"/>
        <w:tabs>
          <w:tab w:leader="none" w:pos="6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262.92</w:t>
      </w:r>
    </w:p>
    <w:p>
      <w:pPr>
        <w:spacing w:after="0" w:line="46" w:lineRule="exact"/>
        <w:rPr>
          <w:sz w:val="20"/>
          <w:szCs w:val="20"/>
          <w:color w:val="auto"/>
        </w:rPr>
      </w:pPr>
    </w:p>
    <w:p>
      <w:pPr>
        <w:ind w:left="450" w:hanging="450"/>
        <w:spacing w:after="0"/>
        <w:tabs>
          <w:tab w:leader="none" w:pos="4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65,000.00</w:t>
      </w:r>
    </w:p>
    <w:p>
      <w:pPr>
        <w:spacing w:after="0" w:line="32" w:lineRule="exact"/>
        <w:rPr>
          <w:sz w:val="20"/>
          <w:szCs w:val="20"/>
          <w:color w:val="auto"/>
        </w:rPr>
      </w:pPr>
    </w:p>
    <w:p>
      <w:pPr>
        <w:ind w:left="450" w:hanging="450"/>
        <w:spacing w:after="0"/>
        <w:tabs>
          <w:tab w:leader="none" w:pos="4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15,000.00</w:t>
      </w:r>
    </w:p>
    <w:p>
      <w:pPr>
        <w:spacing w:after="0" w:line="32" w:lineRule="exact"/>
        <w:rPr>
          <w:rFonts w:ascii="Arial" w:cs="Arial" w:eastAsia="Arial" w:hAnsi="Arial"/>
          <w:sz w:val="16"/>
          <w:szCs w:val="16"/>
          <w:color w:val="auto"/>
        </w:rPr>
      </w:pPr>
    </w:p>
    <w:p>
      <w:pPr>
        <w:ind w:left="530" w:hanging="530"/>
        <w:spacing w:after="0"/>
        <w:tabs>
          <w:tab w:leader="none" w:pos="5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5,000.00</w:t>
      </w:r>
    </w:p>
    <w:p>
      <w:pPr>
        <w:spacing w:after="0" w:line="44" w:lineRule="exact"/>
        <w:rPr>
          <w:rFonts w:ascii="Arial" w:cs="Arial" w:eastAsia="Arial" w:hAnsi="Arial"/>
          <w:sz w:val="16"/>
          <w:szCs w:val="16"/>
          <w:color w:val="auto"/>
        </w:rPr>
      </w:pPr>
    </w:p>
    <w:p>
      <w:pPr>
        <w:ind w:left="450" w:hanging="450"/>
        <w:spacing w:after="0"/>
        <w:tabs>
          <w:tab w:leader="none" w:pos="4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80,262.92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372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30" w:space="720"/>
            <w:col w:w="1270"/>
          </w:cols>
          <w:pgMar w:left="240" w:top="391" w:right="239" w:bottom="1004" w:gutter="0" w:footer="0" w:header="0"/>
          <w:type w:val="continuous"/>
        </w:sectPr>
      </w:pP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bear expenses incurred by the selling stockholders that relate to the registration of the shares of common stock being offered and sold by the selling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Nevada Revised Statutes and our Articles of Incorporation, as amended, our directors will have no personal liability to us or our stockholders for monetary damages incurred as the result of the breach or alleged breach by a director of his "duty of care". This provision does not apply to the directors' (i) acts or omissions that involve intentional misconduct or a knowing and culpable violation of law, (ii) acts or omissions that a director believes to be contrary to the best interests of the corporation or its shareholders or that involve the absence of good faith on the part of the director, (iii) approval of any transaction from which a director derives an improper personal benefit, (iv) acts or omissions that show a reckless disregard for the director's duty to the corporation or its shareholders in circumstances in which the director was aware, or should have been aware, in the ordinary course of performing a director's duties, of a risk of serious injury to the corporation or its shareholders, (v) acts or omissions that constituted an unexcused pattern of inattention that amounts to an abdication of the director's duty to the corporation or its shareholders, or (vi) approval of an unlawful dividend, distribution, stock repurchase or redemption. This provision would generally absolve directors of personal liability for negligence in the performance of duties, including gross negligence.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14, 2008, as RFID, Ltd., we entered into a Share Exchange Agreement with OptimizeRx Corporation, a Michigan corporation and the shareholders of OptimizeRx Corporation, pursuant to which we acquired all of the outstanding stock of OptimizeRx Corporation. As consideration for the acquisition of OptimizeRx Corporation, we agreed to issue 10,664,000 shares of our common stock to the OptimizeRx Corporation shareholders.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 The Series A Preferred Stock is convertible into an aggregate of 3,500,000 shares of our common stock. Holders of the Series A Preferred Stock are entitled to receive dividends at the rate per share of 10% per annum of the stated value, payable semi-annually, either in cash or in shares of registered common stock, at a ten percent (10%) discount to the market price. Purchasers of the Series A Preferred Stock were also issued seven-year Series A warrants to purchase 6,000,000 shares of our common stock at an exercise price of $2.00 per share. We paid finders’ fees of $350,000 and issued to finders seven-year warrants to purchase 600,000 shares of our common stock at the exercise price of $2.00 per share and seven-year warrants to purchase 350,000 shares of our common stock at the exercise price of $1.00 per share. The offerings and sales were made to a limited number of persons, of whom were accredited investors and transfer was restricted by OptimizeRx in accordance with the requirement of the Securities Act of 1933.</w:t>
      </w:r>
    </w:p>
    <w:p>
      <w:pPr>
        <w:spacing w:after="0" w:line="251" w:lineRule="exact"/>
        <w:rPr>
          <w:sz w:val="20"/>
          <w:szCs w:val="20"/>
          <w:color w:val="auto"/>
        </w:rPr>
      </w:pPr>
    </w:p>
    <w:p>
      <w:pPr>
        <w:jc w:val="both"/>
        <w:ind w:firstLine="8"/>
        <w:spacing w:after="0" w:line="259" w:lineRule="auto"/>
        <w:tabs>
          <w:tab w:leader="none" w:pos="1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004"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Articles of Incorporation of OptimizeRx Corporation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Certificate of Designation, filed on September 5, 2008, with the Secretary of State of the State of Nevada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Sichenzia Ross Friedman Ference LLP.</w:t>
      </w:r>
    </w:p>
    <w:p>
      <w:pPr>
        <w:spacing w:after="0" w:line="9" w:lineRule="exact"/>
        <w:rPr>
          <w:sz w:val="20"/>
          <w:szCs w:val="20"/>
          <w:color w:val="auto"/>
        </w:rPr>
      </w:pPr>
    </w:p>
    <w:p>
      <w:pPr>
        <w:ind w:left="580" w:hanging="580"/>
        <w:spacing w:after="0" w:line="250" w:lineRule="auto"/>
        <w:tabs>
          <w:tab w:leader="none" w:pos="560" w:val="left"/>
        </w:tabs>
        <w:rPr>
          <w:sz w:val="20"/>
          <w:szCs w:val="20"/>
          <w:color w:val="auto"/>
        </w:rPr>
      </w:pPr>
      <w:r>
        <w:rPr>
          <w:rFonts w:ascii="Arial" w:cs="Arial" w:eastAsia="Arial" w:hAnsi="Arial"/>
          <w:sz w:val="18"/>
          <w:szCs w:val="18"/>
          <w:color w:val="auto"/>
        </w:rPr>
        <w:t>10.1</w:t>
        <w:tab/>
        <w:t>Agreement Concerning the Exchange of Securities, dated on April 14, 2008 by and among RFID, Ltd., OptimizeRx Corporation and the Security Holders of 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Securities Purchase Agreement, dated September 8, 2008, by and between the Company and Vicis Capital Master Fund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Registration Rights Agreement, dated September 8, 2008, by and between the Company and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Security Agreement, dated September 8, 2008, by and between the Company and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Guaranty Agreement, dated September 8, 2008, by and between the Company and Vicis*.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Guarantor Security Agreement, dated September 8, 2008, by and between the Company and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Partnership Agreement between the Company and Dendrite International, Inc. d/b/a/ Cegedim Dendrite, as entered into on June 24, 2008*.</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Letter of Intent between the Company and Sudler &amp; Hennessy, dated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List of Subsidiaries*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Auditors (as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Sichenzia Ross Friedman Ference LLP (contained in Exhibit 5.1).</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Common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Company hereby undertakes to:</w:t>
      </w:r>
    </w:p>
    <w:p>
      <w:pPr>
        <w:spacing w:after="0" w:line="279"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79" w:lineRule="exact"/>
        <w:rPr>
          <w:rFonts w:ascii="Arial" w:cs="Arial" w:eastAsia="Arial" w:hAnsi="Arial"/>
          <w:sz w:val="18"/>
          <w:szCs w:val="18"/>
          <w:color w:val="auto"/>
        </w:rPr>
      </w:pPr>
    </w:p>
    <w:p>
      <w:pPr>
        <w:ind w:left="880" w:hanging="224"/>
        <w:spacing w:after="0"/>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jc w:val="both"/>
        <w:ind w:left="660" w:hanging="4"/>
        <w:spacing w:after="0" w:line="255" w:lineRule="auto"/>
        <w:tabs>
          <w:tab w:leader="none" w:pos="94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43" w:lineRule="exact"/>
        <w:rPr>
          <w:rFonts w:ascii="Arial" w:cs="Arial" w:eastAsia="Arial" w:hAnsi="Arial"/>
          <w:sz w:val="18"/>
          <w:szCs w:val="18"/>
          <w:color w:val="auto"/>
        </w:rPr>
      </w:pPr>
    </w:p>
    <w:p>
      <w:pPr>
        <w:ind w:left="660" w:right="20" w:hanging="4"/>
        <w:spacing w:after="0" w:line="277" w:lineRule="auto"/>
        <w:tabs>
          <w:tab w:leader="none" w:pos="9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4" w:lineRule="exact"/>
        <w:rPr>
          <w:rFonts w:ascii="Arial" w:cs="Arial" w:eastAsia="Arial" w:hAnsi="Arial"/>
          <w:sz w:val="18"/>
          <w:szCs w:val="18"/>
          <w:color w:val="auto"/>
        </w:rPr>
      </w:pPr>
    </w:p>
    <w:p>
      <w:pPr>
        <w:jc w:val="both"/>
        <w:ind w:firstLine="8"/>
        <w:spacing w:after="0" w:line="264" w:lineRule="auto"/>
        <w:tabs>
          <w:tab w:leader="none" w:pos="2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35" w:lineRule="exact"/>
        <w:rPr>
          <w:rFonts w:ascii="Arial" w:cs="Arial" w:eastAsia="Arial" w:hAnsi="Arial"/>
          <w:sz w:val="18"/>
          <w:szCs w:val="18"/>
          <w:color w:val="auto"/>
        </w:rPr>
      </w:pPr>
    </w:p>
    <w:p>
      <w:pPr>
        <w:ind w:firstLine="8"/>
        <w:spacing w:after="0" w:line="277" w:lineRule="auto"/>
        <w:tabs>
          <w:tab w:leader="none" w:pos="2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The undersigned registrant hereby undertakes: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w:t>
      </w: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1"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90" w:lineRule="exact"/>
        <w:rPr>
          <w:rFonts w:ascii="Arial" w:cs="Arial" w:eastAsia="Arial" w:hAnsi="Arial"/>
          <w:sz w:val="17"/>
          <w:szCs w:val="17"/>
          <w:color w:val="auto"/>
        </w:rPr>
      </w:pPr>
    </w:p>
    <w:p>
      <w:pPr>
        <w:ind w:left="660" w:hanging="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24" w:lineRule="exact"/>
        <w:rPr>
          <w:rFonts w:ascii="Arial" w:cs="Arial" w:eastAsia="Arial" w:hAnsi="Arial"/>
          <w:sz w:val="18"/>
          <w:szCs w:val="18"/>
          <w:color w:val="auto"/>
        </w:rPr>
      </w:pPr>
    </w:p>
    <w:p>
      <w:pPr>
        <w:ind w:left="660" w:right="20" w:hanging="4"/>
        <w:spacing w:after="0" w:line="277" w:lineRule="auto"/>
        <w:tabs>
          <w:tab w:leader="none" w:pos="9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4" w:lineRule="exact"/>
        <w:rPr>
          <w:rFonts w:ascii="Arial" w:cs="Arial" w:eastAsia="Arial" w:hAnsi="Arial"/>
          <w:sz w:val="18"/>
          <w:szCs w:val="18"/>
          <w:color w:val="auto"/>
        </w:rPr>
      </w:pPr>
    </w:p>
    <w:p>
      <w:pPr>
        <w:ind w:left="960" w:hanging="30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OptimizeRx Corporation, certifies that it has reasonable grounds to believe that it meets all of the requirements for filing on Form S-1 and has duly caused this Registration Statement on Form S-1 to be signed on its behalf by the undersigned, thereunto duly authorized, in the city of Rochester, State of Michigan, on February 11, 2009 .</w:t>
      </w: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David A.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8987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A. Harrell.</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 Principal Financial Officer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person whose signature appears below constitutes and appoints David A. Harrell as his true and lawful attorneys in fact and agents, with full power of substitution and resubstitution, for him and in his name, place and stead, in any and all capacities, to sign any or all amendments (including post effective amendments) to the Registration Statement, and to sign any registration statement for the same offering covered by this Registration Statement that is to be effective upon filing pursuant to Rule 462(b) under the Securities Act of 1933, as amended, and all post 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below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8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58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i w:val="1"/>
                <w:iCs w:val="1"/>
                <w:color w:val="auto"/>
                <w:w w:val="94"/>
              </w:rPr>
              <w:t>David A. Harrell</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February 11, 2009</w:t>
            </w:r>
          </w:p>
        </w:tc>
      </w:tr>
      <w:tr>
        <w:trPr>
          <w:trHeight w:val="202"/>
        </w:trPr>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6"/>
              </w:rPr>
              <w:t>David A. Harrell</w:t>
            </w:r>
          </w:p>
        </w:tc>
        <w:tc>
          <w:tcPr>
            <w:tcW w:w="580" w:type="dxa"/>
            <w:vAlign w:val="bottom"/>
          </w:tcPr>
          <w:p>
            <w:pPr>
              <w:spacing w:after="0"/>
              <w:rPr>
                <w:sz w:val="17"/>
                <w:szCs w:val="17"/>
                <w:color w:val="auto"/>
              </w:rPr>
            </w:pPr>
          </w:p>
        </w:tc>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4"/>
              </w:rPr>
              <w:t>(Principal Executive Officer,</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16"/>
        </w:trPr>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w:t>
            </w:r>
          </w:p>
        </w:tc>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5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i w:val="1"/>
                <w:iCs w:val="1"/>
                <w:color w:val="auto"/>
                <w:w w:val="89"/>
              </w:rPr>
              <w:t>Terence J. Hamilton</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February 11, 2009</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0"/>
              </w:rPr>
              <w:t>Terence J. Hamilton</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i w:val="1"/>
                <w:iCs w:val="1"/>
                <w:color w:val="auto"/>
                <w:w w:val="90"/>
              </w:rPr>
              <w:t>Thomas E. Majerowicz</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9"/>
              </w:rPr>
              <w:t>February 11, 2009</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3"/>
              </w:rPr>
              <w:t>Thomas E. Majerowicz</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742"/>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9"/>
              </w:rPr>
              <w:t>II-4</w:t>
            </w: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5.1</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SICHENZIA ROSS FRIEDMAN FERENCE LLP</w:t>
      </w:r>
    </w:p>
    <w:p>
      <w:pPr>
        <w:ind w:left="4800"/>
        <w:spacing w:after="0" w:line="215"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930-9700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(212) 930-9725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11 ,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OptimizeRx Corporation</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Form S-1/A-2 Registration Statement (File No. 333 -155280)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refer to the above-captioned registration statement on Form S-1 /A- 3 (the "Registration Statement") under the Securities Act of 1933, as amended (the "Act"), filed by OptimizeRx Corporation, a Nevada corporation (the "Company"), with the Securities and Exchange Commission.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In such examination, we have assumed the genuineness of all signatures, the authenticity of all documents submitted to us as certified copies or photocopies and the authenticity of the originals of such latter documents.</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our examination mentioned above, we are of the opinion that the securities being sold pursuant to the Registration Statement are duly authorized and will be, when issued in the manner described in the Registration Statement, legally and validly issued, fully paid and non-assessable.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Exhibit 5.1 to the Amended Registration Statement and to the reference to our firm under "Legal Matters" in the related Prospectus. In giving the foregoing consent, we do not hereby admit that we are in the category of persons whose consent is required under Section 7 of the Act, or the rules and regulations of the Securities and Exchange Commission.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Sichenzia Ross Friedman Ference LLP</w:t>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23.1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FF0000"/>
        </w:rPr>
        <w:t>Maddox Ungar Silberstein,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Maddox Ungar Silberstein, PLLC hereby consents to the use in the Form S-1/A Amendment No. 3, Registration Statement under the Securities Act of 1933, filed by OptimizeRx Corporation of our report dated November 7, 2008, relating to the consolidated financial statements of OptimizeRx Corporation, a Nevada Corporation, and its predecessor, Optimizer Systems, LLC, a Michigan Limited Liability Company, as of and for the periods ending December 31, 2007 and 2006, and the reference to us under the caption “Experts”.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lowerRoman"/>
      <w:start w:val="2"/>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lowerRoman"/>
      <w:start w:val="3"/>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lowerLetter"/>
      <w:start w:val="1"/>
    </w:lvl>
    <w:lvl w:ilvl="1">
      <w:lvlJc w:val="left"/>
      <w:lvlText w:val="·"/>
      <w:numFmt w:val="bullet"/>
      <w:start w:val="1"/>
    </w:lvl>
  </w:abstractNum>
  <w:abstractNum w:abstractNumId="18">
    <w:nsid w:val="7C3DBD3D"/>
    <w:multiLevelType w:val="hybridMultilevel"/>
    <w:lvl w:ilvl="0">
      <w:lvlJc w:val="left"/>
      <w:lvlText w:val="%1)"/>
      <w:numFmt w:val="lowerLetter"/>
      <w:start w:val="10"/>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lvl w:ilvl="1">
      <w:lvlJc w:val="left"/>
      <w:lvlText w:val="·"/>
      <w:numFmt w:val="bullet"/>
      <w:start w:val="1"/>
    </w:lvl>
  </w:abstractNum>
  <w:abstractNum w:abstractNumId="24">
    <w:nsid w:val="614FD4A1"/>
    <w:multiLevelType w:val="hybridMultilevel"/>
    <w:lvl w:ilvl="0">
      <w:lvlJc w:val="left"/>
      <w:lvlText w:val="%1)"/>
      <w:numFmt w:val="lowerLetter"/>
      <w:start w:val="4"/>
    </w:lvl>
  </w:abstractNum>
  <w:abstractNum w:abstractNumId="25">
    <w:nsid w:val="419AC241"/>
    <w:multiLevelType w:val="hybridMultilevel"/>
    <w:lvl w:ilvl="0">
      <w:lvlJc w:val="left"/>
      <w:lvlText w:val="o"/>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lvl w:ilvl="1">
      <w:lvlJc w:val="left"/>
      <w:lvlText w:val="(%2)"/>
      <w:numFmt w:val="decimal"/>
      <w:start w:val="1"/>
    </w:lvl>
    <w:lvl w:ilvl="2">
      <w:lvlJc w:val="left"/>
      <w:lvlText w:val="(%3)"/>
      <w:numFmt w:val="lowerRoman"/>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2019-12-11T04:48:42Z</dcterms:created>
  <dcterms:modified xsi:type="dcterms:W3CDTF">2019-12-11T04:48:42Z</dcterms:modified>
</cp:coreProperties>
</file>