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142875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0" w:type="dxa"/>
            <w:vAlign w:val="bottom"/>
            <w:gridSpan w:val="5"/>
          </w:tcPr>
          <w:p>
            <w:pPr>
              <w:jc w:val="center"/>
              <w:ind w:right="1600"/>
              <w:spacing w:after="0"/>
              <w:rPr>
                <w:sz w:val="20"/>
                <w:szCs w:val="20"/>
                <w:color w:val="auto"/>
              </w:rPr>
            </w:pPr>
            <w:r>
              <w:rPr>
                <w:rFonts w:ascii="Arial" w:cs="Arial" w:eastAsia="Arial" w:hAnsi="Arial"/>
                <w:sz w:val="18"/>
                <w:szCs w:val="18"/>
                <w:b w:val="1"/>
                <w:bCs w:val="1"/>
                <w:color w:val="auto"/>
              </w:rPr>
              <w:t>FORM 8-K</w:t>
            </w:r>
          </w:p>
        </w:tc>
        <w:tc>
          <w:tcPr>
            <w:tcW w:w="3200" w:type="dxa"/>
            <w:vAlign w:val="bottom"/>
          </w:tcPr>
          <w:p>
            <w:pPr>
              <w:spacing w:after="0"/>
              <w:rPr>
                <w:sz w:val="20"/>
                <w:szCs w:val="20"/>
                <w:color w:val="auto"/>
              </w:rPr>
            </w:pPr>
          </w:p>
        </w:tc>
      </w:tr>
      <w:tr>
        <w:trPr>
          <w:trHeight w:val="522"/>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0" w:type="dxa"/>
            <w:vAlign w:val="bottom"/>
            <w:gridSpan w:val="5"/>
          </w:tcPr>
          <w:p>
            <w:pPr>
              <w:jc w:val="center"/>
              <w:ind w:right="1600"/>
              <w:spacing w:after="0"/>
              <w:rPr>
                <w:sz w:val="20"/>
                <w:szCs w:val="20"/>
                <w:color w:val="auto"/>
              </w:rPr>
            </w:pPr>
            <w:r>
              <w:rPr>
                <w:rFonts w:ascii="Arial" w:cs="Arial" w:eastAsia="Arial" w:hAnsi="Arial"/>
                <w:sz w:val="18"/>
                <w:szCs w:val="18"/>
                <w:b w:val="1"/>
                <w:bCs w:val="1"/>
                <w:color w:val="auto"/>
                <w:w w:val="99"/>
              </w:rPr>
              <w:t>CURRENT REPORT</w:t>
            </w:r>
          </w:p>
        </w:tc>
        <w:tc>
          <w:tcPr>
            <w:tcW w:w="3200" w:type="dxa"/>
            <w:vAlign w:val="bottom"/>
          </w:tcPr>
          <w:p>
            <w:pPr>
              <w:spacing w:after="0"/>
              <w:rPr>
                <w:sz w:val="24"/>
                <w:szCs w:val="24"/>
                <w:color w:val="auto"/>
              </w:rPr>
            </w:pP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6"/>
          </w:tcPr>
          <w:p>
            <w:pPr>
              <w:jc w:val="center"/>
              <w:ind w:right="700"/>
              <w:spacing w:after="0"/>
              <w:rPr>
                <w:sz w:val="20"/>
                <w:szCs w:val="20"/>
                <w:color w:val="auto"/>
              </w:rPr>
            </w:pPr>
            <w:r>
              <w:rPr>
                <w:rFonts w:ascii="Arial" w:cs="Arial" w:eastAsia="Arial" w:hAnsi="Arial"/>
                <w:sz w:val="18"/>
                <w:szCs w:val="18"/>
                <w:b w:val="1"/>
                <w:bCs w:val="1"/>
                <w:color w:val="auto"/>
                <w:w w:val="97"/>
              </w:rPr>
              <w:t>PURSUANT TO SECTION 13 OR 15(d) OF</w:t>
            </w:r>
          </w:p>
        </w:tc>
        <w:tc>
          <w:tcPr>
            <w:tcW w:w="320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p>
        </w:tc>
        <w:tc>
          <w:tcPr>
            <w:tcW w:w="4440" w:type="dxa"/>
            <w:vAlign w:val="bottom"/>
            <w:gridSpan w:val="7"/>
          </w:tcPr>
          <w:p>
            <w:pPr>
              <w:jc w:val="center"/>
              <w:ind w:right="56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00" w:type="dxa"/>
            <w:vAlign w:val="bottom"/>
          </w:tcPr>
          <w:p>
            <w:pPr>
              <w:spacing w:after="0"/>
              <w:rPr>
                <w:sz w:val="20"/>
                <w:szCs w:val="20"/>
                <w:color w:val="auto"/>
              </w:rPr>
            </w:pPr>
          </w:p>
        </w:tc>
      </w:tr>
      <w:tr>
        <w:trPr>
          <w:trHeight w:val="432"/>
        </w:trPr>
        <w:tc>
          <w:tcPr>
            <w:tcW w:w="8220" w:type="dxa"/>
            <w:vAlign w:val="bottom"/>
            <w:gridSpan w:val="8"/>
          </w:tcPr>
          <w:p>
            <w:pPr>
              <w:jc w:val="center"/>
              <w:ind w:left="3130"/>
              <w:spacing w:after="0"/>
              <w:rPr>
                <w:sz w:val="20"/>
                <w:szCs w:val="20"/>
                <w:color w:val="auto"/>
              </w:rPr>
            </w:pPr>
            <w:r>
              <w:rPr>
                <w:rFonts w:ascii="Arial" w:cs="Arial" w:eastAsia="Arial" w:hAnsi="Arial"/>
                <w:sz w:val="18"/>
                <w:szCs w:val="18"/>
                <w:color w:val="auto"/>
                <w:w w:val="90"/>
              </w:rPr>
              <w:t>Date of Report (Date of earliest event reported): September 26, 2017</w:t>
            </w:r>
          </w:p>
        </w:tc>
        <w:tc>
          <w:tcPr>
            <w:tcW w:w="3200" w:type="dxa"/>
            <w:vAlign w:val="bottom"/>
          </w:tcPr>
          <w:p>
            <w:pPr>
              <w:spacing w:after="0"/>
              <w:rPr>
                <w:sz w:val="24"/>
                <w:szCs w:val="24"/>
                <w:color w:val="auto"/>
              </w:rPr>
            </w:pPr>
          </w:p>
        </w:tc>
      </w:tr>
      <w:tr>
        <w:trPr>
          <w:trHeight w:val="392"/>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OptimizeRx Corporation</w:t>
            </w:r>
          </w:p>
        </w:tc>
        <w:tc>
          <w:tcPr>
            <w:tcW w:w="1600" w:type="dxa"/>
            <w:vAlign w:val="bottom"/>
            <w:gridSpan w:val="4"/>
          </w:tcPr>
          <w:p>
            <w:pPr>
              <w:spacing w:after="0"/>
              <w:rPr>
                <w:sz w:val="24"/>
                <w:szCs w:val="24"/>
                <w:color w:val="auto"/>
              </w:rPr>
            </w:pPr>
          </w:p>
        </w:tc>
        <w:tc>
          <w:tcPr>
            <w:tcW w:w="3200" w:type="dxa"/>
            <w:vAlign w:val="bottom"/>
          </w:tcPr>
          <w:p>
            <w:pPr>
              <w:spacing w:after="0"/>
              <w:rPr>
                <w:sz w:val="24"/>
                <w:szCs w:val="24"/>
                <w:color w:val="auto"/>
              </w:rPr>
            </w:pPr>
          </w:p>
        </w:tc>
      </w:tr>
      <w:tr>
        <w:trPr>
          <w:trHeight w:val="237"/>
        </w:trPr>
        <w:tc>
          <w:tcPr>
            <w:tcW w:w="3780" w:type="dxa"/>
            <w:vAlign w:val="bottom"/>
          </w:tcPr>
          <w:p>
            <w:pPr>
              <w:spacing w:after="0"/>
              <w:rPr>
                <w:sz w:val="20"/>
                <w:szCs w:val="20"/>
                <w:color w:val="auto"/>
              </w:rPr>
            </w:pPr>
          </w:p>
        </w:tc>
        <w:tc>
          <w:tcPr>
            <w:tcW w:w="4440" w:type="dxa"/>
            <w:vAlign w:val="bottom"/>
            <w:gridSpan w:val="7"/>
          </w:tcPr>
          <w:p>
            <w:pPr>
              <w:jc w:val="center"/>
              <w:ind w:right="560"/>
              <w:spacing w:after="0"/>
              <w:rPr>
                <w:sz w:val="20"/>
                <w:szCs w:val="20"/>
                <w:color w:val="auto"/>
              </w:rPr>
            </w:pPr>
            <w:r>
              <w:rPr>
                <w:rFonts w:ascii="Arial" w:cs="Arial" w:eastAsia="Arial" w:hAnsi="Arial"/>
                <w:sz w:val="18"/>
                <w:szCs w:val="18"/>
                <w:color w:val="auto"/>
                <w:w w:val="90"/>
              </w:rPr>
              <w:t>(Exact name of registrant as specified in its charter)</w:t>
            </w:r>
          </w:p>
        </w:tc>
        <w:tc>
          <w:tcPr>
            <w:tcW w:w="3200" w:type="dxa"/>
            <w:vAlign w:val="bottom"/>
          </w:tcPr>
          <w:p>
            <w:pPr>
              <w:spacing w:after="0"/>
              <w:rPr>
                <w:sz w:val="20"/>
                <w:szCs w:val="20"/>
                <w:color w:val="auto"/>
              </w:rPr>
            </w:pPr>
          </w:p>
        </w:tc>
      </w:tr>
      <w:tr>
        <w:trPr>
          <w:trHeight w:val="439"/>
        </w:trPr>
        <w:tc>
          <w:tcPr>
            <w:tcW w:w="3780" w:type="dxa"/>
            <w:vAlign w:val="bottom"/>
          </w:tcPr>
          <w:p>
            <w:pPr>
              <w:jc w:val="center"/>
              <w:spacing w:after="0"/>
              <w:rPr>
                <w:sz w:val="20"/>
                <w:szCs w:val="20"/>
                <w:color w:val="auto"/>
              </w:rPr>
            </w:pPr>
            <w:r>
              <w:rPr>
                <w:rFonts w:ascii="Arial" w:cs="Arial" w:eastAsia="Arial" w:hAnsi="Arial"/>
                <w:sz w:val="18"/>
                <w:szCs w:val="18"/>
                <w:color w:val="auto"/>
                <w:w w:val="86"/>
              </w:rPr>
              <w:t>Nevada</w:t>
            </w:r>
          </w:p>
        </w:tc>
        <w:tc>
          <w:tcPr>
            <w:tcW w:w="2840" w:type="dxa"/>
            <w:vAlign w:val="bottom"/>
            <w:gridSpan w:val="3"/>
          </w:tcPr>
          <w:p>
            <w:pPr>
              <w:jc w:val="center"/>
              <w:ind w:left="970"/>
              <w:spacing w:after="0"/>
              <w:rPr>
                <w:sz w:val="20"/>
                <w:szCs w:val="20"/>
                <w:color w:val="auto"/>
              </w:rPr>
            </w:pPr>
            <w:r>
              <w:rPr>
                <w:rFonts w:ascii="Arial" w:cs="Arial" w:eastAsia="Arial" w:hAnsi="Arial"/>
                <w:sz w:val="18"/>
                <w:szCs w:val="18"/>
                <w:color w:val="auto"/>
                <w:w w:val="90"/>
              </w:rPr>
              <w:t>000-53605</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0" w:type="dxa"/>
            <w:vAlign w:val="bottom"/>
          </w:tcPr>
          <w:p>
            <w:pPr>
              <w:jc w:val="right"/>
              <w:ind w:right="1350"/>
              <w:spacing w:after="0"/>
              <w:rPr>
                <w:sz w:val="20"/>
                <w:szCs w:val="20"/>
                <w:color w:val="auto"/>
              </w:rPr>
            </w:pPr>
            <w:r>
              <w:rPr>
                <w:rFonts w:ascii="Arial" w:cs="Arial" w:eastAsia="Arial" w:hAnsi="Arial"/>
                <w:sz w:val="18"/>
                <w:szCs w:val="18"/>
                <w:color w:val="auto"/>
              </w:rPr>
              <w:t>26-1265381</w:t>
            </w:r>
          </w:p>
        </w:tc>
      </w:tr>
      <w:tr>
        <w:trPr>
          <w:trHeight w:val="230"/>
        </w:trPr>
        <w:tc>
          <w:tcPr>
            <w:tcW w:w="3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120" w:type="dxa"/>
            <w:vAlign w:val="bottom"/>
          </w:tcPr>
          <w:p>
            <w:pPr>
              <w:spacing w:after="0"/>
              <w:rPr>
                <w:sz w:val="20"/>
                <w:szCs w:val="20"/>
                <w:color w:val="auto"/>
              </w:rPr>
            </w:pPr>
          </w:p>
        </w:tc>
        <w:tc>
          <w:tcPr>
            <w:tcW w:w="366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2"/>
              </w:rPr>
              <w:t>(Commission File Number)</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3200" w:type="dxa"/>
            <w:vAlign w:val="bottom"/>
            <w:tcBorders>
              <w:top w:val="single" w:sz="8" w:color="auto"/>
            </w:tcBorders>
          </w:tcPr>
          <w:p>
            <w:pPr>
              <w:jc w:val="center"/>
              <w:ind w:right="470"/>
              <w:spacing w:after="0"/>
              <w:rPr>
                <w:sz w:val="20"/>
                <w:szCs w:val="20"/>
                <w:color w:val="auto"/>
              </w:rPr>
            </w:pPr>
            <w:r>
              <w:rPr>
                <w:rFonts w:ascii="Arial" w:cs="Arial" w:eastAsia="Arial" w:hAnsi="Arial"/>
                <w:sz w:val="18"/>
                <w:szCs w:val="18"/>
                <w:color w:val="auto"/>
                <w:w w:val="93"/>
              </w:rPr>
              <w:t>(I.R.S. Employer Identification No.)</w:t>
            </w:r>
          </w:p>
        </w:tc>
      </w:tr>
      <w:tr>
        <w:trPr>
          <w:trHeight w:val="425"/>
        </w:trPr>
        <w:tc>
          <w:tcPr>
            <w:tcW w:w="8220" w:type="dxa"/>
            <w:vAlign w:val="bottom"/>
            <w:gridSpan w:val="8"/>
          </w:tcPr>
          <w:p>
            <w:pPr>
              <w:jc w:val="center"/>
              <w:ind w:right="680"/>
              <w:spacing w:after="0"/>
              <w:rPr>
                <w:sz w:val="20"/>
                <w:szCs w:val="20"/>
                <w:color w:val="auto"/>
              </w:rPr>
            </w:pPr>
            <w:r>
              <w:rPr>
                <w:rFonts w:ascii="Arial" w:cs="Arial" w:eastAsia="Arial" w:hAnsi="Arial"/>
                <w:sz w:val="18"/>
                <w:szCs w:val="18"/>
                <w:color w:val="auto"/>
                <w:w w:val="90"/>
              </w:rPr>
              <w:t>400 Water Street, Suite 200, Rochester, MI</w:t>
            </w:r>
          </w:p>
        </w:tc>
        <w:tc>
          <w:tcPr>
            <w:tcW w:w="3200" w:type="dxa"/>
            <w:vAlign w:val="bottom"/>
          </w:tcPr>
          <w:p>
            <w:pPr>
              <w:jc w:val="right"/>
              <w:ind w:right="1570"/>
              <w:spacing w:after="0"/>
              <w:rPr>
                <w:sz w:val="20"/>
                <w:szCs w:val="20"/>
                <w:color w:val="auto"/>
              </w:rPr>
            </w:pPr>
            <w:r>
              <w:rPr>
                <w:rFonts w:ascii="Arial" w:cs="Arial" w:eastAsia="Arial" w:hAnsi="Arial"/>
                <w:sz w:val="18"/>
                <w:szCs w:val="18"/>
                <w:color w:val="auto"/>
              </w:rPr>
              <w:t>48307</w:t>
            </w:r>
          </w:p>
        </w:tc>
      </w:tr>
      <w:tr>
        <w:trPr>
          <w:trHeight w:val="230"/>
        </w:trPr>
        <w:tc>
          <w:tcPr>
            <w:tcW w:w="754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20" w:type="dxa"/>
            <w:vAlign w:val="bottom"/>
            <w:gridSpan w:val="2"/>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3200" w:type="dxa"/>
            <w:vAlign w:val="bottom"/>
            <w:tcBorders>
              <w:top w:val="single" w:sz="8" w:color="auto"/>
            </w:tcBorders>
          </w:tcPr>
          <w:p>
            <w:pPr>
              <w:jc w:val="center"/>
              <w:ind w:right="47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25"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639445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On September 26, 2017, we issued a press release concerning our partnership with iSalus Healthcare, an industry-leading EHR, practice management, medical billing services and telehealth company. A copy of the press release is attached as Exhibit 99.1 to this Current Report on Form 8-K.</w:t>
      </w:r>
    </w:p>
    <w:p>
      <w:pPr>
        <w:spacing w:after="0" w:line="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11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September 26,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926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27, 2017</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2"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165735</wp:posOffset>
            </wp:positionV>
            <wp:extent cx="1655445" cy="411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55445" cy="41148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165735</wp:posOffset>
            </wp:positionV>
            <wp:extent cx="1569085"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6908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Launches Automated Financial Messaging within iSalus Healthcare’s EHR, Providing Prescriptions Cost Savings</w:t>
      </w:r>
    </w:p>
    <w:p>
      <w:pPr>
        <w:spacing w:after="0" w:line="225"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b w:val="1"/>
          <w:bCs w:val="1"/>
          <w:color w:val="auto"/>
        </w:rPr>
        <w:t xml:space="preserve">INDIANAPOLIS, IN and ROCHESTER, MI, (September 26, 2017) </w:t>
      </w:r>
      <w:r>
        <w:rPr>
          <w:rFonts w:ascii="Arial" w:cs="Arial" w:eastAsia="Arial" w:hAnsi="Arial"/>
          <w:sz w:val="18"/>
          <w:szCs w:val="18"/>
          <w:color w:val="auto"/>
        </w:rPr>
        <w:t>OptimizeRx® Corporation (OTCQB: OPRX), the nation’s leading provider of digital</w:t>
      </w:r>
      <w:r>
        <w:rPr>
          <w:rFonts w:ascii="Arial" w:cs="Arial" w:eastAsia="Arial" w:hAnsi="Arial"/>
          <w:sz w:val="18"/>
          <w:szCs w:val="18"/>
          <w:b w:val="1"/>
          <w:bCs w:val="1"/>
          <w:color w:val="auto"/>
        </w:rPr>
        <w:t xml:space="preserve"> </w:t>
      </w:r>
      <w:r>
        <w:rPr>
          <w:rFonts w:ascii="Arial" w:cs="Arial" w:eastAsia="Arial" w:hAnsi="Arial"/>
          <w:sz w:val="18"/>
          <w:szCs w:val="18"/>
          <w:color w:val="auto"/>
        </w:rPr>
        <w:t>health messaging via electronic health records (EHRs), has partnered with iSalus Healthcare, an industry-leading EHR, practice management, medical billing services and telehealth company.</w:t>
      </w:r>
    </w:p>
    <w:p>
      <w:pPr>
        <w:spacing w:after="0" w:line="14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iSalus Healthcare’s mission is to partner with healthcare professionals and provide an affordable yet innovative electronic health record and practice management solutions that will increase their efficiency, so they can spend more time focusing on patient care while continuing to grow their practice and maximize profitability.</w:t>
      </w:r>
    </w:p>
    <w:p>
      <w:pPr>
        <w:spacing w:after="0" w:line="15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OptimizeRx services will operate seamlessly within iSalus’ EHR, and alert health care providers (HCPs) to potential prescription savings and support information for their patients.</w:t>
      </w:r>
    </w:p>
    <w:p>
      <w:pPr>
        <w:spacing w:after="0" w:line="13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“OptimizeRx integration within our EHR ePrescribe platform will offer our providers seamless integration of financial messages for their patients with no workflow interruption,” said Blake Head, VP of Product Development for iSalus. “That goes to the heart of our mission to provide improved workflow ease and convenience to improve patient care. Partnering with OptimizeRx also offers an incredibly valuable service to the patients our providers serve in making medications more affordable.”</w:t>
      </w:r>
    </w:p>
    <w:p>
      <w:pPr>
        <w:spacing w:after="0" w:line="14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OptimizeRx’s growing eRx network of more than 370 EHRs reaches over 500,000 HCPs in the U.S., making it the healthcare industry’s largest point-of-prescribe promotional network.</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welcome iSalus, a leader in the EHR healthcare industry, to our growing EHR network,” said OptimizeRx CEO, William Febbo. “We believe our service is an excellent fit with the iSalus mission statement of increasing provider’s efficiency through technology to enhance patient care. iSalus HCPs can now dramatically enhance their workflow experience with OptimizeRx’s suite of services which allow for access to patient financial assistance, education and assistance with prior authorization.”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iSalus Healthcare</w:t>
      </w:r>
    </w:p>
    <w:p>
      <w:pPr>
        <w:spacing w:after="0" w:line="27"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 xml:space="preserve">iSalus Healthcare helps providers stay in front of a fluid healthcare environment by being a proactive partner in both practice management </w:t>
      </w:r>
      <w:r>
        <w:rPr>
          <w:rFonts w:ascii="Arial" w:cs="Arial" w:eastAsia="Arial" w:hAnsi="Arial"/>
          <w:sz w:val="16"/>
          <w:szCs w:val="16"/>
          <w:i w:val="1"/>
          <w:iCs w:val="1"/>
          <w:color w:val="auto"/>
        </w:rPr>
        <w:t>and</w:t>
      </w:r>
      <w:r>
        <w:rPr>
          <w:rFonts w:ascii="Arial" w:cs="Arial" w:eastAsia="Arial" w:hAnsi="Arial"/>
          <w:sz w:val="16"/>
          <w:szCs w:val="16"/>
          <w:color w:val="auto"/>
        </w:rPr>
        <w:t xml:space="preserve"> the provision of quality care. Our technology goes much further than simply assisting with everyday tasks. It is a true all-in-one-solution that enables clinicians to manage, monitor and improve their patients from start to finish and beyond. iSalus offers everything from simple scheduling software and billing services, to an award-winning EHR, comprehensive patient portal, integrated telehealth module and a Chronic Care Management team that acts as an extension of your practice. Our mission is to make a difference in the health of your patients, the health of our nation and the way healthcare is provided around the world.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OptimizeRx® (OTCQB: OPRX) is the nation’s leading provider of digital health messaging via electronic health records (EHRs). The company’s cloud-based solution supports patient adherence to medications by providing convenient access to financial assistance, prior authorization, education, and critical clinical information. The solution is integrated within more than 370 independent EHR platforms, providing more than half a million healthcare providers access to these benefits within their e-prescribing workflow and at the point of care. The largest of its kind, the OptimizeRx EHR network helps improve patient care and outcomes by providing a direct channel for pharma companies to communicate with healthcare providers. For more information, follow the company on Twitter, LinkedIn or visit www.optimizerx.com.</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iSalus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Renae Rossow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iSalus Healthcare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(513) 600-3124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renaerossow@isalushealthcare.com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 for OptimizeRx:</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or Grant Stude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2019-12-29T04:57:54Z</dcterms:created>
  <dcterms:modified xsi:type="dcterms:W3CDTF">2019-12-29T04:57:54Z</dcterms:modified>
</cp:coreProperties>
</file>