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April 16, 2020</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OptimizeRx Corporation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4480" w:type="dxa"/>
            <w:vAlign w:val="bottom"/>
            <w:gridSpan w:val="3"/>
          </w:tcPr>
          <w:p>
            <w:pPr>
              <w:jc w:val="center"/>
              <w:ind w:right="860"/>
              <w:spacing w:after="0"/>
              <w:rPr>
                <w:sz w:val="20"/>
                <w:szCs w:val="20"/>
                <w:color w:val="auto"/>
              </w:rPr>
            </w:pPr>
            <w:r>
              <w:rPr>
                <w:rFonts w:ascii="Arial" w:cs="Arial" w:eastAsia="Arial" w:hAnsi="Arial"/>
                <w:sz w:val="18"/>
                <w:szCs w:val="18"/>
                <w:color w:val="auto"/>
                <w:w w:val="86"/>
              </w:rPr>
              <w:t>Nevada</w:t>
            </w:r>
          </w:p>
        </w:tc>
        <w:tc>
          <w:tcPr>
            <w:tcW w:w="2960" w:type="dxa"/>
            <w:vAlign w:val="bottom"/>
            <w:gridSpan w:val="3"/>
          </w:tcPr>
          <w:p>
            <w:pPr>
              <w:jc w:val="right"/>
              <w:ind w:right="1420"/>
              <w:spacing w:after="0"/>
              <w:rPr>
                <w:sz w:val="20"/>
                <w:szCs w:val="20"/>
                <w:color w:val="auto"/>
              </w:rPr>
            </w:pPr>
            <w:r>
              <w:rPr>
                <w:rFonts w:ascii="Arial" w:cs="Arial" w:eastAsia="Arial" w:hAnsi="Arial"/>
                <w:sz w:val="18"/>
                <w:szCs w:val="18"/>
                <w:color w:val="auto"/>
              </w:rPr>
              <w:t>000-53605</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26-1265381</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(State or other jurisdiction of</w:t>
            </w:r>
          </w:p>
        </w:tc>
        <w:tc>
          <w:tcPr>
            <w:tcW w:w="2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960" w:type="dxa"/>
            <w:vAlign w:val="bottom"/>
            <w:tcBorders>
              <w:top w:val="single" w:sz="8" w:color="auto"/>
            </w:tcBorders>
            <w:gridSpan w:val="3"/>
          </w:tcPr>
          <w:p>
            <w:pPr>
              <w:jc w:val="center"/>
              <w:ind w:right="640"/>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48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incorporation)</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3"/>
        </w:trPr>
        <w:tc>
          <w:tcPr>
            <w:tcW w:w="4480" w:type="dxa"/>
            <w:vAlign w:val="bottom"/>
            <w:tcBorders>
              <w:bottom w:val="single" w:sz="8" w:color="auto"/>
            </w:tcBorders>
            <w:gridSpan w:val="3"/>
          </w:tcPr>
          <w:p>
            <w:pPr>
              <w:jc w:val="center"/>
              <w:ind w:left="950"/>
              <w:spacing w:after="0"/>
              <w:rPr>
                <w:sz w:val="20"/>
                <w:szCs w:val="20"/>
                <w:color w:val="auto"/>
              </w:rPr>
            </w:pPr>
            <w:r>
              <w:rPr>
                <w:rFonts w:ascii="Arial" w:cs="Arial" w:eastAsia="Arial" w:hAnsi="Arial"/>
                <w:sz w:val="18"/>
                <w:szCs w:val="18"/>
                <w:color w:val="auto"/>
                <w:w w:val="89"/>
              </w:rPr>
              <w:t>400 Water Street, Suite 200, Rochester, MI</w:t>
            </w:r>
          </w:p>
        </w:tc>
        <w:tc>
          <w:tcPr>
            <w:tcW w:w="10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color w:val="auto"/>
              </w:rPr>
              <w:t>48307</w:t>
            </w:r>
          </w:p>
        </w:tc>
      </w:tr>
      <w:tr>
        <w:trPr>
          <w:trHeight w:val="230"/>
        </w:trPr>
        <w:tc>
          <w:tcPr>
            <w:tcW w:w="4480" w:type="dxa"/>
            <w:vAlign w:val="bottom"/>
            <w:gridSpan w:val="3"/>
          </w:tcPr>
          <w:p>
            <w:pPr>
              <w:jc w:val="center"/>
              <w:ind w:left="950"/>
              <w:spacing w:after="0"/>
              <w:rPr>
                <w:sz w:val="20"/>
                <w:szCs w:val="20"/>
                <w:color w:val="auto"/>
              </w:rPr>
            </w:pPr>
            <w:r>
              <w:rPr>
                <w:rFonts w:ascii="Arial" w:cs="Arial" w:eastAsia="Arial" w:hAnsi="Arial"/>
                <w:sz w:val="18"/>
                <w:szCs w:val="18"/>
                <w:color w:val="auto"/>
                <w:w w:val="92"/>
              </w:rPr>
              <w:t>(Address of principal executive offices)</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Arial" w:cs="Arial" w:eastAsia="Arial" w:hAnsi="Arial"/>
                <w:sz w:val="18"/>
                <w:szCs w:val="18"/>
                <w:color w:val="auto"/>
                <w:w w:val="91"/>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297815</wp:posOffset>
            </wp:positionV>
            <wp:extent cx="3566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52"/>
        </w:trPr>
        <w:tc>
          <w:tcPr>
            <w:tcW w:w="460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6"/>
              </w:rPr>
              <w:t>Title of each class</w:t>
            </w:r>
          </w:p>
        </w:tc>
        <w:tc>
          <w:tcPr>
            <w:tcW w:w="30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89"/>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Common Stock</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center"/>
              <w:ind w:right="670"/>
              <w:spacing w:after="0"/>
              <w:rPr>
                <w:sz w:val="20"/>
                <w:szCs w:val="20"/>
                <w:color w:val="auto"/>
              </w:rPr>
            </w:pPr>
            <w:r>
              <w:rPr>
                <w:rFonts w:ascii="Arial" w:cs="Arial" w:eastAsia="Arial" w:hAnsi="Arial"/>
                <w:sz w:val="18"/>
                <w:szCs w:val="18"/>
                <w:color w:val="auto"/>
                <w:w w:val="93"/>
              </w:rPr>
              <w:t>OPRX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16"/>
        </w:trPr>
        <w:tc>
          <w:tcPr>
            <w:tcW w:w="3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682"/>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April 16, 2020, we issued a press release announcing the details of our earnings conference call, to be held on Monday, May 4, 2020 at 4:30 p.m.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Eastern time.</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press release is furnished with this Current Report on Form 8-K as Exhibit 99.1. 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dated April 16, 2020</w:t>
        </w:r>
      </w:hyperlink>
    </w:p>
    <w:p>
      <w:pPr>
        <w:spacing w:after="0" w:line="326"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904" w:right="4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16, 2020</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226060</wp:posOffset>
            </wp:positionV>
            <wp:extent cx="2537460" cy="5918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3746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OptimizeRx Sets First Quarter 2020 Conference Call for</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Monday, May 4, 2020 at 4:30 p.m. ET</w:t>
      </w:r>
    </w:p>
    <w:p>
      <w:pPr>
        <w:spacing w:after="0" w:line="199"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ROCHESTER, Mich. – April 16, 2020 – </w:t>
      </w:r>
      <w:r>
        <w:rPr>
          <w:rFonts w:ascii="Arial" w:cs="Arial" w:eastAsia="Arial" w:hAnsi="Arial"/>
          <w:sz w:val="18"/>
          <w:szCs w:val="18"/>
          <w:color w:val="auto"/>
        </w:rPr>
        <w:t>OptimizeRx Corp. (Nasdaq: OPRX), a leading provider of digital health solutions for life science companies and</w:t>
      </w:r>
      <w:r>
        <w:rPr>
          <w:rFonts w:ascii="Arial" w:cs="Arial" w:eastAsia="Arial" w:hAnsi="Arial"/>
          <w:sz w:val="18"/>
          <w:szCs w:val="18"/>
          <w:b w:val="1"/>
          <w:bCs w:val="1"/>
          <w:color w:val="auto"/>
        </w:rPr>
        <w:t xml:space="preserve"> </w:t>
      </w:r>
      <w:r>
        <w:rPr>
          <w:rFonts w:ascii="Arial" w:cs="Arial" w:eastAsia="Arial" w:hAnsi="Arial"/>
          <w:sz w:val="18"/>
          <w:szCs w:val="18"/>
          <w:color w:val="auto"/>
        </w:rPr>
        <w:t>payers, will hold a conference call on Monday, May 4, 2020 at 4:30 p.m. Eastern time to discuss results for the first quarter ended March 31, 2020. The financial results will be issued in a press release prior to the call.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OptimizeRx management will host the call, followed by a question and answer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Monday May 4,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4:30 p.m. Eastern time (1:30 p.m. Pacific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dial-in number: 1-800-458-4148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1-323-794-2597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2817301</w:t>
      </w:r>
    </w:p>
    <w:p>
      <w:pPr>
        <w:spacing w:after="0" w:line="2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Please call the conference telephone number five minutes prior to the start time. An operator will register your name and organization. If you have any difficulty connecting with the conference call, please contact CMA at 1-949-432-7566.</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replay of the call will be available after 7:30 p.m. Eastern time on the same day through May 25, 2020, as well as available for replay via the Investors section of the OptimizeRx website at optimizerx.com/investors.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Toll-free replay number: 1-844-512-2921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replay number: 1-412-317-6671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Replay ID: 2817301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OptimizeRx® (NASDAQ: OPRX), a digital health company, connects pharmaceutical companies to patients and providers, offering greater affordability, adherence and brand awareness at the point-of-care. As the nation’s largest digital platform connecting life sciences to the point-of-care, OptimizeRx provides a direct channel for pharma companies, payers, medtech, and medical associations to communicate with healthcare providers right within their workflow and also directly to patients.</w:t>
      </w:r>
    </w:p>
    <w:p>
      <w:pPr>
        <w:spacing w:after="0" w:line="193"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The cloud-based solution supports patient adherence to medications and better healthcare outcomes with real-time access to financial assistance, prior authorization, education and critical clinical information. OptimizeRx provides more than half of the ambulatory patient market with access to these benefits through leading EHR platforms like Allscripts, Amazing Charts and Quest, and directly via its mobile communications platform and digital therapeutics SaaS platform.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79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2020-04-16T10:19:41Z</dcterms:created>
  <dcterms:modified xsi:type="dcterms:W3CDTF">2020-04-16T10:19:41Z</dcterms:modified>
</cp:coreProperties>
</file>