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102235</wp:posOffset>
            </wp:positionV>
            <wp:extent cx="364871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86360</wp:posOffset>
            </wp:positionV>
            <wp:extent cx="364871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83820</wp:posOffset>
            </wp:positionV>
            <wp:extent cx="364871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86360</wp:posOffset>
            </wp:positionV>
            <wp:extent cx="364871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4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Rule 13d-1(b)</w:t>
      </w:r>
    </w:p>
    <w:p>
      <w:pPr>
        <w:spacing w:after="0" w:line="2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x </w:t>
      </w:r>
      <w:r>
        <w:rPr>
          <w:rFonts w:ascii="Times New Roman" w:cs="Times New Roman" w:eastAsia="Times New Roman" w:hAnsi="Times New Roman"/>
          <w:sz w:val="18"/>
          <w:szCs w:val="18"/>
          <w:color w:val="auto"/>
        </w:rPr>
        <w:t>Rule 13d-1(c)</w:t>
      </w:r>
    </w:p>
    <w:p>
      <w:pPr>
        <w:ind w:left="51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20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29"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5454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220" w:hanging="623"/>
        <w:spacing w:after="0" w:line="313"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Wolverine Flagship Fund Trading Limited</w:t>
      </w:r>
    </w:p>
    <w:p>
      <w:pPr>
        <w:spacing w:after="0" w:line="138"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4</w:t>
            </w:r>
          </w:p>
        </w:tc>
        <w:tc>
          <w:tcPr>
            <w:tcW w:w="460" w:type="dxa"/>
            <w:vAlign w:val="bottom"/>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300" w:type="dxa"/>
            <w:vAlign w:val="bottom"/>
            <w:tcBorders>
              <w:right w:val="single" w:sz="8" w:color="auto"/>
            </w:tcBorders>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1640" w:type="dxa"/>
            <w:vAlign w:val="bottom"/>
            <w:tcBorders>
              <w:right w:val="single" w:sz="8" w:color="auto"/>
            </w:tcBorders>
            <w:gridSpan w:val="2"/>
          </w:tcPr>
          <w:p>
            <w:pPr>
              <w:jc w:val="center"/>
              <w:ind w:right="550"/>
              <w:spacing w:after="0" w:line="181" w:lineRule="exact"/>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550"/>
              <w:spacing w:after="0"/>
              <w:rPr>
                <w:sz w:val="20"/>
                <w:szCs w:val="20"/>
                <w:color w:val="auto"/>
              </w:rPr>
            </w:pPr>
            <w:r>
              <w:rPr>
                <w:rFonts w:ascii="Times New Roman" w:cs="Times New Roman" w:eastAsia="Times New Roman" w:hAnsi="Times New Roman"/>
                <w:sz w:val="18"/>
                <w:szCs w:val="18"/>
                <w:color w:val="auto"/>
              </w:rPr>
              <w:t>OWNED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570"/>
              <w:spacing w:after="0" w:line="189" w:lineRule="exact"/>
              <w:rPr>
                <w:sz w:val="20"/>
                <w:szCs w:val="20"/>
                <w:color w:val="auto"/>
              </w:rPr>
            </w:pPr>
            <w:r>
              <w:rPr>
                <w:rFonts w:ascii="Times New Roman" w:cs="Times New Roman" w:eastAsia="Times New Roman" w:hAnsi="Times New Roman"/>
                <w:sz w:val="18"/>
                <w:szCs w:val="18"/>
                <w:color w:val="auto"/>
                <w:w w:val="99"/>
              </w:rPr>
              <w:t>BY EACH</w:t>
            </w:r>
          </w:p>
        </w:tc>
        <w:tc>
          <w:tcPr>
            <w:tcW w:w="300" w:type="dxa"/>
            <w:vAlign w:val="bottom"/>
          </w:tcPr>
          <w:p>
            <w:pPr>
              <w:spacing w:after="0"/>
              <w:rPr>
                <w:sz w:val="16"/>
                <w:szCs w:val="16"/>
                <w:color w:val="auto"/>
              </w:rPr>
            </w:pPr>
          </w:p>
        </w:tc>
        <w:tc>
          <w:tcPr>
            <w:tcW w:w="840" w:type="dxa"/>
            <w:vAlign w:val="bottom"/>
            <w:tcBorders>
              <w:right w:val="single" w:sz="8" w:color="auto"/>
            </w:tcBorders>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660" w:type="dxa"/>
            <w:vAlign w:val="bottom"/>
          </w:tcPr>
          <w:p>
            <w:pPr>
              <w:spacing w:after="0"/>
              <w:rPr>
                <w:sz w:val="8"/>
                <w:szCs w:val="8"/>
                <w:color w:val="auto"/>
              </w:rPr>
            </w:pPr>
          </w:p>
        </w:tc>
        <w:tc>
          <w:tcPr>
            <w:tcW w:w="1640" w:type="dxa"/>
            <w:vAlign w:val="bottom"/>
            <w:tcBorders>
              <w:right w:val="single" w:sz="8" w:color="auto"/>
            </w:tcBorders>
            <w:gridSpan w:val="2"/>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7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60" w:type="dxa"/>
            <w:vAlign w:val="bottom"/>
          </w:tcPr>
          <w:p>
            <w:pPr>
              <w:spacing w:after="0"/>
              <w:rPr>
                <w:sz w:val="8"/>
                <w:szCs w:val="8"/>
                <w:color w:val="auto"/>
              </w:rPr>
            </w:pPr>
          </w:p>
        </w:tc>
        <w:tc>
          <w:tcPr>
            <w:tcW w:w="1640" w:type="dxa"/>
            <w:vAlign w:val="bottom"/>
            <w:tcBorders>
              <w:right w:val="single" w:sz="8" w:color="auto"/>
            </w:tcBorders>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1640" w:type="dxa"/>
            <w:vAlign w:val="bottom"/>
            <w:tcBorders>
              <w:right w:val="single" w:sz="8" w:color="auto"/>
            </w:tcBorders>
            <w:gridSpan w:val="2"/>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gridSpan w:val="2"/>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9</w:t>
            </w:r>
          </w:p>
        </w:tc>
        <w:tc>
          <w:tcPr>
            <w:tcW w:w="460" w:type="dxa"/>
            <w:vAlign w:val="bottom"/>
            <w:tcBorders>
              <w:right w:val="single" w:sz="8" w:color="auto"/>
            </w:tcBorders>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10</w:t>
            </w:r>
          </w:p>
        </w:tc>
        <w:tc>
          <w:tcPr>
            <w:tcW w:w="460" w:type="dxa"/>
            <w:vAlign w:val="bottom"/>
            <w:tcBorders>
              <w:right w:val="single" w:sz="8" w:color="auto"/>
            </w:tcBorders>
          </w:tcPr>
          <w:p>
            <w:pPr>
              <w:spacing w:after="0"/>
              <w:rPr>
                <w:sz w:val="21"/>
                <w:szCs w:val="21"/>
                <w:color w:val="auto"/>
              </w:rPr>
            </w:pPr>
          </w:p>
        </w:tc>
        <w:tc>
          <w:tcPr>
            <w:tcW w:w="10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o</w:t>
            </w: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11</w:t>
            </w:r>
          </w:p>
        </w:tc>
        <w:tc>
          <w:tcPr>
            <w:tcW w:w="460" w:type="dxa"/>
            <w:vAlign w:val="bottom"/>
            <w:tcBorders>
              <w:right w:val="single" w:sz="8" w:color="auto"/>
            </w:tcBorders>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w:t>
            </w:r>
          </w:p>
        </w:tc>
        <w:tc>
          <w:tcPr>
            <w:tcW w:w="460" w:type="dxa"/>
            <w:vAlign w:val="bottom"/>
            <w:tcBorders>
              <w:right w:val="single" w:sz="8" w:color="auto"/>
            </w:tcBorders>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5454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jc w:val="both"/>
        <w:ind w:left="1140" w:right="7680" w:hanging="623"/>
        <w:spacing w:after="0" w:line="31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Wolverine Asset Management, LLC</w:t>
      </w:r>
    </w:p>
    <w:p>
      <w:pPr>
        <w:spacing w:after="0" w:line="138"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272" w:lineRule="exact"/>
        <w:rPr>
          <w:sz w:val="20"/>
          <w:szCs w:val="20"/>
          <w:color w:val="auto"/>
        </w:rPr>
      </w:pPr>
    </w:p>
    <w:p>
      <w:pPr>
        <w:ind w:left="1140" w:hanging="62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1140" w:right="6600" w:hanging="62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Illinois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300" w:type="dxa"/>
            <w:vAlign w:val="bottom"/>
            <w:tcBorders>
              <w:right w:val="single" w:sz="8" w:color="auto"/>
            </w:tcBorders>
            <w:gridSpan w:val="2"/>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300" w:type="dxa"/>
            <w:vAlign w:val="bottom"/>
            <w:tcBorders>
              <w:right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tcBorders>
              <w:right w:val="single" w:sz="8" w:color="auto"/>
            </w:tcBorders>
          </w:tcPr>
          <w:p>
            <w:pPr>
              <w:spacing w:after="0"/>
              <w:rPr>
                <w:sz w:val="21"/>
                <w:szCs w:val="21"/>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228"/>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1140" w:type="dxa"/>
            <w:vAlign w:val="bottom"/>
            <w:tcBorders>
              <w:bottom w:val="single" w:sz="8" w:color="auto"/>
              <w:right w:val="single" w:sz="8" w:color="auto"/>
            </w:tcBorders>
          </w:tcPr>
          <w:p>
            <w:pPr>
              <w:spacing w:after="0"/>
              <w:rPr>
                <w:sz w:val="8"/>
                <w:szCs w:val="8"/>
                <w:color w:val="auto"/>
              </w:rPr>
            </w:pPr>
          </w:p>
        </w:tc>
        <w:tc>
          <w:tcPr>
            <w:tcW w:w="7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300" w:type="dxa"/>
            <w:vAlign w:val="bottom"/>
            <w:tcBorders>
              <w:right w:val="single" w:sz="8" w:color="auto"/>
            </w:tcBorders>
            <w:gridSpan w:val="2"/>
            <w:vMerge w:val="continue"/>
          </w:tcPr>
          <w:p>
            <w:pPr>
              <w:spacing w:after="0"/>
              <w:rPr>
                <w:sz w:val="8"/>
                <w:szCs w:val="8"/>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right="3720" w:hanging="62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2,237,800</w:t>
      </w:r>
    </w:p>
    <w:p>
      <w:pPr>
        <w:spacing w:after="0" w:line="243" w:lineRule="exact"/>
        <w:rPr>
          <w:sz w:val="20"/>
          <w:szCs w:val="20"/>
          <w:color w:val="auto"/>
        </w:rPr>
      </w:pPr>
    </w:p>
    <w:p>
      <w:pPr>
        <w:ind w:left="1140" w:hanging="668"/>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o</w:t>
      </w:r>
    </w:p>
    <w:p>
      <w:pPr>
        <w:spacing w:after="0" w:line="306" w:lineRule="exact"/>
        <w:rPr>
          <w:rFonts w:ascii="Times New Roman" w:cs="Times New Roman" w:eastAsia="Times New Roman" w:hAnsi="Times New Roman"/>
          <w:sz w:val="18"/>
          <w:szCs w:val="18"/>
          <w:color w:val="auto"/>
        </w:rPr>
      </w:pPr>
    </w:p>
    <w:p>
      <w:pPr>
        <w:ind w:left="1140" w:right="5220" w:hanging="665"/>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9.6%</w:t>
      </w:r>
    </w:p>
    <w:p>
      <w:pPr>
        <w:spacing w:after="0" w:line="242" w:lineRule="exact"/>
        <w:rPr>
          <w:rFonts w:ascii="Times New Roman" w:cs="Times New Roman" w:eastAsia="Times New Roman" w:hAnsi="Times New Roman"/>
          <w:sz w:val="18"/>
          <w:szCs w:val="18"/>
          <w:color w:val="auto"/>
        </w:rPr>
      </w:pPr>
    </w:p>
    <w:p>
      <w:pPr>
        <w:ind w:left="1140" w:right="7780" w:hanging="668"/>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5454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313" w:lineRule="auto"/>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Wolverine Holdings, L.P.</w:t>
      </w:r>
    </w:p>
    <w:p>
      <w:pPr>
        <w:spacing w:after="0" w:line="138"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272" w:lineRule="exact"/>
        <w:rPr>
          <w:sz w:val="20"/>
          <w:szCs w:val="20"/>
          <w:color w:val="auto"/>
        </w:rPr>
      </w:pPr>
    </w:p>
    <w:p>
      <w:pPr>
        <w:ind w:left="1140" w:hanging="62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1140" w:right="6600" w:hanging="62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Illinois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300" w:type="dxa"/>
            <w:vAlign w:val="bottom"/>
            <w:tcBorders>
              <w:right w:val="single" w:sz="8" w:color="auto"/>
            </w:tcBorders>
            <w:gridSpan w:val="2"/>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300" w:type="dxa"/>
            <w:vAlign w:val="bottom"/>
            <w:tcBorders>
              <w:right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tcBorders>
              <w:right w:val="single" w:sz="8" w:color="auto"/>
            </w:tcBorders>
          </w:tcPr>
          <w:p>
            <w:pPr>
              <w:spacing w:after="0"/>
              <w:rPr>
                <w:sz w:val="21"/>
                <w:szCs w:val="21"/>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228"/>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1140" w:type="dxa"/>
            <w:vAlign w:val="bottom"/>
            <w:tcBorders>
              <w:bottom w:val="single" w:sz="8" w:color="auto"/>
              <w:right w:val="single" w:sz="8" w:color="auto"/>
            </w:tcBorders>
          </w:tcPr>
          <w:p>
            <w:pPr>
              <w:spacing w:after="0"/>
              <w:rPr>
                <w:sz w:val="8"/>
                <w:szCs w:val="8"/>
                <w:color w:val="auto"/>
              </w:rPr>
            </w:pPr>
          </w:p>
        </w:tc>
        <w:tc>
          <w:tcPr>
            <w:tcW w:w="7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300" w:type="dxa"/>
            <w:vAlign w:val="bottom"/>
            <w:tcBorders>
              <w:right w:val="single" w:sz="8" w:color="auto"/>
            </w:tcBorders>
            <w:gridSpan w:val="2"/>
            <w:vMerge w:val="continue"/>
          </w:tcPr>
          <w:p>
            <w:pPr>
              <w:spacing w:after="0"/>
              <w:rPr>
                <w:sz w:val="8"/>
                <w:szCs w:val="8"/>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right="3720" w:hanging="62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2,237,800</w:t>
      </w:r>
    </w:p>
    <w:p>
      <w:pPr>
        <w:spacing w:after="0" w:line="243" w:lineRule="exact"/>
        <w:rPr>
          <w:sz w:val="20"/>
          <w:szCs w:val="20"/>
          <w:color w:val="auto"/>
        </w:rPr>
      </w:pPr>
    </w:p>
    <w:p>
      <w:pPr>
        <w:ind w:left="1140" w:hanging="66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o</w:t>
      </w:r>
    </w:p>
    <w:p>
      <w:pPr>
        <w:spacing w:after="0" w:line="306" w:lineRule="exact"/>
        <w:rPr>
          <w:rFonts w:ascii="Times New Roman" w:cs="Times New Roman" w:eastAsia="Times New Roman" w:hAnsi="Times New Roman"/>
          <w:sz w:val="18"/>
          <w:szCs w:val="18"/>
          <w:color w:val="auto"/>
        </w:rPr>
      </w:pPr>
    </w:p>
    <w:p>
      <w:pPr>
        <w:ind w:left="1140" w:right="5220" w:hanging="665"/>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9.6%</w:t>
      </w:r>
    </w:p>
    <w:p>
      <w:pPr>
        <w:spacing w:after="0" w:line="242" w:lineRule="exact"/>
        <w:rPr>
          <w:rFonts w:ascii="Times New Roman" w:cs="Times New Roman" w:eastAsia="Times New Roman" w:hAnsi="Times New Roman"/>
          <w:sz w:val="18"/>
          <w:szCs w:val="18"/>
          <w:color w:val="auto"/>
        </w:rPr>
      </w:pPr>
    </w:p>
    <w:p>
      <w:pPr>
        <w:ind w:left="1140" w:right="7780" w:hanging="668"/>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545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313"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Wolverine Trading Partners, Inc.</w:t>
      </w:r>
    </w:p>
    <w:p>
      <w:pPr>
        <w:spacing w:after="0" w:line="138"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272" w:lineRule="exact"/>
        <w:rPr>
          <w:sz w:val="20"/>
          <w:szCs w:val="20"/>
          <w:color w:val="auto"/>
        </w:rPr>
      </w:pPr>
    </w:p>
    <w:p>
      <w:pPr>
        <w:ind w:left="1140" w:hanging="6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1140" w:right="6600" w:hanging="62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Illinois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300" w:type="dxa"/>
            <w:vAlign w:val="bottom"/>
            <w:tcBorders>
              <w:right w:val="single" w:sz="8" w:color="auto"/>
            </w:tcBorders>
            <w:gridSpan w:val="2"/>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300" w:type="dxa"/>
            <w:vAlign w:val="bottom"/>
            <w:tcBorders>
              <w:right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tcBorders>
              <w:right w:val="single" w:sz="8" w:color="auto"/>
            </w:tcBorders>
          </w:tcPr>
          <w:p>
            <w:pPr>
              <w:spacing w:after="0"/>
              <w:rPr>
                <w:sz w:val="21"/>
                <w:szCs w:val="21"/>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228"/>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1140" w:type="dxa"/>
            <w:vAlign w:val="bottom"/>
            <w:tcBorders>
              <w:bottom w:val="single" w:sz="8" w:color="auto"/>
              <w:right w:val="single" w:sz="8" w:color="auto"/>
            </w:tcBorders>
          </w:tcPr>
          <w:p>
            <w:pPr>
              <w:spacing w:after="0"/>
              <w:rPr>
                <w:sz w:val="8"/>
                <w:szCs w:val="8"/>
                <w:color w:val="auto"/>
              </w:rPr>
            </w:pPr>
          </w:p>
        </w:tc>
        <w:tc>
          <w:tcPr>
            <w:tcW w:w="7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300" w:type="dxa"/>
            <w:vAlign w:val="bottom"/>
            <w:tcBorders>
              <w:right w:val="single" w:sz="8" w:color="auto"/>
            </w:tcBorders>
            <w:gridSpan w:val="2"/>
            <w:vMerge w:val="continue"/>
          </w:tcPr>
          <w:p>
            <w:pPr>
              <w:spacing w:after="0"/>
              <w:rPr>
                <w:sz w:val="8"/>
                <w:szCs w:val="8"/>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right="3720" w:hanging="62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2,237,800</w:t>
      </w:r>
    </w:p>
    <w:p>
      <w:pPr>
        <w:spacing w:after="0" w:line="243" w:lineRule="exact"/>
        <w:rPr>
          <w:sz w:val="20"/>
          <w:szCs w:val="20"/>
          <w:color w:val="auto"/>
        </w:rPr>
      </w:pPr>
    </w:p>
    <w:p>
      <w:pPr>
        <w:ind w:left="1140" w:hanging="66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o</w:t>
      </w:r>
    </w:p>
    <w:p>
      <w:pPr>
        <w:spacing w:after="0" w:line="306" w:lineRule="exact"/>
        <w:rPr>
          <w:rFonts w:ascii="Times New Roman" w:cs="Times New Roman" w:eastAsia="Times New Roman" w:hAnsi="Times New Roman"/>
          <w:sz w:val="18"/>
          <w:szCs w:val="18"/>
          <w:color w:val="auto"/>
        </w:rPr>
      </w:pPr>
    </w:p>
    <w:p>
      <w:pPr>
        <w:ind w:left="1140" w:right="5220" w:hanging="665"/>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9.6%</w:t>
      </w:r>
    </w:p>
    <w:p>
      <w:pPr>
        <w:spacing w:after="0" w:line="242" w:lineRule="exact"/>
        <w:rPr>
          <w:rFonts w:ascii="Times New Roman" w:cs="Times New Roman" w:eastAsia="Times New Roman" w:hAnsi="Times New Roman"/>
          <w:sz w:val="18"/>
          <w:szCs w:val="18"/>
          <w:color w:val="auto"/>
        </w:rPr>
      </w:pPr>
    </w:p>
    <w:p>
      <w:pPr>
        <w:ind w:left="1140" w:right="7780" w:hanging="668"/>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5462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Christopher L. Gust</w:t>
      </w:r>
    </w:p>
    <w:p>
      <w:pPr>
        <w:spacing w:after="0" w:line="16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272" w:lineRule="exact"/>
        <w:rPr>
          <w:sz w:val="20"/>
          <w:szCs w:val="20"/>
          <w:color w:val="auto"/>
        </w:rPr>
      </w:pPr>
    </w:p>
    <w:p>
      <w:pPr>
        <w:ind w:left="1140" w:hanging="62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1140" w:right="6600" w:hanging="62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60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178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9"/>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780" w:type="dxa"/>
            <w:vAlign w:val="bottom"/>
            <w:tcBorders>
              <w:right w:val="single" w:sz="8" w:color="auto"/>
            </w:tcBorders>
            <w:gridSpan w:val="3"/>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780" w:type="dxa"/>
            <w:vAlign w:val="bottom"/>
            <w:tcBorders>
              <w:right w:val="single" w:sz="8" w:color="auto"/>
            </w:tcBorders>
            <w:gridSpan w:val="3"/>
          </w:tcPr>
          <w:p>
            <w:pPr>
              <w:jc w:val="center"/>
              <w:ind w:right="500"/>
              <w:spacing w:after="0" w:line="181" w:lineRule="exact"/>
              <w:rPr>
                <w:sz w:val="20"/>
                <w:szCs w:val="20"/>
                <w:color w:val="auto"/>
              </w:rPr>
            </w:pPr>
            <w:r>
              <w:rPr>
                <w:rFonts w:ascii="Times New Roman" w:cs="Times New Roman" w:eastAsia="Times New Roman" w:hAnsi="Times New Roman"/>
                <w:sz w:val="18"/>
                <w:szCs w:val="18"/>
                <w:color w:val="auto"/>
                <w:w w:val="98"/>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78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tcBorders>
              <w:right w:val="single" w:sz="8" w:color="auto"/>
            </w:tcBorders>
          </w:tcPr>
          <w:p>
            <w:pPr>
              <w:spacing w:after="0"/>
              <w:rPr>
                <w:sz w:val="21"/>
                <w:szCs w:val="21"/>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228"/>
        </w:trPr>
        <w:tc>
          <w:tcPr>
            <w:tcW w:w="178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80" w:type="dxa"/>
            <w:vAlign w:val="bottom"/>
            <w:tcBorders>
              <w:right w:val="single" w:sz="8" w:color="auto"/>
            </w:tcBorders>
            <w:gridSpan w:val="3"/>
          </w:tcPr>
          <w:p>
            <w:pPr>
              <w:jc w:val="center"/>
              <w:ind w:right="520"/>
              <w:spacing w:after="0" w:line="189" w:lineRule="exact"/>
              <w:rPr>
                <w:sz w:val="20"/>
                <w:szCs w:val="20"/>
                <w:color w:val="auto"/>
              </w:rPr>
            </w:pPr>
            <w:r>
              <w:rPr>
                <w:rFonts w:ascii="Times New Roman" w:cs="Times New Roman" w:eastAsia="Times New Roman" w:hAnsi="Times New Roman"/>
                <w:sz w:val="18"/>
                <w:szCs w:val="18"/>
                <w:color w:val="auto"/>
                <w:w w:val="99"/>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78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78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PERSON</w:t>
            </w:r>
          </w:p>
        </w:tc>
        <w:tc>
          <w:tcPr>
            <w:tcW w:w="1140" w:type="dxa"/>
            <w:vAlign w:val="bottom"/>
            <w:tcBorders>
              <w:bottom w:val="single" w:sz="8" w:color="auto"/>
              <w:right w:val="single" w:sz="8" w:color="auto"/>
            </w:tcBorders>
          </w:tcPr>
          <w:p>
            <w:pPr>
              <w:spacing w:after="0"/>
              <w:rPr>
                <w:sz w:val="8"/>
                <w:szCs w:val="8"/>
                <w:color w:val="auto"/>
              </w:rPr>
            </w:pPr>
          </w:p>
        </w:tc>
        <w:tc>
          <w:tcPr>
            <w:tcW w:w="7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80" w:type="dxa"/>
            <w:vAlign w:val="bottom"/>
            <w:tcBorders>
              <w:right w:val="single" w:sz="8" w:color="auto"/>
            </w:tcBorders>
            <w:gridSpan w:val="3"/>
            <w:vMerge w:val="continue"/>
          </w:tcPr>
          <w:p>
            <w:pPr>
              <w:spacing w:after="0"/>
              <w:rPr>
                <w:sz w:val="8"/>
                <w:szCs w:val="8"/>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78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80" w:type="dxa"/>
            <w:vAlign w:val="bottom"/>
            <w:tcBorders>
              <w:right w:val="single" w:sz="8" w:color="auto"/>
            </w:tcBorders>
            <w:gridSpan w:val="3"/>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80" w:right="3680" w:hanging="643"/>
        <w:spacing w:after="0" w:line="282"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2,237,800</w:t>
      </w:r>
    </w:p>
    <w:p>
      <w:pPr>
        <w:spacing w:after="0" w:line="238" w:lineRule="exact"/>
        <w:rPr>
          <w:sz w:val="20"/>
          <w:szCs w:val="20"/>
          <w:color w:val="auto"/>
        </w:rPr>
      </w:pPr>
    </w:p>
    <w:p>
      <w:pPr>
        <w:ind w:left="1180" w:hanging="68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Times New Roman" w:cs="Times New Roman" w:eastAsia="Times New Roman" w:hAnsi="Times New Roman"/>
          <w:sz w:val="19"/>
          <w:szCs w:val="19"/>
          <w:color w:val="auto"/>
        </w:rPr>
        <w:t>o</w:t>
      </w:r>
    </w:p>
    <w:p>
      <w:pPr>
        <w:spacing w:after="0" w:line="312" w:lineRule="exact"/>
        <w:rPr>
          <w:rFonts w:ascii="Times New Roman" w:cs="Times New Roman" w:eastAsia="Times New Roman" w:hAnsi="Times New Roman"/>
          <w:sz w:val="18"/>
          <w:szCs w:val="18"/>
          <w:color w:val="auto"/>
        </w:rPr>
      </w:pPr>
    </w:p>
    <w:p>
      <w:pPr>
        <w:ind w:left="1180" w:right="5180" w:hanging="685"/>
        <w:spacing w:after="0" w:line="282"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9.6%</w:t>
      </w:r>
    </w:p>
    <w:p>
      <w:pPr>
        <w:spacing w:after="0" w:line="242" w:lineRule="exact"/>
        <w:rPr>
          <w:rFonts w:ascii="Times New Roman" w:cs="Times New Roman" w:eastAsia="Times New Roman" w:hAnsi="Times New Roman"/>
          <w:sz w:val="18"/>
          <w:szCs w:val="18"/>
          <w:color w:val="auto"/>
        </w:rPr>
      </w:pPr>
    </w:p>
    <w:p>
      <w:pPr>
        <w:ind w:left="1180" w:right="7740" w:hanging="688"/>
        <w:spacing w:after="0" w:line="282"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5454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Robert R. Bellick</w:t>
      </w:r>
    </w:p>
    <w:p>
      <w:pPr>
        <w:spacing w:after="0" w:line="16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5"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t>
      </w:r>
    </w:p>
    <w:p>
      <w:pPr>
        <w:spacing w:after="0" w:line="272" w:lineRule="exact"/>
        <w:rPr>
          <w:sz w:val="20"/>
          <w:szCs w:val="20"/>
          <w:color w:val="auto"/>
        </w:rPr>
      </w:pPr>
    </w:p>
    <w:p>
      <w:pPr>
        <w:ind w:left="1140" w:hanging="62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p>
      <w:pPr>
        <w:ind w:left="1140" w:right="6600" w:hanging="62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220" w:type="dxa"/>
            <w:vAlign w:val="bottom"/>
            <w:tcBorders>
              <w:top w:val="single" w:sz="8" w:color="auto"/>
              <w:right w:val="single" w:sz="8" w:color="auto"/>
            </w:tcBorders>
          </w:tcPr>
          <w:p>
            <w:pPr>
              <w:spacing w:after="0"/>
              <w:rPr>
                <w:sz w:val="23"/>
                <w:szCs w:val="23"/>
                <w:color w:val="auto"/>
              </w:rPr>
            </w:pPr>
          </w:p>
        </w:tc>
        <w:tc>
          <w:tcPr>
            <w:tcW w:w="110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0"/>
        </w:trPr>
        <w:tc>
          <w:tcPr>
            <w:tcW w:w="23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340" w:type="dxa"/>
            <w:vAlign w:val="bottom"/>
            <w:tcBorders>
              <w:right w:val="single" w:sz="8" w:color="auto"/>
            </w:tcBorders>
            <w:gridSpan w:val="2"/>
            <w:vMerge w:val="continue"/>
          </w:tcPr>
          <w:p>
            <w:pPr>
              <w:spacing w:after="0"/>
              <w:rPr>
                <w:sz w:val="4"/>
                <w:szCs w:val="4"/>
                <w:color w:val="auto"/>
              </w:rPr>
            </w:pPr>
          </w:p>
        </w:tc>
        <w:tc>
          <w:tcPr>
            <w:tcW w:w="1100" w:type="dxa"/>
            <w:vAlign w:val="bottom"/>
            <w:tcBorders>
              <w:right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340" w:type="dxa"/>
            <w:vAlign w:val="bottom"/>
            <w:tcBorders>
              <w:right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10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100" w:type="dxa"/>
            <w:vAlign w:val="bottom"/>
            <w:tcBorders>
              <w:right w:val="single" w:sz="8" w:color="auto"/>
            </w:tcBorders>
          </w:tcPr>
          <w:p>
            <w:pPr>
              <w:spacing w:after="0"/>
              <w:rPr>
                <w:sz w:val="21"/>
                <w:szCs w:val="21"/>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228"/>
        </w:trPr>
        <w:tc>
          <w:tcPr>
            <w:tcW w:w="2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OWNED</w:t>
            </w:r>
          </w:p>
        </w:tc>
        <w:tc>
          <w:tcPr>
            <w:tcW w:w="110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4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BY EACH</w:t>
            </w:r>
          </w:p>
        </w:tc>
        <w:tc>
          <w:tcPr>
            <w:tcW w:w="1100" w:type="dxa"/>
            <w:vAlign w:val="bottom"/>
            <w:tcBorders>
              <w:right w:val="single" w:sz="8" w:color="auto"/>
            </w:tcBorders>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9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23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REPORTING</w:t>
            </w:r>
          </w:p>
        </w:tc>
        <w:tc>
          <w:tcPr>
            <w:tcW w:w="110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3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1100" w:type="dxa"/>
            <w:vAlign w:val="bottom"/>
            <w:tcBorders>
              <w:bottom w:val="single" w:sz="8" w:color="auto"/>
              <w:right w:val="single" w:sz="8" w:color="auto"/>
            </w:tcBorders>
          </w:tcPr>
          <w:p>
            <w:pPr>
              <w:spacing w:after="0"/>
              <w:rPr>
                <w:sz w:val="8"/>
                <w:szCs w:val="8"/>
                <w:color w:val="auto"/>
              </w:rPr>
            </w:pPr>
          </w:p>
        </w:tc>
        <w:tc>
          <w:tcPr>
            <w:tcW w:w="7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340" w:type="dxa"/>
            <w:vAlign w:val="bottom"/>
            <w:tcBorders>
              <w:right w:val="single" w:sz="8" w:color="auto"/>
            </w:tcBorders>
            <w:gridSpan w:val="2"/>
            <w:vMerge w:val="continue"/>
          </w:tcPr>
          <w:p>
            <w:pPr>
              <w:spacing w:after="0"/>
              <w:rPr>
                <w:sz w:val="8"/>
                <w:szCs w:val="8"/>
                <w:color w:val="auto"/>
              </w:rPr>
            </w:pPr>
          </w:p>
        </w:tc>
        <w:tc>
          <w:tcPr>
            <w:tcW w:w="1100" w:type="dxa"/>
            <w:vAlign w:val="bottom"/>
            <w:tcBorders>
              <w:right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110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40" w:type="dxa"/>
            <w:vAlign w:val="bottom"/>
            <w:tcBorders>
              <w:right w:val="single" w:sz="8" w:color="auto"/>
            </w:tcBorders>
            <w:gridSpan w:val="2"/>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2,237,800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right="3720" w:hanging="62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2,237,800</w:t>
      </w:r>
    </w:p>
    <w:p>
      <w:pPr>
        <w:spacing w:after="0" w:line="243" w:lineRule="exact"/>
        <w:rPr>
          <w:sz w:val="20"/>
          <w:szCs w:val="20"/>
          <w:color w:val="auto"/>
        </w:rPr>
      </w:pPr>
    </w:p>
    <w:p>
      <w:pPr>
        <w:ind w:left="1140" w:hanging="668"/>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o</w:t>
      </w:r>
    </w:p>
    <w:p>
      <w:pPr>
        <w:spacing w:after="0" w:line="306" w:lineRule="exact"/>
        <w:rPr>
          <w:rFonts w:ascii="Times New Roman" w:cs="Times New Roman" w:eastAsia="Times New Roman" w:hAnsi="Times New Roman"/>
          <w:sz w:val="18"/>
          <w:szCs w:val="18"/>
          <w:color w:val="auto"/>
        </w:rPr>
      </w:pPr>
    </w:p>
    <w:p>
      <w:pPr>
        <w:ind w:left="1140" w:right="5220" w:hanging="665"/>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9.6%</w:t>
      </w:r>
    </w:p>
    <w:p>
      <w:pPr>
        <w:spacing w:after="0" w:line="242" w:lineRule="exact"/>
        <w:rPr>
          <w:rFonts w:ascii="Times New Roman" w:cs="Times New Roman" w:eastAsia="Times New Roman" w:hAnsi="Times New Roman"/>
          <w:sz w:val="18"/>
          <w:szCs w:val="18"/>
          <w:color w:val="auto"/>
        </w:rPr>
      </w:pPr>
    </w:p>
    <w:p>
      <w:pPr>
        <w:ind w:left="1140" w:right="7780" w:hanging="668"/>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8"/>
          <w:szCs w:val="18"/>
          <w:b w:val="1"/>
          <w:bCs w:val="1"/>
          <w:color w:val="333333"/>
        </w:rPr>
        <w:t>68401U105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59"/>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OptimizeRx Corporation</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41"/>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400 Water Street, Suite 200</w:t>
            </w:r>
          </w:p>
        </w:tc>
      </w:tr>
      <w:tr>
        <w:trPr>
          <w:trHeight w:val="234"/>
        </w:trPr>
        <w:tc>
          <w:tcPr>
            <w:tcW w:w="1100" w:type="dxa"/>
            <w:vAlign w:val="bottom"/>
          </w:tcPr>
          <w:p>
            <w:pPr>
              <w:spacing w:after="0"/>
              <w:rPr>
                <w:sz w:val="20"/>
                <w:szCs w:val="20"/>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Rochester, MI 48307</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41"/>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Flagship Fund Trading Limited</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Asset Management, LLC</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Holdings, L.P.</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Trading Partners, Inc.</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Christopher L. Gust</w:t>
            </w:r>
          </w:p>
        </w:tc>
      </w:tr>
      <w:tr>
        <w:trPr>
          <w:trHeight w:val="234"/>
        </w:trPr>
        <w:tc>
          <w:tcPr>
            <w:tcW w:w="1100" w:type="dxa"/>
            <w:vAlign w:val="bottom"/>
          </w:tcPr>
          <w:p>
            <w:pPr>
              <w:spacing w:after="0"/>
              <w:rPr>
                <w:sz w:val="20"/>
                <w:szCs w:val="20"/>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Robert R. Bellick</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41"/>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 Wolverine Asset Management, LLC</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175 West Jackson Blvd., Suite 340</w:t>
            </w:r>
          </w:p>
        </w:tc>
      </w:tr>
      <w:tr>
        <w:trPr>
          <w:trHeight w:val="234"/>
        </w:trPr>
        <w:tc>
          <w:tcPr>
            <w:tcW w:w="1100" w:type="dxa"/>
            <w:vAlign w:val="bottom"/>
          </w:tcPr>
          <w:p>
            <w:pPr>
              <w:spacing w:after="0"/>
              <w:rPr>
                <w:sz w:val="20"/>
                <w:szCs w:val="20"/>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Chicago, IL 60604</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41"/>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Flagship Fund Trading Limited – Cayman Islands</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Asset Management, LLC – Illinois</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Holdings, L.P. – Illinois</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Wolverine Trading Partners, Inc. – Illinois</w:t>
            </w:r>
          </w:p>
        </w:tc>
      </w:tr>
      <w:tr>
        <w:trPr>
          <w:trHeight w:val="216"/>
        </w:trPr>
        <w:tc>
          <w:tcPr>
            <w:tcW w:w="110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Christopher L. Gust – US Citizen</w:t>
            </w:r>
          </w:p>
        </w:tc>
      </w:tr>
      <w:tr>
        <w:trPr>
          <w:trHeight w:val="234"/>
        </w:trPr>
        <w:tc>
          <w:tcPr>
            <w:tcW w:w="1100" w:type="dxa"/>
            <w:vAlign w:val="bottom"/>
          </w:tcPr>
          <w:p>
            <w:pPr>
              <w:spacing w:after="0"/>
              <w:rPr>
                <w:sz w:val="20"/>
                <w:szCs w:val="20"/>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Robert R. Bellick – US Citizen</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59"/>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59"/>
        </w:trPr>
        <w:tc>
          <w:tcPr>
            <w:tcW w:w="1100" w:type="dxa"/>
            <w:vAlign w:val="bottom"/>
          </w:tcPr>
          <w:p>
            <w:pPr>
              <w:spacing w:after="0"/>
              <w:rPr>
                <w:sz w:val="24"/>
                <w:szCs w:val="24"/>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68401U105</w:t>
            </w:r>
          </w:p>
        </w:tc>
      </w:tr>
      <w:tr>
        <w:trPr>
          <w:trHeight w:val="41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SECTION 240.13d-1(b), or 13d-2(b) or (c) CHECK WHETHER THE</w:t>
            </w:r>
          </w:p>
        </w:tc>
      </w:tr>
      <w:tr>
        <w:trPr>
          <w:trHeight w:val="238"/>
        </w:trPr>
        <w:tc>
          <w:tcPr>
            <w:tcW w:w="1100" w:type="dxa"/>
            <w:vAlign w:val="bottom"/>
          </w:tcPr>
          <w:p>
            <w:pPr>
              <w:spacing w:after="0"/>
              <w:rPr>
                <w:sz w:val="20"/>
                <w:szCs w:val="20"/>
                <w:color w:val="auto"/>
              </w:rPr>
            </w:pPr>
          </w:p>
        </w:tc>
        <w:tc>
          <w:tcPr>
            <w:tcW w:w="10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PERSON FILING IS A:</w:t>
            </w:r>
          </w:p>
        </w:tc>
      </w:tr>
      <w:tr>
        <w:trPr>
          <w:trHeight w:val="450"/>
        </w:trPr>
        <w:tc>
          <w:tcPr>
            <w:tcW w:w="11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Broker or dealer registered under Section 15 of the Act (15 U.S.C. 78c);</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Bank as defined in Section 3(a)(6) of the Act (15 U.S.C. 78c);</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Insurance company as defined in Section 3(a)(19) of the Act (15 U.S.C. 78c);</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1940(15 U.S.C 80a-8);</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An investment adviser in accordance with 240.13d-1(b)(1)(ii)(E);</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234"/>
        </w:trPr>
        <w:tc>
          <w:tcPr>
            <w:tcW w:w="1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212"/>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1940 (15 U.S.C. 80a-3);</w:t>
            </w:r>
          </w:p>
        </w:tc>
      </w:tr>
      <w:tr>
        <w:trPr>
          <w:trHeight w:val="230"/>
        </w:trPr>
        <w:tc>
          <w:tcPr>
            <w:tcW w:w="1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A non-U.S. institution in accordance with 240.13d-1(b)(1)(ii)(J);</w:t>
            </w:r>
          </w:p>
        </w:tc>
      </w:tr>
      <w:tr>
        <w:trPr>
          <w:trHeight w:val="234"/>
        </w:trPr>
        <w:tc>
          <w:tcPr>
            <w:tcW w:w="1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w:t>
            </w:r>
          </w:p>
        </w:tc>
        <w:tc>
          <w:tcPr>
            <w:tcW w:w="9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Group, in accordance with 240.13d-1(b)(1)(ii)(K). If filing as a non-U.S. institution in accordance with 240.13d1(b)(1)(ii)(J), please</w:t>
            </w:r>
          </w:p>
        </w:tc>
      </w:tr>
      <w:tr>
        <w:trPr>
          <w:trHeight w:val="234"/>
        </w:trPr>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specify the type of institution:</w:t>
            </w:r>
          </w:p>
        </w:tc>
      </w:tr>
      <w:tr>
        <w:trPr>
          <w:trHeight w:val="183"/>
        </w:trPr>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620" w:hanging="315"/>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52" w:lineRule="exact"/>
        <w:rPr>
          <w:rFonts w:ascii="Times New Roman" w:cs="Times New Roman" w:eastAsia="Times New Roman" w:hAnsi="Times New Roman"/>
          <w:sz w:val="18"/>
          <w:szCs w:val="18"/>
          <w:color w:val="auto"/>
        </w:rPr>
      </w:pPr>
    </w:p>
    <w:p>
      <w:pPr>
        <w:ind w:left="162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Wolverine Flagship Fund Trading Limited (the “Fund”) holds 2,237,800 shares of the common stock of the Issuer. Wolverine Asset Management, LLC (“WAM”) is the investment manager of the Fund and has voting and dispositive power over the securities described above. The sole member and manager of WAM is Wolverine Holdings, L.P. (“Wolverine Holdings”). Robert R. Bellick and Christopher L. Gust may be deemed to control Wolverine Trading Partners, Inc. (“WTP”), the general partner of Wolverine Holdings.</w:t>
      </w:r>
    </w:p>
    <w:p>
      <w:pPr>
        <w:spacing w:after="0" w:line="18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5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w:t>
      </w:r>
    </w:p>
    <w:p>
      <w:pPr>
        <w:spacing w:after="0" w:line="252"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sz w:val="20"/>
          <w:szCs w:val="20"/>
          <w:color w:val="auto"/>
        </w:rPr>
      </w:pPr>
    </w:p>
    <w:p>
      <w:pPr>
        <w:ind w:left="2120" w:right="6440" w:hanging="491"/>
        <w:spacing w:after="0" w:line="532" w:lineRule="auto"/>
        <w:tabs>
          <w:tab w:leader="none" w:pos="2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ind w:left="2120" w:hanging="491"/>
        <w:spacing w:after="0"/>
        <w:tabs>
          <w:tab w:leader="none" w:pos="2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52" w:lineRule="exact"/>
        <w:rPr>
          <w:rFonts w:ascii="Times New Roman" w:cs="Times New Roman" w:eastAsia="Times New Roman" w:hAnsi="Times New Roman"/>
          <w:sz w:val="18"/>
          <w:szCs w:val="18"/>
          <w:color w:val="auto"/>
        </w:rPr>
      </w:pPr>
    </w:p>
    <w:p>
      <w:pPr>
        <w:ind w:left="212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WAM, Wolverine Holdings, WTP, Mr. Bellick, and Mr. Gust has shared power to vote or direct the vote of 2,237,800 shares of the common stock of the Issuer as set forth in Item 4(a) above.</w:t>
      </w:r>
    </w:p>
    <w:p>
      <w:pPr>
        <w:spacing w:after="0" w:line="188" w:lineRule="exact"/>
        <w:rPr>
          <w:rFonts w:ascii="Times New Roman" w:cs="Times New Roman" w:eastAsia="Times New Roman" w:hAnsi="Times New Roman"/>
          <w:sz w:val="18"/>
          <w:szCs w:val="18"/>
          <w:color w:val="auto"/>
        </w:rPr>
      </w:pPr>
    </w:p>
    <w:p>
      <w:pPr>
        <w:ind w:left="2120" w:right="5540" w:hanging="491"/>
        <w:spacing w:after="0" w:line="532" w:lineRule="auto"/>
        <w:tabs>
          <w:tab w:leader="none" w:pos="2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ind w:left="2120" w:hanging="491"/>
        <w:spacing w:after="0"/>
        <w:tabs>
          <w:tab w:leader="none" w:pos="2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52" w:lineRule="exact"/>
        <w:rPr>
          <w:sz w:val="20"/>
          <w:szCs w:val="20"/>
          <w:color w:val="auto"/>
        </w:rPr>
      </w:pPr>
    </w:p>
    <w:p>
      <w:pPr>
        <w:ind w:left="2120" w:right="140"/>
        <w:spacing w:after="0" w:line="282" w:lineRule="auto"/>
        <w:rPr>
          <w:sz w:val="20"/>
          <w:szCs w:val="20"/>
          <w:color w:val="auto"/>
        </w:rPr>
      </w:pPr>
      <w:r>
        <w:rPr>
          <w:rFonts w:ascii="Times New Roman" w:cs="Times New Roman" w:eastAsia="Times New Roman" w:hAnsi="Times New Roman"/>
          <w:sz w:val="18"/>
          <w:szCs w:val="18"/>
          <w:color w:val="auto"/>
        </w:rPr>
        <w:t>Each of WAM, Wolverine Holdings, WTP, Mr. Bellick, and Mr. Gust has shared power to dispose or to direct the disposition of 2,237,800 shares of the common stock of the Issuer as set forth in Item 4(a) above.</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56" w:lineRule="exact"/>
        <w:rPr>
          <w:sz w:val="20"/>
          <w:szCs w:val="20"/>
          <w:color w:val="auto"/>
        </w:rPr>
      </w:pPr>
    </w:p>
    <w:p>
      <w:pPr>
        <w:ind w:left="1300" w:right="80"/>
        <w:spacing w:after="0" w:line="288"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Times New Roman" w:cs="Times New Roman" w:eastAsia="Times New Roman" w:hAnsi="Times New Roman"/>
          <w:sz w:val="19"/>
          <w:szCs w:val="19"/>
          <w:color w:val="auto"/>
        </w:rPr>
        <w: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1300" w:right="76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5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7" w:right="419" w:bottom="1440" w:gutter="0" w:footer="0" w:header="0"/>
        </w:sectPr>
      </w:pPr>
    </w:p>
    <w:bookmarkStart w:id="10" w:name="page11"/>
    <w:bookmarkEnd w:id="1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2015</w:t>
      </w: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Flagship Fund Trading Limited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Kenneth L. Nadel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Kenneth L. Nadel, Director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Kenneth L. Nadel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Kenneth L. Nadel, Chief Operating Officer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L. Gust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Christopher L. Gust, Managing Director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L. Gust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Christopher L. Gust, Authorized Signatory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L. Gust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L. Gust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Robert R. Bellick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R. Bellick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60"/>
          </w:cols>
          <w:pgMar w:left="240" w:top="752" w:right="5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56"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par value $0.001 per share, of OptimizeRx Corporation, and further agree that this Joint Filing Agreement shall be included as an Exhibit to such joint filings.</w:t>
      </w:r>
    </w:p>
    <w:p>
      <w:pPr>
        <w:spacing w:after="0" w:line="203"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February 13, 2015.</w:t>
      </w: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Flagship Fund Trading Limited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Kenneth L. Nadel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Kenneth L. Nadel, Director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Kenneth L. Nadel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Kenneth L. Nadel, Chief Operating Officer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L. Gust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Christopher L. Gust, Managing Director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L. Gust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L. Gust, Authorized Signatory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/s/Christopher L. Gust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L. Gust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Robert R. Bellick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R. Bellick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2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bullet"/>
      <w:start w:val="1"/>
    </w:lvl>
  </w:abstractNum>
  <w:abstractNum w:abstractNumId="2">
    <w:nsid w:val="7C83E458"/>
    <w:multiLevelType w:val="hybridMultilevel"/>
    <w:lvl w:ilvl="0">
      <w:lvlJc w:val="left"/>
      <w:lvlText w:val="2"/>
      <w:numFmt w:val="bullet"/>
      <w:start w:val="1"/>
    </w:lvl>
    <w:lvl w:ilvl="1">
      <w:lvlJc w:val="left"/>
      <w:lvlText w:val="(%2)"/>
      <w:numFmt w:val="lowerLetter"/>
      <w:start w:val="1"/>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2"/>
      <w:numFmt w:val="bullet"/>
      <w:start w:val="1"/>
    </w:lvl>
    <w:lvl w:ilvl="1">
      <w:lvlJc w:val="left"/>
      <w:lvlText w:val="(%2)"/>
      <w:numFmt w:val="lowerLetter"/>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4"/>
      <w:numFmt w:val="bullet"/>
      <w:start w:val="1"/>
    </w:lvl>
  </w:abstractNum>
  <w:abstractNum w:abstractNumId="7">
    <w:nsid w:val="333AB105"/>
    <w:multiLevelType w:val="hybridMultilevel"/>
    <w:lvl w:ilvl="0">
      <w:lvlJc w:val="left"/>
      <w:lvlText w:val="9"/>
      <w:numFmt w:val="bullet"/>
      <w:start w:val="1"/>
    </w:lvl>
  </w:abstractNum>
  <w:abstractNum w:abstractNumId="8">
    <w:nsid w:val="721DA317"/>
    <w:multiLevelType w:val="hybridMultilevel"/>
    <w:lvl w:ilvl="0">
      <w:lvlJc w:val="left"/>
      <w:lvlText w:val="%1"/>
      <w:numFmt w:val="decimal"/>
      <w:start w:val="10"/>
    </w:lvl>
  </w:abstractNum>
  <w:abstractNum w:abstractNumId="9">
    <w:nsid w:val="2443A858"/>
    <w:multiLevelType w:val="hybridMultilevel"/>
    <w:lvl w:ilvl="0">
      <w:lvlJc w:val="left"/>
      <w:lvlText w:val="1"/>
      <w:numFmt w:val="bullet"/>
      <w:start w:val="1"/>
    </w:lvl>
  </w:abstractNum>
  <w:abstractNum w:abstractNumId="10">
    <w:nsid w:val="2D1D5AE9"/>
    <w:multiLevelType w:val="hybridMultilevel"/>
    <w:lvl w:ilvl="0">
      <w:lvlJc w:val="left"/>
      <w:lvlText w:val="2"/>
      <w:numFmt w:val="bullet"/>
      <w:start w:val="1"/>
    </w:lvl>
    <w:lvl w:ilvl="1">
      <w:lvlJc w:val="left"/>
      <w:lvlText w:val="(%2)"/>
      <w:numFmt w:val="lowerLetter"/>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4"/>
      <w:numFmt w:val="bullet"/>
      <w:start w:val="1"/>
    </w:lvl>
  </w:abstractNum>
  <w:abstractNum w:abstractNumId="13">
    <w:nsid w:val="8EDBDAB"/>
    <w:multiLevelType w:val="hybridMultilevel"/>
    <w:lvl w:ilvl="0">
      <w:lvlJc w:val="left"/>
      <w:lvlText w:val="9"/>
      <w:numFmt w:val="bullet"/>
      <w:start w:val="1"/>
    </w:lvl>
  </w:abstractNum>
  <w:abstractNum w:abstractNumId="14">
    <w:nsid w:val="79838CB2"/>
    <w:multiLevelType w:val="hybridMultilevel"/>
    <w:lvl w:ilvl="0">
      <w:lvlJc w:val="left"/>
      <w:lvlText w:val="%1"/>
      <w:numFmt w:val="decimal"/>
      <w:start w:val="10"/>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2"/>
      <w:numFmt w:val="bullet"/>
      <w:start w:val="1"/>
    </w:lvl>
    <w:lvl w:ilvl="1">
      <w:lvlJc w:val="left"/>
      <w:lvlText w:val="(%2)"/>
      <w:numFmt w:val="lowerLetter"/>
      <w:start w:val="1"/>
    </w:lvl>
  </w:abstractNum>
  <w:abstractNum w:abstractNumId="17">
    <w:nsid w:val="189A769B"/>
    <w:multiLevelType w:val="hybridMultilevel"/>
    <w:lvl w:ilvl="0">
      <w:lvlJc w:val="left"/>
      <w:lvlText w:val="3"/>
      <w:numFmt w:val="bullet"/>
      <w:start w:val="1"/>
    </w:lvl>
  </w:abstractNum>
  <w:abstractNum w:abstractNumId="18">
    <w:nsid w:val="54E49EB4"/>
    <w:multiLevelType w:val="hybridMultilevel"/>
    <w:lvl w:ilvl="0">
      <w:lvlJc w:val="left"/>
      <w:lvlText w:val="4"/>
      <w:numFmt w:val="bullet"/>
      <w:start w:val="1"/>
    </w:lvl>
  </w:abstractNum>
  <w:abstractNum w:abstractNumId="19">
    <w:nsid w:val="71F32454"/>
    <w:multiLevelType w:val="hybridMultilevel"/>
    <w:lvl w:ilvl="0">
      <w:lvlJc w:val="left"/>
      <w:lvlText w:val="9"/>
      <w:numFmt w:val="bullet"/>
      <w:start w:val="1"/>
    </w:lvl>
  </w:abstractNum>
  <w:abstractNum w:abstractNumId="20">
    <w:nsid w:val="2CA88611"/>
    <w:multiLevelType w:val="hybridMultilevel"/>
    <w:lvl w:ilvl="0">
      <w:lvlJc w:val="left"/>
      <w:lvlText w:val="%1"/>
      <w:numFmt w:val="decimal"/>
      <w:start w:val="10"/>
    </w:lvl>
  </w:abstractNum>
  <w:abstractNum w:abstractNumId="21">
    <w:nsid w:val="836C40E"/>
    <w:multiLevelType w:val="hybridMultilevel"/>
    <w:lvl w:ilvl="0">
      <w:lvlJc w:val="left"/>
      <w:lvlText w:val="1"/>
      <w:numFmt w:val="bullet"/>
      <w:start w:val="1"/>
    </w:lvl>
  </w:abstractNum>
  <w:abstractNum w:abstractNumId="22">
    <w:nsid w:val="2901D82"/>
    <w:multiLevelType w:val="hybridMultilevel"/>
    <w:lvl w:ilvl="0">
      <w:lvlJc w:val="left"/>
      <w:lvlText w:val="2"/>
      <w:numFmt w:val="bullet"/>
      <w:start w:val="1"/>
    </w:lvl>
    <w:lvl w:ilvl="1">
      <w:lvlJc w:val="left"/>
      <w:lvlText w:val="(%2)"/>
      <w:numFmt w:val="lowerLetter"/>
      <w:start w:val="1"/>
    </w:lvl>
  </w:abstractNum>
  <w:abstractNum w:abstractNumId="23">
    <w:nsid w:val="3A95F874"/>
    <w:multiLevelType w:val="hybridMultilevel"/>
    <w:lvl w:ilvl="0">
      <w:lvlJc w:val="left"/>
      <w:lvlText w:val="3"/>
      <w:numFmt w:val="bullet"/>
      <w:start w:val="1"/>
    </w:lvl>
  </w:abstractNum>
  <w:abstractNum w:abstractNumId="24">
    <w:nsid w:val="8138641"/>
    <w:multiLevelType w:val="hybridMultilevel"/>
    <w:lvl w:ilvl="0">
      <w:lvlJc w:val="left"/>
      <w:lvlText w:val="4"/>
      <w:numFmt w:val="bullet"/>
      <w:start w:val="1"/>
    </w:lvl>
  </w:abstractNum>
  <w:abstractNum w:abstractNumId="25">
    <w:nsid w:val="1E7FF521"/>
    <w:multiLevelType w:val="hybridMultilevel"/>
    <w:lvl w:ilvl="0">
      <w:lvlJc w:val="left"/>
      <w:lvlText w:val="9"/>
      <w:numFmt w:val="bullet"/>
      <w:start w:val="1"/>
    </w:lvl>
  </w:abstractNum>
  <w:abstractNum w:abstractNumId="26">
    <w:nsid w:val="7C3DBD3D"/>
    <w:multiLevelType w:val="hybridMultilevel"/>
    <w:lvl w:ilvl="0">
      <w:lvlJc w:val="left"/>
      <w:lvlText w:val="%1"/>
      <w:numFmt w:val="decimal"/>
      <w:start w:val="10"/>
    </w:lvl>
  </w:abstractNum>
  <w:abstractNum w:abstractNumId="27">
    <w:nsid w:val="737B8DDC"/>
    <w:multiLevelType w:val="hybridMultilevel"/>
    <w:lvl w:ilvl="0">
      <w:lvlJc w:val="left"/>
      <w:lvlText w:val="1"/>
      <w:numFmt w:val="bullet"/>
      <w:start w:val="1"/>
    </w:lvl>
  </w:abstractNum>
  <w:abstractNum w:abstractNumId="28">
    <w:nsid w:val="6CEAF087"/>
    <w:multiLevelType w:val="hybridMultilevel"/>
    <w:lvl w:ilvl="0">
      <w:lvlJc w:val="left"/>
      <w:lvlText w:val="2"/>
      <w:numFmt w:val="bullet"/>
      <w:start w:val="1"/>
    </w:lvl>
    <w:lvl w:ilvl="1">
      <w:lvlJc w:val="left"/>
      <w:lvlText w:val="(%2)"/>
      <w:numFmt w:val="lowerLetter"/>
      <w:start w:val="1"/>
    </w:lvl>
  </w:abstractNum>
  <w:abstractNum w:abstractNumId="29">
    <w:nsid w:val="22221A70"/>
    <w:multiLevelType w:val="hybridMultilevel"/>
    <w:lvl w:ilvl="0">
      <w:lvlJc w:val="left"/>
      <w:lvlText w:val="3"/>
      <w:numFmt w:val="bullet"/>
      <w:start w:val="1"/>
    </w:lvl>
  </w:abstractNum>
  <w:abstractNum w:abstractNumId="30">
    <w:nsid w:val="4516DDE9"/>
    <w:multiLevelType w:val="hybridMultilevel"/>
    <w:lvl w:ilvl="0">
      <w:lvlJc w:val="left"/>
      <w:lvlText w:val="4"/>
      <w:numFmt w:val="bullet"/>
      <w:start w:val="1"/>
    </w:lvl>
  </w:abstractNum>
  <w:abstractNum w:abstractNumId="31">
    <w:nsid w:val="3006C83E"/>
    <w:multiLevelType w:val="hybridMultilevel"/>
    <w:lvl w:ilvl="0">
      <w:lvlJc w:val="left"/>
      <w:lvlText w:val="9"/>
      <w:numFmt w:val="bullet"/>
      <w:start w:val="1"/>
    </w:lvl>
  </w:abstractNum>
  <w:abstractNum w:abstractNumId="32">
    <w:nsid w:val="614FD4A1"/>
    <w:multiLevelType w:val="hybridMultilevel"/>
    <w:lvl w:ilvl="0">
      <w:lvlJc w:val="left"/>
      <w:lvlText w:val="%1"/>
      <w:numFmt w:val="decimal"/>
      <w:start w:val="10"/>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2019-12-17T06:20:00Z</dcterms:created>
  <dcterms:modified xsi:type="dcterms:W3CDTF">2019-12-17T06:20:00Z</dcterms:modified>
</cp:coreProperties>
</file>