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April 1,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040" w:type="dxa"/>
            <w:vAlign w:val="bottom"/>
          </w:tcPr>
          <w:p>
            <w:pPr>
              <w:spacing w:after="0"/>
              <w:rPr>
                <w:sz w:val="17"/>
                <w:szCs w:val="17"/>
                <w:color w:val="auto"/>
              </w:rPr>
            </w:pPr>
          </w:p>
        </w:tc>
        <w:tc>
          <w:tcPr>
            <w:tcW w:w="3320" w:type="dxa"/>
            <w:vAlign w:val="bottom"/>
            <w:gridSpan w:val="4"/>
          </w:tcPr>
          <w:p>
            <w:pPr>
              <w:jc w:val="right"/>
              <w:ind w:right="1200"/>
              <w:spacing w:after="0"/>
              <w:rPr>
                <w:sz w:val="20"/>
                <w:szCs w:val="20"/>
                <w:color w:val="auto"/>
              </w:rPr>
            </w:pPr>
            <w:r>
              <w:rPr>
                <w:rFonts w:ascii="Arial" w:cs="Arial" w:eastAsia="Arial" w:hAnsi="Arial"/>
                <w:sz w:val="18"/>
                <w:szCs w:val="18"/>
                <w:color w:val="auto"/>
              </w:rPr>
              <w:t>000-53605</w:t>
            </w:r>
          </w:p>
        </w:tc>
        <w:tc>
          <w:tcPr>
            <w:tcW w:w="3200" w:type="dxa"/>
            <w:vAlign w:val="bottom"/>
            <w:gridSpan w:val="5"/>
          </w:tcPr>
          <w:p>
            <w:pPr>
              <w:ind w:left="14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900" w:type="dxa"/>
            <w:vAlign w:val="bottom"/>
            <w:gridSpan w:val="3"/>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5"/>
          </w:tcPr>
          <w:p>
            <w:pPr>
              <w:ind w:left="58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920" w:type="dxa"/>
            <w:vAlign w:val="bottom"/>
            <w:gridSpan w:val="6"/>
          </w:tcPr>
          <w:p>
            <w:pPr>
              <w:jc w:val="center"/>
              <w:ind w:right="1820"/>
              <w:spacing w:after="0"/>
              <w:rPr>
                <w:sz w:val="20"/>
                <w:szCs w:val="20"/>
                <w:color w:val="auto"/>
              </w:rPr>
            </w:pPr>
            <w:r>
              <w:rPr>
                <w:rFonts w:ascii="Arial" w:cs="Arial" w:eastAsia="Arial" w:hAnsi="Arial"/>
                <w:sz w:val="18"/>
                <w:szCs w:val="18"/>
                <w:color w:val="auto"/>
                <w:w w:val="90"/>
              </w:rPr>
              <w:t>400 Water Street, Suite 200, Rochester, MI</w:t>
            </w:r>
          </w:p>
        </w:tc>
        <w:tc>
          <w:tcPr>
            <w:tcW w:w="2320" w:type="dxa"/>
            <w:vAlign w:val="bottom"/>
            <w:gridSpan w:val="4"/>
          </w:tcPr>
          <w:p>
            <w:pPr>
              <w:jc w:val="right"/>
              <w:ind w:right="26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gridSpan w:val="3"/>
          </w:tcPr>
          <w:p>
            <w:pPr>
              <w:spacing w:after="0"/>
              <w:rPr>
                <w:sz w:val="20"/>
                <w:szCs w:val="20"/>
                <w:color w:val="auto"/>
              </w:rPr>
            </w:pPr>
          </w:p>
        </w:tc>
        <w:tc>
          <w:tcPr>
            <w:tcW w:w="3200" w:type="dxa"/>
            <w:vAlign w:val="bottom"/>
            <w:gridSpan w:val="5"/>
          </w:tcPr>
          <w:p>
            <w:pPr>
              <w:ind w:left="1440"/>
              <w:spacing w:after="0"/>
              <w:rPr>
                <w:sz w:val="20"/>
                <w:szCs w:val="20"/>
                <w:color w:val="auto"/>
              </w:rPr>
            </w:pPr>
            <w:r>
              <w:rPr>
                <w:rFonts w:ascii="Arial" w:cs="Arial" w:eastAsia="Arial" w:hAnsi="Arial"/>
                <w:sz w:val="18"/>
                <w:szCs w:val="18"/>
                <w:color w:val="auto"/>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 2014, the Company held a conference call to discuss the Company’s year-end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Conference call transcript dated April 1, 2014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April 3, 2014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0100" w:type="dxa"/>
            <w:vAlign w:val="bottom"/>
          </w:tcPr>
          <w:p>
            <w:pPr>
              <w:jc w:val="center"/>
              <w:ind w:right="1230"/>
              <w:spacing w:after="0"/>
              <w:rPr>
                <w:sz w:val="20"/>
                <w:szCs w:val="20"/>
                <w:color w:val="auto"/>
              </w:rPr>
            </w:pPr>
            <w:r>
              <w:rPr>
                <w:rFonts w:ascii="Arial" w:cs="Arial" w:eastAsia="Arial" w:hAnsi="Arial"/>
                <w:sz w:val="18"/>
                <w:szCs w:val="18"/>
                <w:b w:val="1"/>
                <w:bCs w:val="1"/>
                <w:color w:val="auto"/>
              </w:rPr>
              <w:t>OPTIMIZERX CORPORATION</w:t>
            </w:r>
          </w:p>
        </w:tc>
      </w:tr>
      <w:tr>
        <w:trPr>
          <w:trHeight w:val="414"/>
        </w:trPr>
        <w:tc>
          <w:tcPr>
            <w:tcW w:w="1320" w:type="dxa"/>
            <w:vAlign w:val="bottom"/>
          </w:tcPr>
          <w:p>
            <w:pPr>
              <w:spacing w:after="0"/>
              <w:rPr>
                <w:sz w:val="24"/>
                <w:szCs w:val="24"/>
                <w:color w:val="auto"/>
              </w:rPr>
            </w:pPr>
          </w:p>
        </w:tc>
        <w:tc>
          <w:tcPr>
            <w:tcW w:w="101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3"/>
              </w:rPr>
              <w:t>Moderator: David Lester</w:t>
            </w:r>
          </w:p>
        </w:tc>
      </w:tr>
      <w:tr>
        <w:trPr>
          <w:trHeight w:val="216"/>
        </w:trPr>
        <w:tc>
          <w:tcPr>
            <w:tcW w:w="1320" w:type="dxa"/>
            <w:vAlign w:val="bottom"/>
          </w:tcPr>
          <w:p>
            <w:pPr>
              <w:spacing w:after="0"/>
              <w:rPr>
                <w:sz w:val="18"/>
                <w:szCs w:val="18"/>
                <w:color w:val="auto"/>
              </w:rPr>
            </w:pPr>
          </w:p>
        </w:tc>
        <w:tc>
          <w:tcPr>
            <w:tcW w:w="10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April 1, 2014</w:t>
            </w:r>
          </w:p>
        </w:tc>
      </w:tr>
      <w:tr>
        <w:trPr>
          <w:trHeight w:val="234"/>
        </w:trPr>
        <w:tc>
          <w:tcPr>
            <w:tcW w:w="1320" w:type="dxa"/>
            <w:vAlign w:val="bottom"/>
          </w:tcPr>
          <w:p>
            <w:pPr>
              <w:spacing w:after="0"/>
              <w:rPr>
                <w:sz w:val="20"/>
                <w:szCs w:val="20"/>
                <w:color w:val="auto"/>
              </w:rPr>
            </w:pPr>
          </w:p>
        </w:tc>
        <w:tc>
          <w:tcPr>
            <w:tcW w:w="101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4"/>
              </w:rPr>
              <w:t>12:00 p.m. ET</w:t>
            </w:r>
          </w:p>
        </w:tc>
      </w:tr>
      <w:tr>
        <w:trPr>
          <w:trHeight w:val="621"/>
        </w:trPr>
        <w:tc>
          <w:tcPr>
            <w:tcW w:w="1320" w:type="dxa"/>
            <w:vAlign w:val="bottom"/>
          </w:tcPr>
          <w:p>
            <w:pPr>
              <w:spacing w:after="0"/>
              <w:rPr>
                <w:sz w:val="20"/>
                <w:szCs w:val="20"/>
                <w:color w:val="auto"/>
              </w:rPr>
            </w:pPr>
            <w:r>
              <w:rPr>
                <w:rFonts w:ascii="Arial" w:cs="Arial" w:eastAsia="Arial" w:hAnsi="Arial"/>
                <w:sz w:val="18"/>
                <w:szCs w:val="18"/>
                <w:color w:val="auto"/>
              </w:rPr>
              <w:t>Operator:</w:t>
            </w:r>
          </w:p>
        </w:tc>
        <w:tc>
          <w:tcPr>
            <w:tcW w:w="10100" w:type="dxa"/>
            <w:vAlign w:val="bottom"/>
          </w:tcPr>
          <w:p>
            <w:pPr>
              <w:ind w:left="300"/>
              <w:spacing w:after="0"/>
              <w:rPr>
                <w:sz w:val="20"/>
                <w:szCs w:val="20"/>
                <w:color w:val="auto"/>
              </w:rPr>
            </w:pPr>
            <w:r>
              <w:rPr>
                <w:rFonts w:ascii="Arial" w:cs="Arial" w:eastAsia="Arial" w:hAnsi="Arial"/>
                <w:sz w:val="18"/>
                <w:szCs w:val="18"/>
                <w:color w:val="auto"/>
                <w:w w:val="95"/>
              </w:rPr>
              <w:t>Good day everyone and welcome to the OPTIMIZERx Corporation 2013 yearend earnings conference call. As a reminder today's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4"/>
              </w:rPr>
              <w:t>conference is being recorded. This will be a 30 minute call with the potential of questions after the discussions. A transcript will be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available for 90 days for those interested parties who want a copy. Please contact Ms. Gabrielle Sabatini in our Rochester, Michigan</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headquarters.</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5"/>
              </w:rPr>
              <w:t>Now for opening remarks and introductions I would like to turn the conference over to Mr. David Lester, chief operating officer for</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OPTIMIZERx.</w:t>
            </w:r>
          </w:p>
        </w:tc>
      </w:tr>
      <w:tr>
        <w:trPr>
          <w:trHeight w:val="540"/>
        </w:trPr>
        <w:tc>
          <w:tcPr>
            <w:tcW w:w="1320" w:type="dxa"/>
            <w:vAlign w:val="bottom"/>
          </w:tcPr>
          <w:p>
            <w:pPr>
              <w:spacing w:after="0"/>
              <w:rPr>
                <w:sz w:val="20"/>
                <w:szCs w:val="20"/>
                <w:color w:val="auto"/>
              </w:rPr>
            </w:pPr>
            <w:r>
              <w:rPr>
                <w:rFonts w:ascii="Arial" w:cs="Arial" w:eastAsia="Arial" w:hAnsi="Arial"/>
                <w:sz w:val="18"/>
                <w:szCs w:val="18"/>
                <w:color w:val="auto"/>
              </w:rPr>
              <w:t>David Lester:</w:t>
            </w: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Thank you operator, and certainly good morning good afternoon to all participants wherever you may be. Thank you for taking the time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out to join us for our the OPTIMIZERx 2013 yearend earnings call. As always and as required I'm going to kickoff the conference call</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by reading the Safe Harbor language as follows.</w:t>
            </w:r>
          </w:p>
        </w:tc>
      </w:tr>
      <w:tr>
        <w:trPr>
          <w:trHeight w:val="648"/>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This conference may contain certain forward-looking statements within the definition of Section 27A of the Securities Act of 1933, as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amended in subsection 20 (of 1 of E) of the Securities Act of 1934 Amended. These forward-looking statements should not be used to</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make an investment decisions. The words potential, estimate, possible, and seeking, and similar expressions identified forward-looking</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0"/>
              </w:rPr>
              <w:t>statements which speak only as to the date that the statement was made. The company undertakes no obligations to publicly update or</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revise any forward-looking statements whether because of the new information, future events or otherwise.</w:t>
            </w:r>
          </w:p>
        </w:tc>
      </w:tr>
      <w:tr>
        <w:trPr>
          <w:trHeight w:val="230"/>
        </w:trPr>
        <w:tc>
          <w:tcPr>
            <w:tcW w:w="1320" w:type="dxa"/>
            <w:vAlign w:val="bottom"/>
            <w:tcBorders>
              <w:bottom w:val="single" w:sz="8" w:color="auto"/>
            </w:tcBorders>
          </w:tcPr>
          <w:p>
            <w:pPr>
              <w:spacing w:after="0"/>
              <w:rPr>
                <w:sz w:val="19"/>
                <w:szCs w:val="19"/>
                <w:color w:val="auto"/>
              </w:rPr>
            </w:pPr>
          </w:p>
        </w:tc>
        <w:tc>
          <w:tcPr>
            <w:tcW w:w="1010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33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Forward-looking statements are inherently subject to risks and uncertainties …</w:t>
            </w:r>
          </w:p>
        </w:tc>
      </w:tr>
      <w:tr>
        <w:trPr>
          <w:trHeight w:val="540"/>
        </w:trPr>
        <w:tc>
          <w:tcPr>
            <w:tcW w:w="1320" w:type="dxa"/>
            <w:vAlign w:val="bottom"/>
          </w:tcPr>
          <w:p>
            <w:pPr>
              <w:spacing w:after="0"/>
              <w:rPr>
                <w:sz w:val="20"/>
                <w:szCs w:val="20"/>
                <w:color w:val="auto"/>
              </w:rPr>
            </w:pPr>
            <w:r>
              <w:rPr>
                <w:rFonts w:ascii="Arial" w:cs="Arial" w:eastAsia="Arial" w:hAnsi="Arial"/>
                <w:sz w:val="18"/>
                <w:szCs w:val="18"/>
                <w:color w:val="auto"/>
              </w:rPr>
              <w:t>Female:</w:t>
            </w:r>
          </w:p>
        </w:tc>
        <w:tc>
          <w:tcPr>
            <w:tcW w:w="10100" w:type="dxa"/>
            <w:vAlign w:val="bottom"/>
          </w:tcPr>
          <w:p>
            <w:pPr>
              <w:ind w:left="300"/>
              <w:spacing w:after="0"/>
              <w:rPr>
                <w:sz w:val="20"/>
                <w:szCs w:val="20"/>
                <w:color w:val="auto"/>
              </w:rPr>
            </w:pPr>
            <w:r>
              <w:rPr>
                <w:rFonts w:ascii="Arial" w:cs="Arial" w:eastAsia="Arial" w:hAnsi="Arial"/>
                <w:sz w:val="18"/>
                <w:szCs w:val="18"/>
                <w:color w:val="auto"/>
              </w:rPr>
              <w:t>All circuits are busy; please try your call again later. Announcement eight switch to one (dash) two one.</w:t>
            </w:r>
          </w:p>
        </w:tc>
      </w:tr>
      <w:tr>
        <w:trPr>
          <w:trHeight w:val="540"/>
        </w:trPr>
        <w:tc>
          <w:tcPr>
            <w:tcW w:w="1320" w:type="dxa"/>
            <w:vAlign w:val="bottom"/>
          </w:tcPr>
          <w:p>
            <w:pPr>
              <w:spacing w:after="0"/>
              <w:rPr>
                <w:sz w:val="20"/>
                <w:szCs w:val="20"/>
                <w:color w:val="auto"/>
              </w:rPr>
            </w:pPr>
            <w:r>
              <w:rPr>
                <w:rFonts w:ascii="Arial" w:cs="Arial" w:eastAsia="Arial" w:hAnsi="Arial"/>
                <w:sz w:val="18"/>
                <w:szCs w:val="18"/>
                <w:color w:val="auto"/>
              </w:rPr>
              <w:t>David Lester:</w:t>
            </w:r>
          </w:p>
        </w:tc>
        <w:tc>
          <w:tcPr>
            <w:tcW w:w="10100" w:type="dxa"/>
            <w:vAlign w:val="bottom"/>
          </w:tcPr>
          <w:p>
            <w:pPr>
              <w:ind w:left="300"/>
              <w:spacing w:after="0"/>
              <w:rPr>
                <w:sz w:val="20"/>
                <w:szCs w:val="20"/>
                <w:color w:val="auto"/>
              </w:rPr>
            </w:pPr>
            <w:r>
              <w:rPr>
                <w:rFonts w:ascii="Arial" w:cs="Arial" w:eastAsia="Arial" w:hAnsi="Arial"/>
                <w:sz w:val="18"/>
                <w:szCs w:val="18"/>
                <w:color w:val="auto"/>
              </w:rPr>
              <w:t>And did we just lose it?</w:t>
            </w:r>
          </w:p>
        </w:tc>
      </w:tr>
      <w:tr>
        <w:trPr>
          <w:trHeight w:val="540"/>
        </w:trPr>
        <w:tc>
          <w:tcPr>
            <w:tcW w:w="1320" w:type="dxa"/>
            <w:vAlign w:val="bottom"/>
          </w:tcPr>
          <w:p>
            <w:pPr>
              <w:spacing w:after="0"/>
              <w:rPr>
                <w:sz w:val="20"/>
                <w:szCs w:val="20"/>
                <w:color w:val="auto"/>
              </w:rPr>
            </w:pPr>
            <w:r>
              <w:rPr>
                <w:rFonts w:ascii="Arial" w:cs="Arial" w:eastAsia="Arial" w:hAnsi="Arial"/>
                <w:sz w:val="18"/>
                <w:szCs w:val="18"/>
                <w:color w:val="auto"/>
              </w:rPr>
              <w:t>Operator:</w:t>
            </w:r>
          </w:p>
        </w:tc>
        <w:tc>
          <w:tcPr>
            <w:tcW w:w="10100" w:type="dxa"/>
            <w:vAlign w:val="bottom"/>
          </w:tcPr>
          <w:p>
            <w:pPr>
              <w:ind w:left="300"/>
              <w:spacing w:after="0"/>
              <w:rPr>
                <w:sz w:val="20"/>
                <w:szCs w:val="20"/>
                <w:color w:val="auto"/>
              </w:rPr>
            </w:pPr>
            <w:r>
              <w:rPr>
                <w:rFonts w:ascii="Arial" w:cs="Arial" w:eastAsia="Arial" w:hAnsi="Arial"/>
                <w:sz w:val="18"/>
                <w:szCs w:val="18"/>
                <w:color w:val="auto"/>
              </w:rPr>
              <w:t>We're still here sir.</w:t>
            </w:r>
          </w:p>
        </w:tc>
      </w:tr>
      <w:tr>
        <w:trPr>
          <w:trHeight w:val="540"/>
        </w:trPr>
        <w:tc>
          <w:tcPr>
            <w:tcW w:w="1320" w:type="dxa"/>
            <w:vAlign w:val="bottom"/>
          </w:tcPr>
          <w:p>
            <w:pPr>
              <w:spacing w:after="0"/>
              <w:rPr>
                <w:sz w:val="20"/>
                <w:szCs w:val="20"/>
                <w:color w:val="auto"/>
              </w:rPr>
            </w:pPr>
            <w:r>
              <w:rPr>
                <w:rFonts w:ascii="Arial" w:cs="Arial" w:eastAsia="Arial" w:hAnsi="Arial"/>
                <w:sz w:val="18"/>
                <w:szCs w:val="18"/>
                <w:color w:val="auto"/>
              </w:rPr>
              <w:t>David Lester:</w:t>
            </w:r>
          </w:p>
        </w:tc>
        <w:tc>
          <w:tcPr>
            <w:tcW w:w="10100" w:type="dxa"/>
            <w:vAlign w:val="bottom"/>
          </w:tcPr>
          <w:p>
            <w:pPr>
              <w:ind w:left="300"/>
              <w:spacing w:after="0"/>
              <w:rPr>
                <w:sz w:val="20"/>
                <w:szCs w:val="20"/>
                <w:color w:val="auto"/>
              </w:rPr>
            </w:pPr>
            <w:r>
              <w:rPr>
                <w:rFonts w:ascii="Arial" w:cs="Arial" w:eastAsia="Arial" w:hAnsi="Arial"/>
                <w:sz w:val="18"/>
                <w:szCs w:val="18"/>
                <w:color w:val="auto"/>
              </w:rPr>
              <w:t>Oh we're still here. OK, I'm sorry.</w:t>
            </w:r>
          </w:p>
        </w:tc>
      </w:tr>
      <w:tr>
        <w:trPr>
          <w:trHeight w:val="648"/>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Forward-looking statements are inherently subject to risks and uncertainties some of which cannot be predicted or quantified. Future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events and natural results could differ materially from set forth and contemplated by or underlying the forward-looking statements. The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risks and uncertainties to which the forward-looking statements are subject to include but are not limited to, the effect of government</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regulation, competition and other material risks.</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So with that, let me just take a few moments to share the financial highlights of our 2013 yearend. As we announced that</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OPTIMIZERx would be making a onetime adjustment and is revising its counting process relative to how we accounted for revenues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6"/>
              </w:rPr>
              <w:t>share. After all the adjustments, OPTIMIZERx finished the fourth quarter of 2013 with revenues of $1,810,601 bringing our 2013</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yearend total revenue to $4,957,016 which represents 149 percent increase over the $1,989,086 that we did in 2012. Additionally, we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received – we achieved a 2013 net income of $215,847 compared to a 2012 loss of $454,922.</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These record revenues were again driven by our Sample MD solution which generated approximately 1.2 million new e-prescriptions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with copay coupons or free sample vouchers during 2013, helping patients to affordably start and stay on their prescribed medications.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That is a substantial increase from the 239,171 distributions that we did in 2012. To talk more about this record performance and the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4"/>
              </w:rPr>
              <w:t>company's activities, I'm now going to turn the call over to Mr. David Harrell, chairman and chief executive officer of OPTIMIZERx.</w:t>
            </w:r>
          </w:p>
        </w:tc>
      </w:tr>
      <w:tr>
        <w:trPr>
          <w:trHeight w:val="459"/>
        </w:trPr>
        <w:tc>
          <w:tcPr>
            <w:tcW w:w="13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10100" w:type="dxa"/>
            <w:vAlign w:val="bottom"/>
          </w:tcPr>
          <w:p>
            <w:pPr>
              <w:ind w:left="43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9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Thank you David, and thank everybody again for taking some time to spend with us. I did want to say we're extremely excited as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opening comments about 2013 and remain even more excited as we head into 2014 and expect certainly a continued banner year. And</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thank you David for your opening comments on the fourth quarter.</w:t>
            </w:r>
          </w:p>
        </w:tc>
      </w:tr>
      <w:tr>
        <w:trPr>
          <w:trHeight w:val="64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So regarding future updates, of course we're very excited about our core business and expect 2014 to continue in terms of escalating</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that business and escalating revenues and certainly profits. Just a couple of the highlights, since 2013 is obviously we're pleased to</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begin with the notice that we've completed the capital (raise) to leverage the very exciting opportunity to (inaudible). And (thus) have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increased not only $3 million in operating capital but we reduced fully diluted shares by 7.25 million. We think this was a very unique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and exciting opportunity that we were able to negotiate with (advisors), and certainly we'll immediately bring increased shareholder</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value.</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Furthermore to support our growth that we expect to be significant, I'd like to address a couple of things of what we feel is a likelihood.</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Number one, we likely feel that our network of doctors will increase by 100,000 by yearend. We are seeking to increase our brands that</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7"/>
              </w:rPr>
              <w:t>participate in our eCoupon business and other opportunities by 35 percent. And we expect to double our transactions in 2014.</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So again to support this growth, we naturally are already building our internal account teams and sales along with beginning our search</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for CFO which is a key additional player in terms of our senior management team. We're equally committed to expanding our board</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with proven leaders who can further guide the management team, and are just now initiating discussions with potential candidates.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With that in mind in addition to ramping up our support for our scalable technology, I'd also like to turn it back to Dave Lester to talk</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about the significant accomplishment of rolling out our 2.0 version of our Sample MD platform.</w:t>
            </w:r>
          </w:p>
        </w:tc>
      </w:tr>
      <w:tr>
        <w:trPr>
          <w:trHeight w:val="459"/>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r>
        <w:trPr>
          <w:trHeight w:val="224"/>
        </w:trPr>
        <w:tc>
          <w:tcPr>
            <w:tcW w:w="1340" w:type="dxa"/>
            <w:vAlign w:val="bottom"/>
          </w:tcPr>
          <w:p>
            <w:pPr>
              <w:spacing w:after="0"/>
              <w:rPr>
                <w:sz w:val="19"/>
                <w:szCs w:val="19"/>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679"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David Lester:</w:t>
            </w: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Thanks David. As many of you may recall, last year early in the you know or I should say late first quarter early in the second quarter,</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4"/>
              </w:rPr>
              <w:t>we began an undertaking of redesigning and rearchitecting our Sample MD solution. You know the initial Sample MD solution that</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4"/>
              </w:rPr>
              <w:t>was built was basically a software solution that was built very rapidly to get it to market. Using the state of the art technology at the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7"/>
              </w:rPr>
              <w:t>time it was really a Flash based which is an Adobe Flash, and it was continued to be built upon to look at the new features and</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enhancements.</w:t>
            </w:r>
          </w:p>
        </w:tc>
      </w:tr>
      <w:tr>
        <w:trPr>
          <w:trHeight w:val="648"/>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5"/>
              </w:rPr>
              <w:t>You know like all evolution of software you know there comes a point when you know things you know its middleware platform, its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infrastructure platform needs to be updated to continue you know with the scalability and its speed and accessibility. We undertook the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5"/>
              </w:rPr>
              <w:t>task to do a whole new architecture in (re) you know moving this over from a Flash based to an HTML based (J-boss). And really</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5"/>
              </w:rPr>
              <w:t>putting this on a whole new infrastructure which means, new hardware state of the art where you're using (stateless) drives as an</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example as opposed to mechanical. All of that which means you know, we've now launched and we've migrated all the old technology</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to the new platform and Sample MD 2.0 has been now migrated over and operating in a production environment.</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We are excited to announce that. We're excited that the results that we're getting you know obviously with all the rules based it's much</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6"/>
              </w:rPr>
              <w:t>faster. With all the modularity that we've built into it, ease of integration for our partners and new features and functions is much</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simpler and easier to do. It's now (infinitely) scalable, all right. So as we continue to ramp up and you know as we continue to get more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demand, certainly this whole architecture now is much more scalable. And you know as I mentioned you know with the speed (and)</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accuracy with our rules (base), it can pass a million rules in less than a sub-second.</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So we're very, very excited at that rollout, and we're looking to great things to keep on coming. Thanks. And I'm going to turn this call</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back over to Dave.</w:t>
            </w:r>
          </w:p>
        </w:tc>
      </w:tr>
      <w:tr>
        <w:trPr>
          <w:trHeight w:val="459"/>
        </w:trPr>
        <w:tc>
          <w:tcPr>
            <w:tcW w:w="13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10100" w:type="dxa"/>
            <w:vAlign w:val="bottom"/>
          </w:tcPr>
          <w:p>
            <w:pPr>
              <w:ind w:left="43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79"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Thank you. So again, I can't stress that our technology power is extremely robust, infinitely scalable. So as we expand into other EHR</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platforms as well as even other points of patient portals, we're going to be in a great position to be able to deliver increased volume to</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support our increased revenue projections. Also we want to take a little time too to talk about you know our marketing efforts to both</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(pharma) and EHRs.</w:t>
            </w:r>
          </w:p>
        </w:tc>
      </w:tr>
      <w:tr>
        <w:trPr>
          <w:trHeight w:val="64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You know again we've been very active starting with EHRs. We had a very successful meeting at (HIMS) which is the largest health</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information management systems meeting, and engaged many EHRs that we're currently working with but also those that we that are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expecting now to target us as a solution and have – are in the process of signing some major agreements. So we're very, very excited</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9"/>
              </w:rPr>
              <w:t>that we know that EHRs are recognizing now that clearly the eCoupon is something their clients want, physicians want as a</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replacement to (often times) drug samples.</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They like our patient education component as well. So the fact there's meaningful use means it's continuing to meet the government</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regulations has caused a lot of them to focus most of their resources there. But we're very excited about the conversations we had with</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some of the remaining big players.</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Secondly, I also wanted to turn it over to (Terry Hamilton) who is our senior vice president of sales. And (Terry) is concluding a call for</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some major pharmaceutical company right now, so he should be on any minute and we'll speak to it. But we had a fantastic sponsorship</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of the first pharma EHR conference in which we brought in approximately 100 plus leading pharmaceutical brand people, channel</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people et cetera and put an outstanding agenda together of innovators and thinkers in the industry in which we hosted.</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I had an opportunity as well to speak, and was a fascinating opportunity to talk about this digital frontier opportunity to have pharma</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you know participate in. And clearly the eCoupon solution was the abundance of what the focus was. It was very, very gratifying to sit</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back and watch panels of experts that have entered this space sight time after time again how effective Sample MD has been with them.</w:t>
            </w:r>
          </w:p>
        </w:tc>
      </w:tr>
      <w:tr>
        <w:trPr>
          <w:trHeight w:val="459"/>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r>
        <w:trPr>
          <w:trHeight w:val="224"/>
        </w:trPr>
        <w:tc>
          <w:tcPr>
            <w:tcW w:w="1340" w:type="dxa"/>
            <w:vAlign w:val="bottom"/>
          </w:tcPr>
          <w:p>
            <w:pPr>
              <w:spacing w:after="0"/>
              <w:rPr>
                <w:sz w:val="19"/>
                <w:szCs w:val="19"/>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679"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One of our partners had stated that they had just an increase of prescription choice alone a three to one return investment, and that</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2"/>
              </w:rPr>
              <w:t>didn't include obviously increasing length of stay because of the affordability and adherence. So again the message clearly received,</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and again this will be a great springboard for us to secure more brands that have not yet entered into the space.</w:t>
            </w:r>
          </w:p>
        </w:tc>
      </w:tr>
      <w:tr>
        <w:trPr>
          <w:trHeight w:val="540"/>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(Terry), are you on right now? OK, I'll keep going then. So we've also hired a top notch executive from the industry that has over 30</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0"/>
              </w:rPr>
              <w:t>years of experience as a senior director in a global capacity at AstraZeneca who's now come on our team because he recognized huge</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growth opportunity and the change of the marketplace. So he'll be assisting (Terry) and the team as well to continue to ramp up our</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sales and marketing efforts. So, I think that's a key hire that we're really excited about.</w:t>
            </w:r>
          </w:p>
        </w:tc>
      </w:tr>
      <w:tr>
        <w:trPr>
          <w:trHeight w:val="540"/>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4"/>
              </w:rPr>
              <w:t>And prior to if (Terry) does if he's able to come back on here, we do want to also tell you some great news that we settled our legal</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disputes with LDM and are now moving together as partners or as adversaries. And LDM is a leader in sponsored patient education,</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4"/>
              </w:rPr>
              <w:t>certainly we're the leaders in eCoupons. So together by working collectively together we offer a very, very strong partnership to not</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only pharma but certainly EHRs that are looking for a little bit more robust solution.</w:t>
            </w:r>
          </w:p>
        </w:tc>
      </w:tr>
      <w:tr>
        <w:trPr>
          <w:trHeight w:val="540"/>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We also on the other hand are continuing to aggressively defend our IP infringement against case against Physicians Interactive. So</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we're in summary we're very, very excited about the industry catching up to our technology and clearly understanding the value now</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4"/>
              </w:rPr>
              <w:t>that its bringing now that we have defining ROI impact. Research shows how positively viewed it is by physicians and patients and</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EHRs, and are very excited again as 2014 is coming forward.</w:t>
            </w:r>
          </w:p>
        </w:tc>
      </w:tr>
      <w:tr>
        <w:trPr>
          <w:trHeight w:val="540"/>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So with that in mind with the remaining time that we have we're happy to field any questions.</w:t>
            </w:r>
          </w:p>
        </w:tc>
      </w:tr>
      <w:tr>
        <w:trPr>
          <w:trHeight w:val="540"/>
        </w:trPr>
        <w:tc>
          <w:tcPr>
            <w:tcW w:w="1160" w:type="dxa"/>
            <w:vAlign w:val="bottom"/>
          </w:tcPr>
          <w:p>
            <w:pPr>
              <w:spacing w:after="0"/>
              <w:rPr>
                <w:sz w:val="20"/>
                <w:szCs w:val="20"/>
                <w:color w:val="auto"/>
              </w:rPr>
            </w:pPr>
            <w:r>
              <w:rPr>
                <w:rFonts w:ascii="Arial" w:cs="Arial" w:eastAsia="Arial" w:hAnsi="Arial"/>
                <w:sz w:val="18"/>
                <w:szCs w:val="18"/>
                <w:color w:val="auto"/>
              </w:rPr>
              <w:t>Operator:</w:t>
            </w:r>
          </w:p>
        </w:tc>
        <w:tc>
          <w:tcPr>
            <w:tcW w:w="10260" w:type="dxa"/>
            <w:vAlign w:val="bottom"/>
          </w:tcPr>
          <w:p>
            <w:pPr>
              <w:ind w:left="460"/>
              <w:spacing w:after="0"/>
              <w:rPr>
                <w:sz w:val="20"/>
                <w:szCs w:val="20"/>
                <w:color w:val="auto"/>
              </w:rPr>
            </w:pPr>
            <w:r>
              <w:rPr>
                <w:rFonts w:ascii="Arial" w:cs="Arial" w:eastAsia="Arial" w:hAnsi="Arial"/>
                <w:sz w:val="18"/>
                <w:szCs w:val="18"/>
                <w:color w:val="auto"/>
                <w:w w:val="92"/>
              </w:rPr>
              <w:t>At this time if you would like to ask a question, please press star then the number 1 on your telephone keypad. Again, that is star then</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w w:val="93"/>
              </w:rPr>
              <w:t>the number 1 on your telephone keypad to ask a question. We'll pause for just a moment. Your first question comes from the line of</w:t>
            </w:r>
          </w:p>
        </w:tc>
      </w:tr>
      <w:tr>
        <w:trPr>
          <w:trHeight w:val="324"/>
        </w:trPr>
        <w:tc>
          <w:tcPr>
            <w:tcW w:w="1160" w:type="dxa"/>
            <w:vAlign w:val="bottom"/>
          </w:tcPr>
          <w:p>
            <w:pPr>
              <w:spacing w:after="0"/>
              <w:rPr>
                <w:sz w:val="24"/>
                <w:szCs w:val="24"/>
                <w:color w:val="auto"/>
              </w:rPr>
            </w:pPr>
          </w:p>
        </w:tc>
        <w:tc>
          <w:tcPr>
            <w:tcW w:w="10260" w:type="dxa"/>
            <w:vAlign w:val="bottom"/>
          </w:tcPr>
          <w:p>
            <w:pPr>
              <w:ind w:left="460"/>
              <w:spacing w:after="0"/>
              <w:rPr>
                <w:sz w:val="20"/>
                <w:szCs w:val="20"/>
                <w:color w:val="auto"/>
              </w:rPr>
            </w:pPr>
            <w:r>
              <w:rPr>
                <w:rFonts w:ascii="Arial" w:cs="Arial" w:eastAsia="Arial" w:hAnsi="Arial"/>
                <w:sz w:val="18"/>
                <w:szCs w:val="18"/>
                <w:color w:val="auto"/>
              </w:rPr>
              <w:t>Michael Bland.</w:t>
            </w:r>
          </w:p>
        </w:tc>
      </w:tr>
      <w:tr>
        <w:trPr>
          <w:trHeight w:val="459"/>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10260" w:type="dxa"/>
            <w:vAlign w:val="bottom"/>
          </w:tcPr>
          <w:p>
            <w:pPr>
              <w:ind w:left="45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679"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Michael Bland:</w:t>
            </w:r>
          </w:p>
        </w:tc>
        <w:tc>
          <w:tcPr>
            <w:tcW w:w="10040" w:type="dxa"/>
            <w:vAlign w:val="bottom"/>
          </w:tcPr>
          <w:p>
            <w:pPr>
              <w:ind w:left="240"/>
              <w:spacing w:after="0"/>
              <w:rPr>
                <w:sz w:val="20"/>
                <w:szCs w:val="20"/>
                <w:color w:val="auto"/>
              </w:rPr>
            </w:pPr>
            <w:r>
              <w:rPr>
                <w:rFonts w:ascii="Arial" w:cs="Arial" w:eastAsia="Arial" w:hAnsi="Arial"/>
                <w:sz w:val="18"/>
                <w:szCs w:val="18"/>
                <w:color w:val="auto"/>
                <w:w w:val="98"/>
              </w:rPr>
              <w:t>Hi gentlemen, thanks for the call today. I was wondering if you guys could elaborate a little bit more on the additional revenue</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opportunities you know on the coupons into 2014 and '15 including you know patient education and the consulting practice that you've</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started.</w:t>
            </w:r>
          </w:p>
        </w:tc>
      </w:tr>
      <w:tr>
        <w:trPr>
          <w:trHeight w:val="64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Sure. So the patient education is really going to start to ramp up to be a bigger opportunity because doctors currently have to supply</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patient – confirm patient education to a minimum 10 percent of their patients. So we've always had a lot of options, what we're excited</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about with LDM is they have (paid) content that we can share in some (revenue). So we see that you know continuing to grow, it's a</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small part of our business right now and it's a nice compliment to serving both coupon and patient education.</w:t>
            </w:r>
          </w:p>
        </w:tc>
      </w:tr>
      <w:tr>
        <w:trPr>
          <w:trHeight w:val="648"/>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We're working further with WPP and Grey to further look at other opportunities to engage the representative both through our ability to</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automate an invitation on behalf of the physician within the EHR to come arrange a visit or some type of support that a physician's</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requesting. But what we're real excited about is possibly a virtual engagement with the pharmaceutical manufacturer via live video</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interaction. One of the things that attracted us with Grey Healthcare and WPP was their on call capabilities that allows this to happen.</w:t>
            </w:r>
          </w:p>
        </w:tc>
      </w:tr>
      <w:tr>
        <w:trPr>
          <w:trHeight w:val="540"/>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So we're further integrating it. We're – the key thing here is not only finalizing the technology which we're very close to and have been.</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But the key thing is where do we integrate them in the workflow? And that's going to be a key opportunity. So I think that clearly</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eCoupons are going to be the thrust of us but I think these two opportunities are coming to mind.</w:t>
            </w:r>
          </w:p>
        </w:tc>
      </w:tr>
      <w:tr>
        <w:trPr>
          <w:trHeight w:val="540"/>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Additionally though, we're now doing other project work for leading pharmaceutical companies that even as simple as getting their</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products when there's new launches into the EHR systems. We have currently two programs that we're doing that with which we're</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calling not only the data files to make sure that's included, but reaching out on behalf of each of the EHRs to make sure they update</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7"/>
              </w:rPr>
              <w:t>them. Now this is key because you know as we move from an eCoupon solution or a (tactical) implementation solution, moving</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towards a strategic site they're spending millions and millions of dollars and they can't even get their product in you know for the first</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six months. This is a huge issue and it presents a nice opportunity for us.</w:t>
            </w:r>
          </w:p>
        </w:tc>
      </w:tr>
      <w:tr>
        <w:trPr>
          <w:trHeight w:val="459"/>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679"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Michael Bland:</w:t>
            </w: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Right and when do you – when do you see the fruits of this of your labor in that regard you know starting to shine through in the</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financial?</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Yes I think we've got one program that we just started first quarter and I think we have two to three others that will be second quarter</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launching. So it should be soon.</w:t>
            </w:r>
          </w:p>
        </w:tc>
      </w:tr>
      <w:tr>
        <w:trPr>
          <w:trHeight w:val="648"/>
        </w:trPr>
        <w:tc>
          <w:tcPr>
            <w:tcW w:w="1380" w:type="dxa"/>
            <w:vAlign w:val="bottom"/>
          </w:tcPr>
          <w:p>
            <w:pPr>
              <w:spacing w:after="0"/>
              <w:rPr>
                <w:sz w:val="20"/>
                <w:szCs w:val="20"/>
                <w:color w:val="auto"/>
              </w:rPr>
            </w:pPr>
            <w:r>
              <w:rPr>
                <w:rFonts w:ascii="Arial" w:cs="Arial" w:eastAsia="Arial" w:hAnsi="Arial"/>
                <w:sz w:val="18"/>
                <w:szCs w:val="18"/>
                <w:color w:val="auto"/>
              </w:rPr>
              <w:t>Michael Bland:</w:t>
            </w:r>
          </w:p>
        </w:tc>
        <w:tc>
          <w:tcPr>
            <w:tcW w:w="10040" w:type="dxa"/>
            <w:vAlign w:val="bottom"/>
          </w:tcPr>
          <w:p>
            <w:pPr>
              <w:ind w:left="240"/>
              <w:spacing w:after="0"/>
              <w:rPr>
                <w:sz w:val="20"/>
                <w:szCs w:val="20"/>
                <w:color w:val="auto"/>
              </w:rPr>
            </w:pPr>
            <w:r>
              <w:rPr>
                <w:rFonts w:ascii="Arial" w:cs="Arial" w:eastAsia="Arial" w:hAnsi="Arial"/>
                <w:sz w:val="18"/>
                <w:szCs w:val="18"/>
                <w:color w:val="auto"/>
              </w:rPr>
              <w:t>Great.</w:t>
            </w:r>
          </w:p>
        </w:tc>
      </w:tr>
      <w:tr>
        <w:trPr>
          <w:trHeight w:val="648"/>
        </w:trPr>
        <w:tc>
          <w:tcPr>
            <w:tcW w:w="1380" w:type="dxa"/>
            <w:vAlign w:val="bottom"/>
          </w:tcPr>
          <w:p>
            <w:pPr>
              <w:spacing w:after="0"/>
              <w:rPr>
                <w:sz w:val="20"/>
                <w:szCs w:val="20"/>
                <w:color w:val="auto"/>
              </w:rPr>
            </w:pPr>
            <w:r>
              <w:rPr>
                <w:rFonts w:ascii="Arial" w:cs="Arial" w:eastAsia="Arial" w:hAnsi="Arial"/>
                <w:sz w:val="18"/>
                <w:szCs w:val="18"/>
                <w:color w:val="auto"/>
              </w:rPr>
              <w:t>David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Thank you.</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Operator:</w:t>
            </w:r>
          </w:p>
        </w:tc>
        <w:tc>
          <w:tcPr>
            <w:tcW w:w="10040" w:type="dxa"/>
            <w:vAlign w:val="bottom"/>
          </w:tcPr>
          <w:p>
            <w:pPr>
              <w:ind w:left="240"/>
              <w:spacing w:after="0"/>
              <w:rPr>
                <w:sz w:val="20"/>
                <w:szCs w:val="20"/>
                <w:color w:val="auto"/>
              </w:rPr>
            </w:pPr>
            <w:r>
              <w:rPr>
                <w:rFonts w:ascii="Arial" w:cs="Arial" w:eastAsia="Arial" w:hAnsi="Arial"/>
                <w:sz w:val="18"/>
                <w:szCs w:val="18"/>
                <w:color w:val="auto"/>
              </w:rPr>
              <w:t>Your next question comes from the line of Kevin Tracey.</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Kevin Tracey: :</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Hi guys, thank you for taking my question. I had a question about the criticism of copay coupons generally. I've seen some payers</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allege that copay coupons lead to an overall increase of healthcare cost by circumventing the (set of) structure of offering lower copay</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coupons for cheaper drug alternatives. And we've seen I guess CVS and Express Scripts have both like dropped you know a few dozen</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drugs from coverage that they say have alternatives.</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So I guess firstly, I was hoping you could just comment on that criticism generally. And then, were any of the drugs you all distribute</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coupons for (just) included in those drugs that were dropped by CVS and Express Scripts? Then maybe if you could just secondly I</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could ask that, of the 60 or 70 so drugs that you all distribute coupons for, I guess can you give us a broad estimation of how I guess</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which share of those have lower cost alternatives and you know may be at risk for some of these (PBMs) dropping coverage? And how</w:t>
            </w:r>
          </w:p>
        </w:tc>
      </w:tr>
      <w:tr>
        <w:trPr>
          <w:trHeight w:val="324"/>
        </w:trPr>
        <w:tc>
          <w:tcPr>
            <w:tcW w:w="13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many do not have alternatives?</w:t>
            </w:r>
          </w:p>
        </w:tc>
      </w:tr>
      <w:tr>
        <w:trPr>
          <w:trHeight w:val="459"/>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67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Yes so I'd like to clarify. I think the issue really has been focused on, is these copay coupons driving up the cost of pharmacy cost? And</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in most cases we feel they're not because our coupons are shown only after the doctor has selected them. Whether right or wrong, the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doctor has determined that (a brand's) required. And at that point here's the key point I'd like to say, that patient becomes a very high</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risk patient (if not) starting and stay under medication because of the increases in copays.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So there's 167 (inaudible) studies and individual studies that have proven one thing, if you lower the out of pocket cost of medication</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you drive adherence, actually improve overall quality of care and furthermore reduce total out of – total healthcare cost. So I think</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these (PBMs) are clearly focused on you know maximizing or reducing pharmacy budgets. First they want to always focus on generics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but clearly the data (inaudible), American Medical Association, Surescripts themselves that clearly, (branded) drugs reducing out of</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pocket cost is a good thing not only for the patient outcome but for overall healthcare cost.</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So, none of those programs have affected us. In fact pharma has to look at an overall strategy of looking at well, I'm currently paying a</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heck of a lot of rebates up front excess. They really are starting to look at this as the tangent of you know, if I'm going to reduce my</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cost where is the most effective way to reduce my cost?</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(Specifically) in (PMs) well I think certainly offer the best value to them. But furthermore though, they clearly realize that these patient</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copays are driving additional adherence and which is good obviously for the pharmaceutical business but it's certainly good every</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stakeholder in the game if you will.</w:t>
            </w:r>
          </w:p>
        </w:tc>
      </w:tr>
      <w:tr>
        <w:trPr>
          <w:trHeight w:val="540"/>
        </w:trPr>
        <w:tc>
          <w:tcPr>
            <w:tcW w:w="1340" w:type="dxa"/>
            <w:vAlign w:val="bottom"/>
          </w:tcPr>
          <w:p>
            <w:pPr>
              <w:spacing w:after="0"/>
              <w:rPr>
                <w:sz w:val="20"/>
                <w:szCs w:val="20"/>
                <w:color w:val="auto"/>
              </w:rPr>
            </w:pPr>
            <w:r>
              <w:rPr>
                <w:rFonts w:ascii="Arial" w:cs="Arial" w:eastAsia="Arial" w:hAnsi="Arial"/>
                <w:sz w:val="18"/>
                <w:szCs w:val="18"/>
                <w:color w:val="auto"/>
              </w:rPr>
              <w:t>Kevin Tracey:</w:t>
            </w:r>
          </w:p>
        </w:tc>
        <w:tc>
          <w:tcPr>
            <w:tcW w:w="10080" w:type="dxa"/>
            <w:vAlign w:val="bottom"/>
          </w:tcPr>
          <w:p>
            <w:pPr>
              <w:ind w:left="280"/>
              <w:spacing w:after="0"/>
              <w:rPr>
                <w:sz w:val="20"/>
                <w:szCs w:val="20"/>
                <w:color w:val="auto"/>
              </w:rPr>
            </w:pPr>
            <w:r>
              <w:rPr>
                <w:rFonts w:ascii="Arial" w:cs="Arial" w:eastAsia="Arial" w:hAnsi="Arial"/>
                <w:sz w:val="18"/>
                <w:szCs w:val="18"/>
                <w:color w:val="auto"/>
                <w:w w:val="96"/>
              </w:rPr>
              <w:t>OK. All right, fair enough. And then I just had a question about the size of the overall market. In the widely (cited) PCMA report I</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think they've estimated that there were 100 million copay coupons distributed in 2010 representing 13 percent of branded prescriptions.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And but then when you look at the last number reported by IMS in 2011, their number was 3.8 percent of total branded prescriptions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which comes to about 30 or 35 million coupons distributed annually.</w:t>
            </w:r>
          </w:p>
        </w:tc>
      </w:tr>
      <w:tr>
        <w:trPr>
          <w:trHeight w:val="64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So with – I guess which number is the correct one to think about in terms of your business?</w:t>
            </w:r>
          </w:p>
        </w:tc>
      </w:tr>
      <w:tr>
        <w:trPr>
          <w:trHeight w:val="459"/>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r>
        <w:trPr>
          <w:trHeight w:val="224"/>
        </w:trPr>
        <w:tc>
          <w:tcPr>
            <w:tcW w:w="1340" w:type="dxa"/>
            <w:vAlign w:val="bottom"/>
          </w:tcPr>
          <w:p>
            <w:pPr>
              <w:spacing w:after="0"/>
              <w:rPr>
                <w:sz w:val="19"/>
                <w:szCs w:val="19"/>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w w:val="95"/>
              </w:rPr>
              <w:t>Well clearly it's been confirmed that the top 500 brands, of the top 500 brands 370 have coupons. So I can't give you the specific</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2"/>
              </w:rPr>
              <w:t>number but it would tend to lean towards the 100 million. But that's just you know again, when you look at clearly copays are working</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for not only the pharmaceutical business but working for doctors, working for patients.</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Kevin Tracey:</w:t>
            </w:r>
          </w:p>
        </w:tc>
        <w:tc>
          <w:tcPr>
            <w:tcW w:w="9880" w:type="dxa"/>
            <w:vAlign w:val="bottom"/>
          </w:tcPr>
          <w:p>
            <w:pPr>
              <w:ind w:left="80"/>
              <w:spacing w:after="0"/>
              <w:rPr>
                <w:sz w:val="20"/>
                <w:szCs w:val="20"/>
                <w:color w:val="auto"/>
              </w:rPr>
            </w:pPr>
            <w:r>
              <w:rPr>
                <w:rFonts w:ascii="Arial" w:cs="Arial" w:eastAsia="Arial" w:hAnsi="Arial"/>
                <w:sz w:val="18"/>
                <w:szCs w:val="18"/>
                <w:color w:val="auto"/>
              </w:rPr>
              <w:t>All right, well thank you.</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Operator:</w:t>
            </w:r>
          </w:p>
        </w:tc>
        <w:tc>
          <w:tcPr>
            <w:tcW w:w="9880" w:type="dxa"/>
            <w:vAlign w:val="bottom"/>
          </w:tcPr>
          <w:p>
            <w:pPr>
              <w:ind w:left="80"/>
              <w:spacing w:after="0"/>
              <w:rPr>
                <w:sz w:val="20"/>
                <w:szCs w:val="20"/>
                <w:color w:val="auto"/>
              </w:rPr>
            </w:pPr>
            <w:r>
              <w:rPr>
                <w:rFonts w:ascii="Arial" w:cs="Arial" w:eastAsia="Arial" w:hAnsi="Arial"/>
                <w:sz w:val="18"/>
                <w:szCs w:val="18"/>
                <w:color w:val="auto"/>
              </w:rPr>
              <w:t>Your next question comes from the line of Joey Delahoussaye.</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w w:val="93"/>
              </w:rPr>
              <w:t>Joey Delahoussaye:</w:t>
            </w:r>
          </w:p>
        </w:tc>
        <w:tc>
          <w:tcPr>
            <w:tcW w:w="9880" w:type="dxa"/>
            <w:vAlign w:val="bottom"/>
          </w:tcPr>
          <w:p>
            <w:pPr>
              <w:ind w:left="80"/>
              <w:spacing w:after="0"/>
              <w:rPr>
                <w:sz w:val="20"/>
                <w:szCs w:val="20"/>
                <w:color w:val="auto"/>
              </w:rPr>
            </w:pPr>
            <w:r>
              <w:rPr>
                <w:rFonts w:ascii="Arial" w:cs="Arial" w:eastAsia="Arial" w:hAnsi="Arial"/>
                <w:sz w:val="18"/>
                <w:szCs w:val="18"/>
                <w:color w:val="auto"/>
                <w:w w:val="92"/>
              </w:rPr>
              <w:t>Hi, thanks for taking the call. I had a quick question. Normally you give monthly distribution numbers and I don't recall hearing that on</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this call. I was wondering if you wouldn't mind sharing the January, February and March distribution numbers.</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We're not – Dave do we have that prepared?</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David Lester::</w:t>
            </w:r>
          </w:p>
        </w:tc>
        <w:tc>
          <w:tcPr>
            <w:tcW w:w="9880" w:type="dxa"/>
            <w:vAlign w:val="bottom"/>
          </w:tcPr>
          <w:p>
            <w:pPr>
              <w:ind w:left="80"/>
              <w:spacing w:after="0"/>
              <w:rPr>
                <w:sz w:val="20"/>
                <w:szCs w:val="20"/>
                <w:color w:val="auto"/>
              </w:rPr>
            </w:pPr>
            <w:r>
              <w:rPr>
                <w:rFonts w:ascii="Arial" w:cs="Arial" w:eastAsia="Arial" w:hAnsi="Arial"/>
                <w:sz w:val="18"/>
                <w:szCs w:val="18"/>
                <w:color w:val="auto"/>
              </w:rPr>
              <w:t>No, we don't.</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No. So we'll certainly be talking about the first quarter soon but we don't have any of those numbers.</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w w:val="93"/>
              </w:rPr>
              <w:t>Joey Delahoussaye:</w:t>
            </w:r>
          </w:p>
        </w:tc>
        <w:tc>
          <w:tcPr>
            <w:tcW w:w="9880" w:type="dxa"/>
            <w:vAlign w:val="bottom"/>
          </w:tcPr>
          <w:p>
            <w:pPr>
              <w:ind w:left="80"/>
              <w:spacing w:after="0"/>
              <w:rPr>
                <w:sz w:val="20"/>
                <w:szCs w:val="20"/>
                <w:color w:val="auto"/>
              </w:rPr>
            </w:pPr>
            <w:r>
              <w:rPr>
                <w:rFonts w:ascii="Arial" w:cs="Arial" w:eastAsia="Arial" w:hAnsi="Arial"/>
                <w:sz w:val="18"/>
                <w:szCs w:val="18"/>
                <w:color w:val="auto"/>
                <w:w w:val="96"/>
              </w:rPr>
              <w:t>OK. And then I think in a previous presentation you guys mentioned that your goal internal goal at least was to resell one million</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distributions by the third quarter of this year. Are you guys you know still confident in sticking to that – to that goal?</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Well (inaudible) so …</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w w:val="93"/>
              </w:rPr>
              <w:t>Joey Delahoussaye:</w:t>
            </w:r>
          </w:p>
        </w:tc>
        <w:tc>
          <w:tcPr>
            <w:tcW w:w="9880" w:type="dxa"/>
            <w:vAlign w:val="bottom"/>
          </w:tcPr>
          <w:p>
            <w:pPr>
              <w:ind w:left="80"/>
              <w:spacing w:after="0"/>
              <w:rPr>
                <w:sz w:val="20"/>
                <w:szCs w:val="20"/>
                <w:color w:val="auto"/>
              </w:rPr>
            </w:pPr>
            <w:r>
              <w:rPr>
                <w:rFonts w:ascii="Arial" w:cs="Arial" w:eastAsia="Arial" w:hAnsi="Arial"/>
                <w:sz w:val="18"/>
                <w:szCs w:val="18"/>
                <w:color w:val="auto"/>
              </w:rPr>
              <w:t>Yes, yes I'm sorry – I'm sorry. I meant (inaudible).</w:t>
            </w:r>
          </w:p>
        </w:tc>
      </w:tr>
      <w:tr>
        <w:trPr>
          <w:trHeight w:val="567"/>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679"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Yes. So we think that is an attainable goal, so yes.</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w w:val="93"/>
              </w:rPr>
              <w:t>Joey Delahoussaye:</w:t>
            </w:r>
          </w:p>
        </w:tc>
        <w:tc>
          <w:tcPr>
            <w:tcW w:w="9880" w:type="dxa"/>
            <w:vAlign w:val="bottom"/>
          </w:tcPr>
          <w:p>
            <w:pPr>
              <w:ind w:left="80"/>
              <w:spacing w:after="0"/>
              <w:rPr>
                <w:sz w:val="20"/>
                <w:szCs w:val="20"/>
                <w:color w:val="auto"/>
              </w:rPr>
            </w:pPr>
            <w:r>
              <w:rPr>
                <w:rFonts w:ascii="Arial" w:cs="Arial" w:eastAsia="Arial" w:hAnsi="Arial"/>
                <w:sz w:val="18"/>
                <w:szCs w:val="18"/>
                <w:color w:val="auto"/>
                <w:w w:val="92"/>
              </w:rPr>
              <w:t>OK. And then I had a question regarding the settlement with LDM. You mentioned you guys are now partnered and you see a kind of</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0"/>
              </w:rPr>
              <w:t>more of a as business relationship. I guess when I read the disclosures it seemed like more of a you know we lost the case they won the</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1"/>
              </w:rPr>
              <w:t>case, they get a royalty going forward that amounts seems like maybe 50 cents of distribution but maybe if – maybe I'm misinterpreting</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that.</w:t>
            </w:r>
          </w:p>
        </w:tc>
      </w:tr>
      <w:tr>
        <w:trPr>
          <w:trHeight w:val="540"/>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4"/>
              </w:rPr>
              <w:t>Could you maybe talk about that relationship going forward and what it means for us? Are we growing you know the size of the pie</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that we'll eventually get or …</w:t>
            </w:r>
          </w:p>
        </w:tc>
      </w:tr>
      <w:tr>
        <w:trPr>
          <w:trHeight w:val="472"/>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w w:val="93"/>
              </w:rPr>
              <w:t>Right, right. So there are a couple of things of why we view it as a real positive thing is number one, LDM has approximately 65,000</w:t>
            </w:r>
          </w:p>
        </w:tc>
      </w:tr>
      <w:tr>
        <w:trPr>
          <w:trHeight w:val="216"/>
        </w:trPr>
        <w:tc>
          <w:tcPr>
            <w:tcW w:w="154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1"/>
              </w:rPr>
              <w:t>doctors that we currently can't get to. So our integration of our coupons are going to be a significant revenue enhancement. Secondly,</w:t>
            </w:r>
          </w:p>
        </w:tc>
      </w:tr>
      <w:tr>
        <w:trPr>
          <w:trHeight w:val="216"/>
        </w:trPr>
        <w:tc>
          <w:tcPr>
            <w:tcW w:w="154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3"/>
              </w:rPr>
              <w:t>they also have point of pharmacy opportunities too that we look forward to exploring. Third, they have a – we have a revenue share</w:t>
            </w:r>
          </w:p>
        </w:tc>
      </w:tr>
      <w:tr>
        <w:trPr>
          <w:trHeight w:val="230"/>
        </w:trPr>
        <w:tc>
          <w:tcPr>
            <w:tcW w:w="154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agreement with them on their patient education.</w:t>
            </w:r>
          </w:p>
        </w:tc>
      </w:tr>
      <w:tr>
        <w:trPr>
          <w:trHeight w:val="432"/>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So we see this as something that can strengthen our business.</w:t>
            </w:r>
          </w:p>
        </w:tc>
      </w:tr>
      <w:tr>
        <w:trPr>
          <w:trHeight w:val="486"/>
        </w:trPr>
        <w:tc>
          <w:tcPr>
            <w:tcW w:w="1540" w:type="dxa"/>
            <w:vAlign w:val="bottom"/>
          </w:tcPr>
          <w:p>
            <w:pPr>
              <w:spacing w:after="0"/>
              <w:rPr>
                <w:sz w:val="20"/>
                <w:szCs w:val="20"/>
                <w:color w:val="auto"/>
              </w:rPr>
            </w:pPr>
            <w:r>
              <w:rPr>
                <w:rFonts w:ascii="Arial" w:cs="Arial" w:eastAsia="Arial" w:hAnsi="Arial"/>
                <w:sz w:val="18"/>
                <w:szCs w:val="18"/>
                <w:color w:val="auto"/>
                <w:w w:val="93"/>
              </w:rPr>
              <w:t>Joey Delahoussaye:</w:t>
            </w:r>
          </w:p>
        </w:tc>
        <w:tc>
          <w:tcPr>
            <w:tcW w:w="9880" w:type="dxa"/>
            <w:vAlign w:val="bottom"/>
          </w:tcPr>
          <w:p>
            <w:pPr>
              <w:ind w:left="80"/>
              <w:spacing w:after="0"/>
              <w:rPr>
                <w:sz w:val="20"/>
                <w:szCs w:val="20"/>
                <w:color w:val="auto"/>
              </w:rPr>
            </w:pPr>
            <w:r>
              <w:rPr>
                <w:rFonts w:ascii="Arial" w:cs="Arial" w:eastAsia="Arial" w:hAnsi="Arial"/>
                <w:sz w:val="18"/>
                <w:szCs w:val="18"/>
                <w:color w:val="auto"/>
                <w:w w:val="92"/>
              </w:rPr>
              <w:t>OK, OK. And it just seems like initially it could be somewhat of a I guess a drag on expenses or whatnot having to I guess this year if</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2"/>
              </w:rPr>
              <w:t>we meet 2 million distributions you know or gold or 2.4 or whatever. You know you guys said that you were confident in being able to</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6"/>
              </w:rPr>
              <w:t>double the distribution. It seems like that's the intermediate you know 1 million out of pocket that we're now giving to them. But I</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4"/>
              </w:rPr>
              <w:t>guess you guys see it as we can potentially you know reap more than 1 million coming out to them you know from our relationship</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with them. Is that pretty much the case?</w:t>
            </w: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w w:val="93"/>
              </w:rPr>
              <w:t>Yes I would – I would but I'm not sure your numbers are correct on the 1 million. But I clearly think they can help us grow the market</w:t>
            </w:r>
          </w:p>
        </w:tc>
      </w:tr>
      <w:tr>
        <w:trPr>
          <w:trHeight w:val="216"/>
        </w:trPr>
        <w:tc>
          <w:tcPr>
            <w:tcW w:w="154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5"/>
              </w:rPr>
              <w:t>general for our distribution network. And I think they can complement our eCoupons with their sponsored content and the patient</w:t>
            </w:r>
          </w:p>
        </w:tc>
      </w:tr>
      <w:tr>
        <w:trPr>
          <w:trHeight w:val="230"/>
        </w:trPr>
        <w:tc>
          <w:tcPr>
            <w:tcW w:w="154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education. So, overall I think it's going to be a very favorable impact financially to us.</w:t>
            </w:r>
          </w:p>
        </w:tc>
      </w:tr>
      <w:tr>
        <w:trPr>
          <w:trHeight w:val="405"/>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679"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w w:val="93"/>
              </w:rPr>
              <w:t>Joey Delahoussaye:</w:t>
            </w:r>
          </w:p>
        </w:tc>
        <w:tc>
          <w:tcPr>
            <w:tcW w:w="9880" w:type="dxa"/>
            <w:vAlign w:val="bottom"/>
          </w:tcPr>
          <w:p>
            <w:pPr>
              <w:ind w:left="80"/>
              <w:spacing w:after="0"/>
              <w:rPr>
                <w:sz w:val="20"/>
                <w:szCs w:val="20"/>
                <w:color w:val="auto"/>
              </w:rPr>
            </w:pPr>
            <w:r>
              <w:rPr>
                <w:rFonts w:ascii="Arial" w:cs="Arial" w:eastAsia="Arial" w:hAnsi="Arial"/>
                <w:sz w:val="18"/>
                <w:szCs w:val="18"/>
                <w:color w:val="auto"/>
              </w:rPr>
              <w:t>OK. OK that's all I have, thank you.</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Thank you.</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Operator:</w:t>
            </w:r>
          </w:p>
        </w:tc>
        <w:tc>
          <w:tcPr>
            <w:tcW w:w="9880" w:type="dxa"/>
            <w:vAlign w:val="bottom"/>
          </w:tcPr>
          <w:p>
            <w:pPr>
              <w:ind w:left="80"/>
              <w:spacing w:after="0"/>
              <w:rPr>
                <w:sz w:val="20"/>
                <w:szCs w:val="20"/>
                <w:color w:val="auto"/>
              </w:rPr>
            </w:pPr>
            <w:r>
              <w:rPr>
                <w:rFonts w:ascii="Arial" w:cs="Arial" w:eastAsia="Arial" w:hAnsi="Arial"/>
                <w:sz w:val="18"/>
                <w:szCs w:val="18"/>
                <w:color w:val="auto"/>
              </w:rPr>
              <w:t>Your next question comes from the line of Randy Rageth.</w:t>
            </w:r>
          </w:p>
        </w:tc>
      </w:tr>
      <w:tr>
        <w:trPr>
          <w:trHeight w:val="324"/>
        </w:trPr>
        <w:tc>
          <w:tcPr>
            <w:tcW w:w="1540" w:type="dxa"/>
            <w:vAlign w:val="bottom"/>
          </w:tcPr>
          <w:p>
            <w:pPr>
              <w:spacing w:after="0"/>
              <w:rPr>
                <w:sz w:val="20"/>
                <w:szCs w:val="20"/>
                <w:color w:val="auto"/>
              </w:rPr>
            </w:pPr>
            <w:r>
              <w:rPr>
                <w:rFonts w:ascii="Arial" w:cs="Arial" w:eastAsia="Arial" w:hAnsi="Arial"/>
                <w:sz w:val="18"/>
                <w:szCs w:val="18"/>
                <w:color w:val="auto"/>
              </w:rPr>
              <w:t>Randy Rageth:</w:t>
            </w:r>
          </w:p>
        </w:tc>
        <w:tc>
          <w:tcPr>
            <w:tcW w:w="9880" w:type="dxa"/>
            <w:vAlign w:val="bottom"/>
          </w:tcPr>
          <w:p>
            <w:pPr>
              <w:ind w:left="80"/>
              <w:spacing w:after="0"/>
              <w:rPr>
                <w:sz w:val="20"/>
                <w:szCs w:val="20"/>
                <w:color w:val="auto"/>
              </w:rPr>
            </w:pPr>
            <w:r>
              <w:rPr>
                <w:rFonts w:ascii="Arial" w:cs="Arial" w:eastAsia="Arial" w:hAnsi="Arial"/>
                <w:sz w:val="18"/>
                <w:szCs w:val="18"/>
                <w:color w:val="auto"/>
                <w:w w:val="93"/>
              </w:rPr>
              <w:t>Yes good morning. So in your – in the call earlier you referenced to double transactions in 2014. In the (10Q) summary recently you</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1"/>
              </w:rPr>
              <w:t>referenced that we believe that we will achieve a small improvement to net income in 2014. Could you maybe talk about the difference</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there? If we're going to double transactions, wouldn't we in essence be doubling the profit as well?</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w w:val="94"/>
              </w:rPr>
              <w:t>Absolutely. So we're not sure what you're referring to, was it a small – I guess we'll have to look at what you're referring to. But we</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think clearly that our profits have significant similar upside growth too it if not greater than that so …</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Randy Rageth:</w:t>
            </w:r>
          </w:p>
        </w:tc>
        <w:tc>
          <w:tcPr>
            <w:tcW w:w="9880" w:type="dxa"/>
            <w:vAlign w:val="bottom"/>
          </w:tcPr>
          <w:p>
            <w:pPr>
              <w:ind w:left="80"/>
              <w:spacing w:after="0"/>
              <w:rPr>
                <w:sz w:val="20"/>
                <w:szCs w:val="20"/>
                <w:color w:val="auto"/>
              </w:rPr>
            </w:pPr>
            <w:r>
              <w:rPr>
                <w:rFonts w:ascii="Arial" w:cs="Arial" w:eastAsia="Arial" w:hAnsi="Arial"/>
                <w:sz w:val="18"/>
                <w:szCs w:val="18"/>
                <w:color w:val="auto"/>
                <w:w w:val="89"/>
              </w:rPr>
              <w:t>Yes, it was in the second paragraph under table of contents and net loss. And the second paragraph says we believe that our company is</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6"/>
              </w:rPr>
              <w:t>starting to show real signs of improvement with positive income this year and then period. And then it says with increased sales</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2"/>
              </w:rPr>
              <w:t>forecasted for next year, we believe that we will achieve a small improvement to net income in 2014. That's just a quote from again …</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David Lester:</w:t>
            </w:r>
          </w:p>
        </w:tc>
        <w:tc>
          <w:tcPr>
            <w:tcW w:w="9880" w:type="dxa"/>
            <w:vAlign w:val="bottom"/>
          </w:tcPr>
          <w:p>
            <w:pPr>
              <w:ind w:left="80"/>
              <w:spacing w:after="0"/>
              <w:rPr>
                <w:sz w:val="20"/>
                <w:szCs w:val="20"/>
                <w:color w:val="auto"/>
              </w:rPr>
            </w:pPr>
            <w:r>
              <w:rPr>
                <w:rFonts w:ascii="Arial" w:cs="Arial" w:eastAsia="Arial" w:hAnsi="Arial"/>
                <w:sz w:val="18"/>
                <w:szCs w:val="18"/>
                <w:color w:val="auto"/>
              </w:rPr>
              <w:t>Well I think Dave is correct. I think you know we are expecting a significant improvement overall with the launch of our new</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2"/>
              </w:rPr>
              <w:t>technology, with the partnerships that we have you know having our cost bases now under control. We truly believe that you know we</w:t>
            </w:r>
          </w:p>
        </w:tc>
      </w:tr>
      <w:tr>
        <w:trPr>
          <w:trHeight w:val="324"/>
        </w:trPr>
        <w:tc>
          <w:tcPr>
            <w:tcW w:w="1540" w:type="dxa"/>
            <w:vAlign w:val="bottom"/>
          </w:tcPr>
          <w:p>
            <w:pPr>
              <w:spacing w:after="0"/>
              <w:rPr>
                <w:sz w:val="24"/>
                <w:szCs w:val="24"/>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are going to see significant improvement (as) sales improve as well.</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In profit.</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David Lester:</w:t>
            </w:r>
          </w:p>
        </w:tc>
        <w:tc>
          <w:tcPr>
            <w:tcW w:w="9880" w:type="dxa"/>
            <w:vAlign w:val="bottom"/>
          </w:tcPr>
          <w:p>
            <w:pPr>
              <w:ind w:left="80"/>
              <w:spacing w:after="0"/>
              <w:rPr>
                <w:sz w:val="20"/>
                <w:szCs w:val="20"/>
                <w:color w:val="auto"/>
              </w:rPr>
            </w:pPr>
            <w:r>
              <w:rPr>
                <w:rFonts w:ascii="Arial" w:cs="Arial" w:eastAsia="Arial" w:hAnsi="Arial"/>
                <w:sz w:val="18"/>
                <w:szCs w:val="18"/>
                <w:color w:val="auto"/>
              </w:rPr>
              <w:t>In profit</w:t>
            </w:r>
          </w:p>
        </w:tc>
      </w:tr>
      <w:tr>
        <w:trPr>
          <w:trHeight w:val="648"/>
        </w:trPr>
        <w:tc>
          <w:tcPr>
            <w:tcW w:w="1540" w:type="dxa"/>
            <w:vAlign w:val="bottom"/>
          </w:tcPr>
          <w:p>
            <w:pPr>
              <w:spacing w:after="0"/>
              <w:rPr>
                <w:sz w:val="20"/>
                <w:szCs w:val="20"/>
                <w:color w:val="auto"/>
              </w:rPr>
            </w:pPr>
            <w:r>
              <w:rPr>
                <w:rFonts w:ascii="Arial" w:cs="Arial" w:eastAsia="Arial" w:hAnsi="Arial"/>
                <w:sz w:val="18"/>
                <w:szCs w:val="18"/>
                <w:color w:val="auto"/>
              </w:rPr>
              <w:t>David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So let me – let me clarify that even further. If it says that that's wrong so we'll make a, we'll review that and …</w:t>
            </w:r>
          </w:p>
        </w:tc>
      </w:tr>
      <w:tr>
        <w:trPr>
          <w:trHeight w:val="540"/>
        </w:trPr>
        <w:tc>
          <w:tcPr>
            <w:tcW w:w="1540" w:type="dxa"/>
            <w:vAlign w:val="bottom"/>
          </w:tcPr>
          <w:p>
            <w:pPr>
              <w:spacing w:after="0"/>
              <w:rPr>
                <w:sz w:val="20"/>
                <w:szCs w:val="20"/>
                <w:color w:val="auto"/>
              </w:rPr>
            </w:pPr>
            <w:r>
              <w:rPr>
                <w:rFonts w:ascii="Arial" w:cs="Arial" w:eastAsia="Arial" w:hAnsi="Arial"/>
                <w:sz w:val="18"/>
                <w:szCs w:val="18"/>
                <w:color w:val="auto"/>
              </w:rPr>
              <w:t>Randy Rageth:</w:t>
            </w:r>
          </w:p>
        </w:tc>
        <w:tc>
          <w:tcPr>
            <w:tcW w:w="9880" w:type="dxa"/>
            <w:vAlign w:val="bottom"/>
          </w:tcPr>
          <w:p>
            <w:pPr>
              <w:ind w:left="80"/>
              <w:spacing w:after="0"/>
              <w:rPr>
                <w:sz w:val="20"/>
                <w:szCs w:val="20"/>
                <w:color w:val="auto"/>
              </w:rPr>
            </w:pPr>
            <w:r>
              <w:rPr>
                <w:rFonts w:ascii="Arial" w:cs="Arial" w:eastAsia="Arial" w:hAnsi="Arial"/>
                <w:sz w:val="18"/>
                <w:szCs w:val="18"/>
                <w:color w:val="auto"/>
              </w:rPr>
              <w:t>Yes well that would be great.</w:t>
            </w:r>
          </w:p>
        </w:tc>
      </w:tr>
      <w:tr>
        <w:trPr>
          <w:trHeight w:val="459"/>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1003"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Yes.</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Randy Rageth:</w:t>
            </w:r>
          </w:p>
        </w:tc>
        <w:tc>
          <w:tcPr>
            <w:tcW w:w="10060" w:type="dxa"/>
            <w:vAlign w:val="bottom"/>
          </w:tcPr>
          <w:p>
            <w:pPr>
              <w:ind w:left="260"/>
              <w:spacing w:after="0"/>
              <w:rPr>
                <w:sz w:val="20"/>
                <w:szCs w:val="20"/>
                <w:color w:val="auto"/>
              </w:rPr>
            </w:pPr>
            <w:r>
              <w:rPr>
                <w:rFonts w:ascii="Arial" w:cs="Arial" w:eastAsia="Arial" w:hAnsi="Arial"/>
                <w:sz w:val="18"/>
                <w:szCs w:val="18"/>
                <w:color w:val="auto"/>
              </w:rPr>
              <w:t>So ...</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7"/>
              </w:rPr>
              <w:t>So thanks for bringing that to our attention here. I don't know if it was referencing a small profit 2013. But again, we clearly can</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9"/>
              </w:rPr>
              <w:t>delineate that but let me delineate it now. Clearly we expect a significant – we expect to generate significant profits in 2014.</w:t>
            </w:r>
          </w:p>
        </w:tc>
      </w:tr>
      <w:tr>
        <w:trPr>
          <w:trHeight w:val="472"/>
        </w:trPr>
        <w:tc>
          <w:tcPr>
            <w:tcW w:w="1360" w:type="dxa"/>
            <w:vAlign w:val="bottom"/>
          </w:tcPr>
          <w:p>
            <w:pPr>
              <w:spacing w:after="0"/>
              <w:rPr>
                <w:sz w:val="20"/>
                <w:szCs w:val="20"/>
                <w:color w:val="auto"/>
              </w:rPr>
            </w:pPr>
            <w:r>
              <w:rPr>
                <w:rFonts w:ascii="Arial" w:cs="Arial" w:eastAsia="Arial" w:hAnsi="Arial"/>
                <w:sz w:val="18"/>
                <w:szCs w:val="18"/>
                <w:color w:val="auto"/>
              </w:rPr>
              <w:t>Randy Rageth:</w:t>
            </w: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That's great. And so 2013 revenue of approximately 5 million, you talk about revenues projected you'd referenced earlier that you're</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projecting making some projections. Are you going to share that at all (with us) for 2014 revenue?</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You know we don't want to – we haven't been and don't want to put an actual revenue target out there. But clearly you know obviously</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9"/>
              </w:rPr>
              <w:t>we're a distribution based company and we don't to give specific guidance. But again, I think we've been pretty clear that as</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transactional distribution will go up certainly revenue will. But we don't want to make specific future earnings or future revenue targets.</w:t>
            </w:r>
          </w:p>
        </w:tc>
      </w:tr>
      <w:tr>
        <w:trPr>
          <w:trHeight w:val="472"/>
        </w:trPr>
        <w:tc>
          <w:tcPr>
            <w:tcW w:w="1360" w:type="dxa"/>
            <w:vAlign w:val="bottom"/>
          </w:tcPr>
          <w:p>
            <w:pPr>
              <w:spacing w:after="0"/>
              <w:rPr>
                <w:sz w:val="20"/>
                <w:szCs w:val="20"/>
                <w:color w:val="auto"/>
              </w:rPr>
            </w:pPr>
            <w:r>
              <w:rPr>
                <w:rFonts w:ascii="Arial" w:cs="Arial" w:eastAsia="Arial" w:hAnsi="Arial"/>
                <w:sz w:val="18"/>
                <w:szCs w:val="18"/>
                <w:color w:val="auto"/>
              </w:rPr>
              <w:t>Randy Rageth:</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And the last question, a couple of months ago you'd referenced the a new relationship with WPP. Can you talk any more about what is</w:t>
            </w:r>
          </w:p>
        </w:tc>
      </w:t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it that OPTIMIZERx is doing with WPP? And is it revenue based, is it consulting so forth?</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Yes. So in addition to leveraging their technology and embed their virtual engagement technology that I talked about a little bit earlier</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6"/>
              </w:rPr>
              <w:t>in the call, we're basically giving them the opportunity to resell our services. They have access to virtually every pharmaceutical</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company at the (sea level), and they're looking for us to help them become a leader in the EHR promotional world.</w:t>
            </w:r>
          </w:p>
        </w:tc>
      </w:tr>
      <w:tr>
        <w:trPr>
          <w:trHeight w:val="540"/>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5"/>
              </w:rPr>
              <w:t>So we've just concluded training all of Grey Healthcare's account management staff. We've also been invited by (Sadler) another</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division under WPP to work with their executives; we met with them and they wanted to do the same thing too. So clearly they've been</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a very, very good effective partner. We just brought them into Lilly too, and Lilly wants to help develop overall strategies outside of</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just tactical implementation with both us and WPP so it supports you know our consulting side of the business.</w:t>
            </w:r>
          </w:p>
        </w:tc>
      </w:tr>
      <w:tr>
        <w:trPr>
          <w:trHeight w:val="459"/>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spacing w:after="0"/>
              <w:rPr>
                <w:sz w:val="19"/>
                <w:szCs w:val="19"/>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1003"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5"/>
              </w:rPr>
              <w:t>But again we're clearly at the early stages. I'm very encouraged by the significant commitment. And I do think that they can bring</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additional brands to at a minimum our core business of eCoupons.</w:t>
            </w: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Randy Rageth:</w:t>
            </w:r>
          </w:p>
        </w:tc>
        <w:tc>
          <w:tcPr>
            <w:tcW w:w="10060" w:type="dxa"/>
            <w:vAlign w:val="bottom"/>
          </w:tcPr>
          <w:p>
            <w:pPr>
              <w:ind w:left="260"/>
              <w:spacing w:after="0"/>
              <w:rPr>
                <w:sz w:val="20"/>
                <w:szCs w:val="20"/>
                <w:color w:val="auto"/>
              </w:rPr>
            </w:pPr>
            <w:r>
              <w:rPr>
                <w:rFonts w:ascii="Arial" w:cs="Arial" w:eastAsia="Arial" w:hAnsi="Arial"/>
                <w:sz w:val="18"/>
                <w:szCs w:val="18"/>
                <w:color w:val="auto"/>
              </w:rPr>
              <w:t>Very good. Thanks very much.</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Thank you.</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Operator:</w:t>
            </w:r>
          </w:p>
        </w:tc>
        <w:tc>
          <w:tcPr>
            <w:tcW w:w="10060" w:type="dxa"/>
            <w:vAlign w:val="bottom"/>
          </w:tcPr>
          <w:p>
            <w:pPr>
              <w:ind w:left="260"/>
              <w:spacing w:after="0"/>
              <w:rPr>
                <w:sz w:val="20"/>
                <w:szCs w:val="20"/>
                <w:color w:val="auto"/>
              </w:rPr>
            </w:pPr>
            <w:r>
              <w:rPr>
                <w:rFonts w:ascii="Arial" w:cs="Arial" w:eastAsia="Arial" w:hAnsi="Arial"/>
                <w:sz w:val="18"/>
                <w:szCs w:val="18"/>
                <w:color w:val="auto"/>
              </w:rPr>
              <w:t>Your next question comes from the line of Ryan Parker.</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Ryan Parker:</w:t>
            </w: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Hey guys, congratulations on the quarter and the year and all the progress. A follow up on the Grey Healthcare relationship, is the rep</w:t>
            </w:r>
          </w:p>
        </w:tc>
      </w:tr>
      <w:tr>
        <w:trPr>
          <w:trHeight w:val="324"/>
        </w:trPr>
        <w:tc>
          <w:tcPr>
            <w:tcW w:w="1360" w:type="dxa"/>
            <w:vAlign w:val="bottom"/>
          </w:tcPr>
          <w:p>
            <w:pPr>
              <w:spacing w:after="0"/>
              <w:rPr>
                <w:sz w:val="24"/>
                <w:szCs w:val="24"/>
                <w:color w:val="auto"/>
              </w:rPr>
            </w:pPr>
          </w:p>
        </w:tc>
        <w:tc>
          <w:tcPr>
            <w:tcW w:w="10060" w:type="dxa"/>
            <w:vAlign w:val="bottom"/>
          </w:tcPr>
          <w:p>
            <w:pPr>
              <w:ind w:left="1880"/>
              <w:spacing w:after="0"/>
              <w:rPr>
                <w:sz w:val="20"/>
                <w:szCs w:val="20"/>
                <w:color w:val="auto"/>
              </w:rPr>
            </w:pPr>
            <w:r>
              <w:rPr>
                <w:rFonts w:ascii="Arial" w:cs="Arial" w:eastAsia="Arial" w:hAnsi="Arial"/>
                <w:sz w:val="18"/>
                <w:szCs w:val="18"/>
                <w:color w:val="auto"/>
              </w:rPr>
              <w:t>on call functionality directly integrated into Sample MD or is that sort of complimentary I guess?</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Yes I mean it's complimentary. So we've built the functionality out to invite the rep in. You know the reality is though, if we can have a</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6"/>
              </w:rPr>
              <w:t>live interaction in real time we see that as really the futuristic aspect. So the key thing we have is just like we're integrated to the</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workflow, we wanted to do the same not only for doctors but certainly for nurses and maybe even the administrative support people.</w:t>
            </w:r>
          </w:p>
        </w:tc>
      </w:tr>
      <w:tr>
        <w:trPr>
          <w:trHeight w:val="648"/>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So the question comes down to that technology. Well where would a doctor want to (see this)? Frankly are they going to utilize it that</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much? Is it more likely that the nurse would do it or the administrative person on behalf of the provider? So these are things that we</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don't want to just go in and put it exactly where eCoupons are, we want to take some time.</w:t>
            </w:r>
          </w:p>
        </w:tc>
      </w:tr>
      <w:tr>
        <w:trPr>
          <w:trHeight w:val="540"/>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We've got some pharma companies helping us to determine that but does that answer your question?</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Ryan Parker:</w:t>
            </w:r>
          </w:p>
        </w:tc>
        <w:tc>
          <w:tcPr>
            <w:tcW w:w="10060" w:type="dxa"/>
            <w:vAlign w:val="bottom"/>
          </w:tcPr>
          <w:p>
            <w:pPr>
              <w:ind w:left="260"/>
              <w:spacing w:after="0"/>
              <w:rPr>
                <w:sz w:val="20"/>
                <w:szCs w:val="20"/>
                <w:color w:val="auto"/>
              </w:rPr>
            </w:pPr>
            <w:r>
              <w:rPr>
                <w:rFonts w:ascii="Arial" w:cs="Arial" w:eastAsia="Arial" w:hAnsi="Arial"/>
                <w:sz w:val="18"/>
                <w:szCs w:val="18"/>
                <w:color w:val="auto"/>
              </w:rPr>
              <w:t>Yes it does, thanks. How does – how does the rep on call compare to the (e-vite) rep functionality that you have?</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David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It's the same.</w:t>
            </w:r>
          </w:p>
        </w:tc>
      </w:tr>
      <w:tr>
        <w:trPr>
          <w:trHeight w:val="459"/>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spacing w:after="0"/>
              <w:rPr>
                <w:sz w:val="19"/>
                <w:szCs w:val="19"/>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679"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rPr>
              <w:t>It's the same?</w:t>
            </w:r>
          </w:p>
        </w:tc>
      </w:tr>
      <w:tr>
        <w:trPr>
          <w:trHeight w:val="540"/>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rPr>
              <w:t>We're just trying to figure out exactly – it's all in the same platform.</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rPr>
              <w:t>OK.</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So it's a huge opportunity. I mean the number one thing from a marketing standpoint that's been challenged in the pharmaceutical</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industry and why we're in the business is, the fact that reps don't have access. And so one of the benefits is basically we want to take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everything that used to be in that big drug sample bag like patient education, alternative to drug samples but even getting the rep in but</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based on the doctors and the staff's terms, not this cold calling that has really put a hindrance to the effectiveness of the sales reps.</w:t>
            </w:r>
          </w:p>
        </w:tc>
      </w:tr>
      <w:tr>
        <w:trPr>
          <w:trHeight w:val="64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So the goal is to say you know, how can we provide their services at the most optimal time? And the most optimal time is when the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doctor wants it. So it's a huge opportunity, we're just trying to really look at the best way of integrating this into their workflow. And I</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don't know if we completely have that answer yet but you know just for example, most rep – doctors don't even know who the reps are</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any more.</w:t>
            </w:r>
          </w:p>
        </w:tc>
      </w:tr>
      <w:tr>
        <w:trPr>
          <w:trHeight w:val="540"/>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1"/>
              </w:rPr>
              <w:t>So, at least the ability to click a button or have it under practice management system where they set up all the appointments and things</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4"/>
              </w:rPr>
              <w:t>like that, could that be an opportunity too? So it's a very, very exciting technology we develop. We just want to get it right and learn</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from it and expand on it, potentially maybe even change the way the interaction takes place.</w:t>
            </w:r>
          </w:p>
        </w:tc>
      </w:tr>
      <w:tr>
        <w:trPr>
          <w:trHeight w:val="540"/>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rPr>
              <w:t>Relative to (PDR) and integration with (PDR), what is the status of that?</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Well, we're continuing to well work together to look at opportunities. So I think the (PDR) integration is close to completion. So I think</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it's continuing to move forward.</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rPr>
              <w:t>OK. On LDM the royalty that you're going to pay to LDM does it – will it run through the revenue share line or (GNA)?</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rPr>
              <w:t>Yes, it will be taken prior to the revenue share.</w:t>
            </w:r>
          </w:p>
        </w:tc>
      </w:tr>
      <w:tr>
        <w:trPr>
          <w:trHeight w:val="459"/>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r>
        <w:trPr>
          <w:trHeight w:val="224"/>
        </w:trPr>
        <w:tc>
          <w:tcPr>
            <w:tcW w:w="1340" w:type="dxa"/>
            <w:vAlign w:val="bottom"/>
          </w:tcPr>
          <w:p>
            <w:pPr>
              <w:spacing w:after="0"/>
              <w:rPr>
                <w:sz w:val="19"/>
                <w:szCs w:val="19"/>
                <w:color w:val="auto"/>
              </w:rPr>
            </w:pPr>
          </w:p>
        </w:tc>
        <w:tc>
          <w:tcPr>
            <w:tcW w:w="10080" w:type="dxa"/>
            <w:vAlign w:val="bottom"/>
          </w:tcPr>
          <w:p>
            <w:pPr>
              <w:ind w:left="42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1003"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rPr>
              <w:t>OK. So it'll be a net to – it'll be essentially a net to revenue?</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rPr>
              <w:t>Right.</w:t>
            </w:r>
          </w:p>
        </w:tc>
      </w:tr>
      <w:tr>
        <w:trPr>
          <w:trHeight w:val="540"/>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Yes OK. And one on guidance, I know you guys are not going to provide specifics. But on operating expenses in 2014 if you guys can</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9"/>
              </w:rPr>
              <w:t>double revenue, can you give us a sense of what you'd expect in terms of operating expenses with the doubling of revenue?</w:t>
            </w:r>
          </w:p>
        </w:tc>
      </w:tr>
      <w:tr>
        <w:trPr>
          <w:trHeight w:val="256"/>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You know at this point I don't think we're prepared to do that. But it's something that you know, basically we want to make sure we're</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0"/>
              </w:rPr>
              <w:t>falling in line with anything as far as our accounting issues and our auditors. So that's something that maybe we can address on our next</w:t>
            </w:r>
          </w:p>
        </w:tc>
      </w:tr>
      <w:tr>
        <w:trPr>
          <w:trHeight w:val="216"/>
        </w:trPr>
        <w:tc>
          <w:tcPr>
            <w:tcW w:w="1340" w:type="dxa"/>
            <w:vAlign w:val="bottom"/>
          </w:tcPr>
          <w:p>
            <w:pPr>
              <w:spacing w:after="0"/>
              <w:rPr>
                <w:sz w:val="18"/>
                <w:szCs w:val="18"/>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2"/>
              </w:rPr>
              <w:t>call. But you know obviously if you do the 40 percent revenue share on an average, you know our overhead is going to be increasing</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because of the staff that we're bringing on.</w:t>
            </w:r>
          </w:p>
        </w:tc>
      </w:tr>
      <w:tr>
        <w:trPr>
          <w:trHeight w:val="418"/>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But again you know using a three million three and a half million four million, you can see that you know we think there's going to be</w:t>
            </w:r>
          </w:p>
        </w:tc>
      </w:tr>
      <w:tr>
        <w:trPr>
          <w:trHeight w:val="230"/>
        </w:trPr>
        <w:tc>
          <w:tcPr>
            <w:tcW w:w="1340" w:type="dxa"/>
            <w:vAlign w:val="bottom"/>
          </w:tcPr>
          <w:p>
            <w:pPr>
              <w:spacing w:after="0"/>
              <w:rPr>
                <w:sz w:val="20"/>
                <w:szCs w:val="20"/>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some significant profits that are generated.</w:t>
            </w:r>
          </w:p>
        </w:tc>
      </w:tr>
      <w:tr>
        <w:trPr>
          <w:trHeight w:val="486"/>
        </w:trPr>
        <w:tc>
          <w:tcPr>
            <w:tcW w:w="1340" w:type="dxa"/>
            <w:vAlign w:val="bottom"/>
          </w:tcPr>
          <w:p>
            <w:pPr>
              <w:spacing w:after="0"/>
              <w:rPr>
                <w:sz w:val="20"/>
                <w:szCs w:val="20"/>
                <w:color w:val="auto"/>
              </w:rPr>
            </w:pPr>
            <w:r>
              <w:rPr>
                <w:rFonts w:ascii="Arial" w:cs="Arial" w:eastAsia="Arial" w:hAnsi="Arial"/>
                <w:sz w:val="18"/>
                <w:szCs w:val="18"/>
                <w:color w:val="auto"/>
              </w:rPr>
              <w:t>Ryan Parker:</w:t>
            </w:r>
          </w:p>
        </w:tc>
        <w:tc>
          <w:tcPr>
            <w:tcW w:w="10080" w:type="dxa"/>
            <w:vAlign w:val="bottom"/>
          </w:tcPr>
          <w:p>
            <w:pPr>
              <w:ind w:left="280"/>
              <w:spacing w:after="0"/>
              <w:rPr>
                <w:sz w:val="20"/>
                <w:szCs w:val="20"/>
                <w:color w:val="auto"/>
              </w:rPr>
            </w:pPr>
            <w:r>
              <w:rPr>
                <w:rFonts w:ascii="Arial" w:cs="Arial" w:eastAsia="Arial" w:hAnsi="Arial"/>
                <w:sz w:val="18"/>
                <w:szCs w:val="18"/>
                <w:color w:val="auto"/>
              </w:rPr>
              <w:t>OK that's great. OK, thank you guys.</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5"/>
              </w:rPr>
              <w:t>Well thank you guys, I know we're a little over time. So we thank everybody for their continued support and interest. Dave, do you</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have any final comments?</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David Lester:</w:t>
            </w:r>
          </w:p>
        </w:tc>
        <w:tc>
          <w:tcPr>
            <w:tcW w:w="10080" w:type="dxa"/>
            <w:vAlign w:val="bottom"/>
          </w:tcPr>
          <w:p>
            <w:pPr>
              <w:ind w:left="280"/>
              <w:spacing w:after="0"/>
              <w:rPr>
                <w:sz w:val="20"/>
                <w:szCs w:val="20"/>
                <w:color w:val="auto"/>
              </w:rPr>
            </w:pPr>
            <w:r>
              <w:rPr>
                <w:rFonts w:ascii="Arial" w:cs="Arial" w:eastAsia="Arial" w:hAnsi="Arial"/>
                <w:sz w:val="18"/>
                <w:szCs w:val="18"/>
                <w:color w:val="auto"/>
              </w:rPr>
              <w:t>No, no. Thank you.</w:t>
            </w:r>
          </w:p>
        </w:tc>
      </w:tr>
      <w:tr>
        <w:trPr>
          <w:trHeight w:val="648"/>
        </w:trPr>
        <w:tc>
          <w:tcPr>
            <w:tcW w:w="1340" w:type="dxa"/>
            <w:vAlign w:val="bottom"/>
          </w:tcPr>
          <w:p>
            <w:pPr>
              <w:spacing w:after="0"/>
              <w:rPr>
                <w:sz w:val="20"/>
                <w:szCs w:val="20"/>
                <w:color w:val="auto"/>
              </w:rPr>
            </w:pPr>
            <w:r>
              <w:rPr>
                <w:rFonts w:ascii="Arial" w:cs="Arial" w:eastAsia="Arial" w:hAnsi="Arial"/>
                <w:sz w:val="18"/>
                <w:szCs w:val="18"/>
                <w:color w:val="auto"/>
              </w:rPr>
              <w:t>David Harrell:</w:t>
            </w:r>
          </w:p>
        </w:tc>
        <w:tc>
          <w:tcPr>
            <w:tcW w:w="10080" w:type="dxa"/>
            <w:vAlign w:val="bottom"/>
          </w:tcPr>
          <w:p>
            <w:pPr>
              <w:ind w:left="280"/>
              <w:spacing w:after="0"/>
              <w:rPr>
                <w:sz w:val="20"/>
                <w:szCs w:val="20"/>
                <w:color w:val="auto"/>
              </w:rPr>
            </w:pPr>
            <w:r>
              <w:rPr>
                <w:rFonts w:ascii="Arial" w:cs="Arial" w:eastAsia="Arial" w:hAnsi="Arial"/>
                <w:sz w:val="18"/>
                <w:szCs w:val="18"/>
                <w:color w:val="auto"/>
                <w:w w:val="93"/>
              </w:rPr>
              <w:t>And look forward to following forward. We've got a lot on our plate. We've got a very dedicated team where we're working very, very</w:t>
            </w:r>
          </w:p>
        </w:tc>
      </w:tr>
      <w:tr>
        <w:trPr>
          <w:trHeight w:val="324"/>
        </w:trPr>
        <w:tc>
          <w:tcPr>
            <w:tcW w:w="1340" w:type="dxa"/>
            <w:vAlign w:val="bottom"/>
          </w:tcPr>
          <w:p>
            <w:pPr>
              <w:spacing w:after="0"/>
              <w:rPr>
                <w:sz w:val="24"/>
                <w:szCs w:val="24"/>
                <w:color w:val="auto"/>
              </w:rPr>
            </w:pPr>
          </w:p>
        </w:tc>
        <w:tc>
          <w:tcPr>
            <w:tcW w:w="10080" w:type="dxa"/>
            <w:vAlign w:val="bottom"/>
          </w:tcPr>
          <w:p>
            <w:pPr>
              <w:ind w:left="280"/>
              <w:spacing w:after="0"/>
              <w:rPr>
                <w:sz w:val="20"/>
                <w:szCs w:val="20"/>
                <w:color w:val="auto"/>
              </w:rPr>
            </w:pPr>
            <w:r>
              <w:rPr>
                <w:rFonts w:ascii="Arial" w:cs="Arial" w:eastAsia="Arial" w:hAnsi="Arial"/>
                <w:sz w:val="18"/>
                <w:szCs w:val="18"/>
                <w:color w:val="auto"/>
              </w:rPr>
              <w:t>hard and we're excited about our progress so we hope you are too. Thank you.</w:t>
            </w:r>
          </w:p>
        </w:tc>
      </w:tr>
      <w:tr>
        <w:trPr>
          <w:trHeight w:val="540"/>
        </w:trPr>
        <w:tc>
          <w:tcPr>
            <w:tcW w:w="1340" w:type="dxa"/>
            <w:vAlign w:val="bottom"/>
          </w:tcPr>
          <w:p>
            <w:pPr>
              <w:spacing w:after="0"/>
              <w:rPr>
                <w:sz w:val="20"/>
                <w:szCs w:val="20"/>
                <w:color w:val="auto"/>
              </w:rPr>
            </w:pPr>
            <w:r>
              <w:rPr>
                <w:rFonts w:ascii="Arial" w:cs="Arial" w:eastAsia="Arial" w:hAnsi="Arial"/>
                <w:sz w:val="18"/>
                <w:szCs w:val="18"/>
                <w:color w:val="auto"/>
              </w:rPr>
              <w:t>Operator:</w:t>
            </w:r>
          </w:p>
        </w:tc>
        <w:tc>
          <w:tcPr>
            <w:tcW w:w="10080" w:type="dxa"/>
            <w:vAlign w:val="bottom"/>
          </w:tcPr>
          <w:p>
            <w:pPr>
              <w:ind w:left="280"/>
              <w:spacing w:after="0"/>
              <w:rPr>
                <w:sz w:val="20"/>
                <w:szCs w:val="20"/>
                <w:color w:val="auto"/>
              </w:rPr>
            </w:pPr>
            <w:r>
              <w:rPr>
                <w:rFonts w:ascii="Arial" w:cs="Arial" w:eastAsia="Arial" w:hAnsi="Arial"/>
                <w:sz w:val="18"/>
                <w:szCs w:val="18"/>
                <w:color w:val="auto"/>
              </w:rPr>
              <w:t>Thank you. This concludes today's conference. You may now disconnect.</w:t>
            </w:r>
          </w:p>
        </w:tc>
      </w:tr>
      <w:tr>
        <w:trPr>
          <w:trHeight w:val="540"/>
        </w:trPr>
        <w:tc>
          <w:tcPr>
            <w:tcW w:w="1340" w:type="dxa"/>
            <w:vAlign w:val="bottom"/>
          </w:tcPr>
          <w:p>
            <w:pPr>
              <w:spacing w:after="0"/>
              <w:rPr>
                <w:sz w:val="24"/>
                <w:szCs w:val="24"/>
                <w:color w:val="auto"/>
              </w:rPr>
            </w:pPr>
          </w:p>
        </w:tc>
        <w:tc>
          <w:tcPr>
            <w:tcW w:w="10080" w:type="dxa"/>
            <w:vAlign w:val="bottom"/>
          </w:tcPr>
          <w:p>
            <w:pPr>
              <w:ind w:left="4180"/>
              <w:spacing w:after="0"/>
              <w:rPr>
                <w:sz w:val="20"/>
                <w:szCs w:val="20"/>
                <w:color w:val="auto"/>
              </w:rPr>
            </w:pPr>
            <w:r>
              <w:rPr>
                <w:rFonts w:ascii="Arial" w:cs="Arial" w:eastAsia="Arial" w:hAnsi="Arial"/>
                <w:sz w:val="18"/>
                <w:szCs w:val="18"/>
                <w:b w:val="1"/>
                <w:bCs w:val="1"/>
                <w:color w:val="auto"/>
              </w:rPr>
              <w:t>END</w:t>
            </w:r>
          </w:p>
        </w:tc>
      </w:tr>
      <w:tr>
        <w:trPr>
          <w:trHeight w:val="243"/>
        </w:trPr>
        <w:tc>
          <w:tcPr>
            <w:tcW w:w="1340" w:type="dxa"/>
            <w:vAlign w:val="bottom"/>
            <w:tcBorders>
              <w:bottom w:val="single" w:sz="8" w:color="auto"/>
            </w:tcBorders>
          </w:tcPr>
          <w:p>
            <w:pPr>
              <w:spacing w:after="0"/>
              <w:rPr>
                <w:sz w:val="21"/>
                <w:szCs w:val="21"/>
                <w:color w:val="auto"/>
              </w:rPr>
            </w:pPr>
          </w:p>
        </w:tc>
        <w:tc>
          <w:tcPr>
            <w:tcW w:w="10080" w:type="dxa"/>
            <w:vAlign w:val="bottom"/>
            <w:tcBorders>
              <w:bottom w:val="single" w:sz="8" w:color="auto"/>
            </w:tcBorders>
          </w:tcPr>
          <w:p>
            <w:pPr>
              <w:spacing w:after="0"/>
              <w:rPr>
                <w:sz w:val="21"/>
                <w:szCs w:val="21"/>
                <w:color w:val="auto"/>
              </w:rPr>
            </w:pPr>
          </w:p>
        </w:tc>
      </w:tr>
      <w:tr>
        <w:trPr>
          <w:trHeight w:val="224"/>
        </w:trPr>
        <w:tc>
          <w:tcPr>
            <w:tcW w:w="1340" w:type="dxa"/>
            <w:vAlign w:val="bottom"/>
          </w:tcPr>
          <w:p>
            <w:pPr>
              <w:spacing w:after="0"/>
              <w:rPr>
                <w:sz w:val="19"/>
                <w:szCs w:val="19"/>
                <w:color w:val="auto"/>
              </w:rPr>
            </w:pPr>
          </w:p>
        </w:tc>
        <w:tc>
          <w:tcPr>
            <w:tcW w:w="10080" w:type="dxa"/>
            <w:vAlign w:val="bottom"/>
          </w:tcPr>
          <w:p>
            <w:pPr>
              <w:ind w:left="42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895" w:right="239" w:bottom="1440" w:gutter="0" w:footer="0" w:header="0"/>
        </w:sectPr>
      </w:pPr>
    </w:p>
    <w:bookmarkStart w:id="19" w:name="page20"/>
    <w:bookmarkEnd w:id="1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2019-12-07T20:21:00Z</dcterms:created>
  <dcterms:modified xsi:type="dcterms:W3CDTF">2019-12-07T20:21:00Z</dcterms:modified>
</cp:coreProperties>
</file>