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24, 2020</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OptimizeRx Corporation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4460" w:type="dxa"/>
            <w:vAlign w:val="bottom"/>
            <w:gridSpan w:val="3"/>
          </w:tcPr>
          <w:p>
            <w:pPr>
              <w:jc w:val="center"/>
              <w:ind w:right="860"/>
              <w:spacing w:after="0"/>
              <w:rPr>
                <w:sz w:val="20"/>
                <w:szCs w:val="20"/>
                <w:color w:val="auto"/>
              </w:rPr>
            </w:pPr>
            <w:r>
              <w:rPr>
                <w:rFonts w:ascii="Arial" w:cs="Arial" w:eastAsia="Arial" w:hAnsi="Arial"/>
                <w:sz w:val="18"/>
                <w:szCs w:val="18"/>
                <w:color w:val="auto"/>
                <w:w w:val="90"/>
              </w:rPr>
              <w:t>Nevada</w:t>
            </w:r>
          </w:p>
        </w:tc>
        <w:tc>
          <w:tcPr>
            <w:tcW w:w="2940" w:type="dxa"/>
            <w:vAlign w:val="bottom"/>
            <w:gridSpan w:val="3"/>
          </w:tcPr>
          <w:p>
            <w:pPr>
              <w:jc w:val="right"/>
              <w:ind w:right="1400"/>
              <w:spacing w:after="0"/>
              <w:rPr>
                <w:sz w:val="20"/>
                <w:szCs w:val="20"/>
                <w:color w:val="auto"/>
              </w:rPr>
            </w:pPr>
            <w:r>
              <w:rPr>
                <w:rFonts w:ascii="Arial" w:cs="Arial" w:eastAsia="Arial" w:hAnsi="Arial"/>
                <w:sz w:val="18"/>
                <w:szCs w:val="18"/>
                <w:color w:val="auto"/>
              </w:rPr>
              <w:t>001-38543</w:t>
            </w:r>
          </w:p>
        </w:tc>
        <w:tc>
          <w:tcPr>
            <w:tcW w:w="240" w:type="dxa"/>
            <w:vAlign w:val="bottom"/>
          </w:tcPr>
          <w:p>
            <w:pPr>
              <w:spacing w:after="0"/>
              <w:rPr>
                <w:sz w:val="21"/>
                <w:szCs w:val="21"/>
                <w:color w:val="auto"/>
              </w:rPr>
            </w:pPr>
          </w:p>
        </w:tc>
        <w:tc>
          <w:tcPr>
            <w:tcW w:w="3600" w:type="dxa"/>
            <w:vAlign w:val="bottom"/>
          </w:tcPr>
          <w:p>
            <w:pPr>
              <w:jc w:val="right"/>
              <w:ind w:right="1270"/>
              <w:spacing w:after="0"/>
              <w:rPr>
                <w:sz w:val="20"/>
                <w:szCs w:val="20"/>
                <w:color w:val="auto"/>
              </w:rPr>
            </w:pPr>
            <w:r>
              <w:rPr>
                <w:rFonts w:ascii="Arial" w:cs="Arial" w:eastAsia="Arial" w:hAnsi="Arial"/>
                <w:sz w:val="18"/>
                <w:szCs w:val="18"/>
                <w:color w:val="auto"/>
              </w:rPr>
              <w:t>26-1265381</w:t>
            </w:r>
          </w:p>
        </w:tc>
      </w:tr>
      <w:tr>
        <w:trPr>
          <w:trHeight w:val="202"/>
        </w:trPr>
        <w:tc>
          <w:tcPr>
            <w:tcW w:w="3580" w:type="dxa"/>
            <w:vAlign w:val="bottom"/>
            <w:tcBorders>
              <w:top w:val="single" w:sz="8" w:color="auto"/>
            </w:tcBorders>
          </w:tcPr>
          <w:p>
            <w:pPr>
              <w:ind w:left="820"/>
              <w:spacing w:after="0" w:line="201" w:lineRule="exact"/>
              <w:rPr>
                <w:sz w:val="20"/>
                <w:szCs w:val="20"/>
                <w:color w:val="auto"/>
              </w:rPr>
            </w:pPr>
            <w:r>
              <w:rPr>
                <w:rFonts w:ascii="Arial" w:cs="Arial" w:eastAsia="Arial" w:hAnsi="Arial"/>
                <w:sz w:val="18"/>
                <w:szCs w:val="18"/>
                <w:color w:val="auto"/>
              </w:rPr>
              <w:t>(State or other jurisdiction</w:t>
            </w:r>
          </w:p>
        </w:tc>
        <w:tc>
          <w:tcPr>
            <w:tcW w:w="2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gridSpan w:val="3"/>
          </w:tcPr>
          <w:p>
            <w:pPr>
              <w:jc w:val="center"/>
              <w:ind w:right="620"/>
              <w:spacing w:after="0" w:line="201" w:lineRule="exact"/>
              <w:rPr>
                <w:sz w:val="20"/>
                <w:szCs w:val="20"/>
                <w:color w:val="auto"/>
              </w:rPr>
            </w:pPr>
            <w:r>
              <w:rPr>
                <w:rFonts w:ascii="Arial" w:cs="Arial" w:eastAsia="Arial" w:hAnsi="Arial"/>
                <w:sz w:val="18"/>
                <w:szCs w:val="18"/>
                <w:color w:val="auto"/>
                <w:w w:val="93"/>
              </w:rPr>
              <w:t>(Commission File Number)</w:t>
            </w:r>
          </w:p>
        </w:tc>
        <w:tc>
          <w:tcPr>
            <w:tcW w:w="240" w:type="dxa"/>
            <w:vAlign w:val="bottom"/>
          </w:tcPr>
          <w:p>
            <w:pPr>
              <w:spacing w:after="0"/>
              <w:rPr>
                <w:sz w:val="17"/>
                <w:szCs w:val="17"/>
                <w:color w:val="auto"/>
              </w:rPr>
            </w:pPr>
          </w:p>
        </w:tc>
        <w:tc>
          <w:tcPr>
            <w:tcW w:w="3600" w:type="dxa"/>
            <w:vAlign w:val="bottom"/>
            <w:tcBorders>
              <w:top w:val="single" w:sz="8" w:color="auto"/>
            </w:tcBorders>
          </w:tcPr>
          <w:p>
            <w:pPr>
              <w:ind w:left="1160"/>
              <w:spacing w:after="0" w:line="201" w:lineRule="exact"/>
              <w:rPr>
                <w:sz w:val="20"/>
                <w:szCs w:val="20"/>
                <w:color w:val="auto"/>
              </w:rPr>
            </w:pPr>
            <w:r>
              <w:rPr>
                <w:rFonts w:ascii="Arial" w:cs="Arial" w:eastAsia="Arial" w:hAnsi="Arial"/>
                <w:sz w:val="18"/>
                <w:szCs w:val="18"/>
                <w:color w:val="auto"/>
              </w:rPr>
              <w:t>(I.R.S. Employer</w:t>
            </w:r>
          </w:p>
        </w:tc>
      </w:tr>
      <w:tr>
        <w:trPr>
          <w:trHeight w:val="230"/>
        </w:trPr>
        <w:tc>
          <w:tcPr>
            <w:tcW w:w="4460" w:type="dxa"/>
            <w:vAlign w:val="bottom"/>
            <w:gridSpan w:val="3"/>
          </w:tcPr>
          <w:p>
            <w:pPr>
              <w:jc w:val="center"/>
              <w:ind w:right="880"/>
              <w:spacing w:after="0"/>
              <w:rPr>
                <w:sz w:val="20"/>
                <w:szCs w:val="20"/>
                <w:color w:val="auto"/>
              </w:rPr>
            </w:pPr>
            <w:r>
              <w:rPr>
                <w:rFonts w:ascii="Arial" w:cs="Arial" w:eastAsia="Arial" w:hAnsi="Arial"/>
                <w:sz w:val="18"/>
                <w:szCs w:val="18"/>
                <w:color w:val="auto"/>
                <w:w w:val="93"/>
              </w:rPr>
              <w:t>of incorporation)</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3"/>
        </w:trPr>
        <w:tc>
          <w:tcPr>
            <w:tcW w:w="4460" w:type="dxa"/>
            <w:vAlign w:val="bottom"/>
            <w:tcBorders>
              <w:bottom w:val="single" w:sz="8" w:color="auto"/>
            </w:tcBorders>
            <w:gridSpan w:val="3"/>
          </w:tcPr>
          <w:p>
            <w:pPr>
              <w:jc w:val="center"/>
              <w:ind w:left="950"/>
              <w:spacing w:after="0"/>
              <w:rPr>
                <w:sz w:val="20"/>
                <w:szCs w:val="20"/>
                <w:color w:val="auto"/>
              </w:rPr>
            </w:pPr>
            <w:r>
              <w:rPr>
                <w:rFonts w:ascii="Arial" w:cs="Arial" w:eastAsia="Arial" w:hAnsi="Arial"/>
                <w:sz w:val="18"/>
                <w:szCs w:val="18"/>
                <w:color w:val="auto"/>
                <w:w w:val="90"/>
              </w:rPr>
              <w:t>400 Water Street, Suite 200, Rochester, MI</w:t>
            </w:r>
          </w:p>
        </w:tc>
        <w:tc>
          <w:tcPr>
            <w:tcW w:w="10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color w:val="auto"/>
              </w:rPr>
              <w:t>48307</w:t>
            </w:r>
          </w:p>
        </w:tc>
      </w:tr>
      <w:tr>
        <w:trPr>
          <w:trHeight w:val="230"/>
        </w:trPr>
        <w:tc>
          <w:tcPr>
            <w:tcW w:w="4460" w:type="dxa"/>
            <w:vAlign w:val="bottom"/>
            <w:gridSpan w:val="3"/>
          </w:tcPr>
          <w:p>
            <w:pPr>
              <w:jc w:val="center"/>
              <w:ind w:left="950"/>
              <w:spacing w:after="0"/>
              <w:rPr>
                <w:sz w:val="20"/>
                <w:szCs w:val="20"/>
                <w:color w:val="auto"/>
              </w:rPr>
            </w:pPr>
            <w:r>
              <w:rPr>
                <w:rFonts w:ascii="Arial" w:cs="Arial" w:eastAsia="Arial" w:hAnsi="Arial"/>
                <w:sz w:val="18"/>
                <w:szCs w:val="18"/>
                <w:color w:val="auto"/>
                <w:w w:val="92"/>
              </w:rPr>
              <w:t>(Address of principal executive offices)</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53"/>
        </w:trPr>
        <w:tc>
          <w:tcPr>
            <w:tcW w:w="46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6"/>
              </w:rPr>
              <w:t>Title of each class</w:t>
            </w:r>
          </w:p>
        </w:tc>
        <w:tc>
          <w:tcPr>
            <w:tcW w:w="30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9"/>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center"/>
              <w:ind w:right="670"/>
              <w:spacing w:after="0"/>
              <w:rPr>
                <w:sz w:val="20"/>
                <w:szCs w:val="20"/>
                <w:color w:val="auto"/>
              </w:rPr>
            </w:pPr>
            <w:r>
              <w:rPr>
                <w:rFonts w:ascii="Arial" w:cs="Arial" w:eastAsia="Arial" w:hAnsi="Arial"/>
                <w:sz w:val="18"/>
                <w:szCs w:val="18"/>
                <w:color w:val="auto"/>
                <w:w w:val="93"/>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16"/>
        </w:trPr>
        <w:tc>
          <w:tcPr>
            <w:tcW w:w="3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682"/>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24, 2020, we issued a press release announcing our invitation to present at the LD 500 virtual institutional investor conference being held on September 1-4, 2020.. A copy of the press release is attached as Exhibit 99.1 to this Current Report on Form 8-K.</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2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August 24,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24, 2020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154305</wp:posOffset>
            </wp:positionV>
            <wp:extent cx="3497580" cy="7200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9758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to Present at the LD 500 Virtual Investor Conference on Sept. 3, 2020</w:t>
      </w:r>
    </w:p>
    <w:p>
      <w:pPr>
        <w:spacing w:after="0" w:line="225"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 xml:space="preserve">ROCHESTER, Mich. – August 24, 2020 – </w:t>
      </w:r>
      <w:r>
        <w:rPr>
          <w:rFonts w:ascii="Arial" w:cs="Arial" w:eastAsia="Arial" w:hAnsi="Arial"/>
          <w:sz w:val="16"/>
          <w:szCs w:val="16"/>
          <w:color w:val="auto"/>
        </w:rPr>
        <w:t>OptimizeRx Corp. (Nasdaq: OPRX), a leading provider of digital health solutions for life science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providers and patients, has been invited to present at the LD 500 virtual institutional investor conference being held on September 1-4, 2020.</w:t>
      </w:r>
    </w:p>
    <w:p>
      <w:pPr>
        <w:spacing w:after="0" w:line="12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OptimizeRx CEO, William Febbo, is scheduled to present on Thursday, September 3, at 12:20 p.m. Eastern time and participate in virtual one-on-one meetings with institutional analysts and investors throughout the day.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presentation will be webcast live and available for replay here and via the investor relations section of the company’s website at www.optimizerx.com.</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Management will discuss how OptimizeRx’s growing digital point-of-care solutions have evolved into ‘must-haves’ for life science companies looking to improve essential communications with physicians and patients.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They will also discuss the company’s recent expansion of its digital health platform from ambulatory and acute care to retail pharmacy, which includes access to a new nationwide network of 10,000 FDA-cleared self-screening Smart Health Stations.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LD 500 is one of the nation’s largest independent conferences for micro-cap companies, with over 300 names presenting. The conference will also feature variety of speakers and panelists discussing topics of interest to investors and issuers.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schedule a virtual one-on-one meeting with OptimizeRx, you may submit your request to register for the conference here or contact David Scher at david@ldmicro.com or visit www.ldmicro.com/events.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View OptimizeRx’s LD Micro profile here: www.ldmicro.com/profile/OPRX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Profiles powered by LD Micro and news distribution compliments of Accesswire</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OptimizeRx</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OptimizeRx Corporation (NASDAQ: OPRX) is a digital health company that facilitates communication at point-of-care among all stakeholders in healthcare. Primarily focused on life science and payer clients, its suite of digital and mobile SaaS-based solutions enables affordability, patient adherence and care management. OptimizeRx’s network reaches more than 60% of U.S. ambulatory providers, delivering therapeutic support on specialty medications and patient financial assistance directly within a provider’s workflow through leading electronic health platforms. OptimizeRx’s fully integrated platform supports the real-time exchange of information, improving provider knowledge and patient engagement, and ultimately leading to healthier outcomes.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2020-08-24T09:45:06Z</dcterms:created>
  <dcterms:modified xsi:type="dcterms:W3CDTF">2020-08-24T09:45:06Z</dcterms:modified>
</cp:coreProperties>
</file>