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2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30, 2016</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20" w:type="dxa"/>
            <w:vAlign w:val="bottom"/>
            <w:gridSpan w:val="8"/>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670"/>
              <w:spacing w:after="0"/>
              <w:rPr>
                <w:sz w:val="20"/>
                <w:szCs w:val="20"/>
                <w:color w:val="auto"/>
              </w:rPr>
            </w:pPr>
            <w:r>
              <w:rPr>
                <w:rFonts w:ascii="Arial" w:cs="Arial" w:eastAsia="Arial" w:hAnsi="Arial"/>
                <w:sz w:val="18"/>
                <w:szCs w:val="18"/>
                <w:color w:val="auto"/>
                <w:w w:val="86"/>
              </w:rPr>
              <w:t>Nevada</w:t>
            </w:r>
          </w:p>
        </w:tc>
        <w:tc>
          <w:tcPr>
            <w:tcW w:w="3600" w:type="dxa"/>
            <w:vAlign w:val="bottom"/>
            <w:gridSpan w:val="6"/>
          </w:tcPr>
          <w:p>
            <w:pPr>
              <w:jc w:val="right"/>
              <w:ind w:right="400"/>
              <w:spacing w:after="0"/>
              <w:rPr>
                <w:sz w:val="20"/>
                <w:szCs w:val="20"/>
                <w:color w:val="auto"/>
              </w:rPr>
            </w:pPr>
            <w:r>
              <w:rPr>
                <w:rFonts w:ascii="Arial" w:cs="Arial" w:eastAsia="Arial" w:hAnsi="Arial"/>
                <w:sz w:val="18"/>
                <w:szCs w:val="18"/>
                <w:color w:val="auto"/>
              </w:rPr>
              <w:t>000-53605</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jc w:val="center"/>
              <w:ind w:right="230"/>
              <w:spacing w:after="0"/>
              <w:rPr>
                <w:sz w:val="20"/>
                <w:szCs w:val="20"/>
                <w:color w:val="auto"/>
              </w:rPr>
            </w:pPr>
            <w:r>
              <w:rPr>
                <w:rFonts w:ascii="Arial" w:cs="Arial" w:eastAsia="Arial" w:hAnsi="Arial"/>
                <w:sz w:val="18"/>
                <w:szCs w:val="18"/>
                <w:color w:val="auto"/>
                <w:w w:val="89"/>
              </w:rPr>
              <w:t>26-1265381</w:t>
            </w:r>
          </w:p>
        </w:tc>
      </w:tr>
      <w:tr>
        <w:trPr>
          <w:trHeight w:val="202"/>
        </w:trPr>
        <w:tc>
          <w:tcPr>
            <w:tcW w:w="3020" w:type="dxa"/>
            <w:vAlign w:val="bottom"/>
            <w:tcBorders>
              <w:top w:val="single" w:sz="8" w:color="auto"/>
            </w:tcBorders>
          </w:tcPr>
          <w:p>
            <w:pPr>
              <w:jc w:val="center"/>
              <w:ind w:left="630"/>
              <w:spacing w:after="0" w:line="201" w:lineRule="exact"/>
              <w:rPr>
                <w:sz w:val="20"/>
                <w:szCs w:val="20"/>
                <w:color w:val="auto"/>
              </w:rPr>
            </w:pPr>
            <w:r>
              <w:rPr>
                <w:rFonts w:ascii="Arial" w:cs="Arial" w:eastAsia="Arial" w:hAnsi="Arial"/>
                <w:sz w:val="18"/>
                <w:szCs w:val="18"/>
                <w:color w:val="auto"/>
                <w:w w:val="92"/>
              </w:rPr>
              <w:t>(State or other jurisdiction</w:t>
            </w: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4"/>
          </w:tcPr>
          <w:p>
            <w:pPr>
              <w:jc w:val="center"/>
              <w:ind w:right="800"/>
              <w:spacing w:after="0" w:line="201" w:lineRule="exact"/>
              <w:rPr>
                <w:sz w:val="20"/>
                <w:szCs w:val="20"/>
                <w:color w:val="auto"/>
              </w:rPr>
            </w:pPr>
            <w:r>
              <w:rPr>
                <w:rFonts w:ascii="Arial" w:cs="Arial" w:eastAsia="Arial" w:hAnsi="Arial"/>
                <w:sz w:val="18"/>
                <w:szCs w:val="18"/>
                <w:color w:val="auto"/>
                <w:w w:val="93"/>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tcPr>
          <w:p>
            <w:pPr>
              <w:jc w:val="center"/>
              <w:ind w:left="670"/>
              <w:spacing w:after="0"/>
              <w:rPr>
                <w:sz w:val="20"/>
                <w:szCs w:val="20"/>
                <w:color w:val="auto"/>
              </w:rPr>
            </w:pPr>
            <w:r>
              <w:rPr>
                <w:rFonts w:ascii="Arial" w:cs="Arial" w:eastAsia="Arial" w:hAnsi="Arial"/>
                <w:sz w:val="18"/>
                <w:szCs w:val="18"/>
                <w:color w:val="auto"/>
                <w:w w:val="93"/>
              </w:rPr>
              <w:t>of incorporation)</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2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289560</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November 30, 2016, Mr. James Brooks moved to a consulting role with our company. Effective on that date, Mr. Brooks will no longer serve as our Senior Vice President of Business Development. We agreed to pay all compensation and reimbursable expenses through December 31, 2016. Mr. Brooks has also provided us a release of all claims in connection with the end of his employment relationship and move to his consulting role.</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Commencing January 1, 2017, Mr. Brooks will serve as a consultant for one year and assist with our selling efforts to EHRs. For his consulting, we have agreed to compensate him a fee for each signed and integrated EHR plus a percentage of the net revenues received from such EHRs during his consulting period. Special projects will be billed to us at an hourly rate.</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 2016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20"/>
      </w:cols>
      <w:pgMar w:left="24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2019-12-08T18:22:52Z</dcterms:created>
  <dcterms:modified xsi:type="dcterms:W3CDTF">2019-12-08T18:22:52Z</dcterms:modified>
</cp:coreProperties>
</file>