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rPr>
              <w:t>FORM 8-K</w:t>
            </w: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9"/>
              </w:rPr>
              <w:t>CURRENT REPORT</w:t>
            </w:r>
          </w:p>
        </w:tc>
        <w:tc>
          <w:tcPr>
            <w:tcW w:w="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Pursuant to Section 13 or 15(d) of</w:t>
            </w:r>
          </w:p>
        </w:tc>
        <w:tc>
          <w:tcPr>
            <w:tcW w:w="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the Securities Exchange Act of 1934</w:t>
            </w: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360" w:type="dxa"/>
            <w:vAlign w:val="bottom"/>
            <w:gridSpan w:val="8"/>
          </w:tcPr>
          <w:p>
            <w:pPr>
              <w:jc w:val="center"/>
              <w:ind w:right="2880"/>
              <w:spacing w:after="0"/>
              <w:rPr>
                <w:sz w:val="20"/>
                <w:szCs w:val="20"/>
                <w:color w:val="auto"/>
              </w:rPr>
            </w:pPr>
            <w:r>
              <w:rPr>
                <w:rFonts w:ascii="Arial" w:cs="Arial" w:eastAsia="Arial" w:hAnsi="Arial"/>
                <w:sz w:val="18"/>
                <w:szCs w:val="18"/>
                <w:b w:val="1"/>
                <w:bCs w:val="1"/>
                <w:color w:val="auto"/>
                <w:w w:val="92"/>
              </w:rPr>
              <w:t>Date of Report (Date of Earliest Event Reported): February 24, 2022</w:t>
            </w:r>
          </w:p>
        </w:tc>
      </w:tr>
      <w:tr>
        <w:trPr>
          <w:trHeight w:val="418"/>
        </w:trPr>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OptimizeRx Corporation</w:t>
            </w:r>
          </w:p>
        </w:tc>
        <w:tc>
          <w:tcPr>
            <w:tcW w:w="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(Exact name of registrant as specified in charter)</w:t>
            </w: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0" w:type="dxa"/>
            <w:vAlign w:val="bottom"/>
          </w:tcPr>
          <w:p>
            <w:pPr>
              <w:spacing w:after="0"/>
              <w:rPr>
                <w:sz w:val="24"/>
                <w:szCs w:val="24"/>
                <w:color w:val="auto"/>
              </w:rPr>
            </w:pPr>
          </w:p>
        </w:tc>
        <w:tc>
          <w:tcPr>
            <w:tcW w:w="2780" w:type="dxa"/>
            <w:vAlign w:val="bottom"/>
          </w:tcPr>
          <w:p>
            <w:pPr>
              <w:jc w:val="center"/>
              <w:ind w:left="550"/>
              <w:spacing w:after="0"/>
              <w:rPr>
                <w:sz w:val="20"/>
                <w:szCs w:val="20"/>
                <w:color w:val="auto"/>
              </w:rPr>
            </w:pPr>
            <w:r>
              <w:rPr>
                <w:rFonts w:ascii="Arial" w:cs="Arial" w:eastAsia="Arial" w:hAnsi="Arial"/>
                <w:sz w:val="18"/>
                <w:szCs w:val="18"/>
                <w:b w:val="1"/>
                <w:bCs w:val="1"/>
                <w:color w:val="auto"/>
                <w:w w:val="90"/>
              </w:rPr>
              <w:t>Nevada</w:t>
            </w:r>
          </w:p>
        </w:tc>
        <w:tc>
          <w:tcPr>
            <w:tcW w:w="4560" w:type="dxa"/>
            <w:vAlign w:val="bottom"/>
            <w:gridSpan w:val="5"/>
          </w:tcPr>
          <w:p>
            <w:pPr>
              <w:jc w:val="center"/>
              <w:ind w:left="850"/>
              <w:spacing w:after="0"/>
              <w:rPr>
                <w:sz w:val="20"/>
                <w:szCs w:val="20"/>
                <w:color w:val="auto"/>
              </w:rPr>
            </w:pPr>
            <w:r>
              <w:rPr>
                <w:rFonts w:ascii="Arial" w:cs="Arial" w:eastAsia="Arial" w:hAnsi="Arial"/>
                <w:sz w:val="18"/>
                <w:szCs w:val="18"/>
                <w:b w:val="1"/>
                <w:bCs w:val="1"/>
                <w:color w:val="auto"/>
                <w:w w:val="90"/>
              </w:rPr>
              <w:t>001-38543</w:t>
            </w:r>
          </w:p>
        </w:tc>
        <w:tc>
          <w:tcPr>
            <w:tcW w:w="370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1"/>
              </w:rPr>
              <w:t>26-1265381</w:t>
            </w:r>
          </w:p>
        </w:tc>
        <w:tc>
          <w:tcPr>
            <w:tcW w:w="100" w:type="dxa"/>
            <w:vAlign w:val="bottom"/>
          </w:tcPr>
          <w:p>
            <w:pPr>
              <w:spacing w:after="0"/>
              <w:rPr>
                <w:sz w:val="24"/>
                <w:szCs w:val="24"/>
                <w:color w:val="auto"/>
              </w:rPr>
            </w:pPr>
          </w:p>
        </w:tc>
      </w:tr>
      <w:tr>
        <w:trPr>
          <w:trHeight w:val="202"/>
        </w:trPr>
        <w:tc>
          <w:tcPr>
            <w:tcW w:w="10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jc w:val="center"/>
              <w:ind w:left="550"/>
              <w:spacing w:after="0" w:line="201" w:lineRule="exact"/>
              <w:rPr>
                <w:sz w:val="20"/>
                <w:szCs w:val="20"/>
                <w:color w:val="auto"/>
              </w:rPr>
            </w:pPr>
            <w:r>
              <w:rPr>
                <w:rFonts w:ascii="Arial" w:cs="Arial" w:eastAsia="Arial" w:hAnsi="Arial"/>
                <w:sz w:val="18"/>
                <w:szCs w:val="18"/>
                <w:color w:val="auto"/>
                <w:w w:val="92"/>
              </w:rPr>
              <w:t>(State or other jurisdiction</w:t>
            </w: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100" w:type="dxa"/>
            <w:vAlign w:val="bottom"/>
          </w:tcPr>
          <w:p>
            <w:pPr>
              <w:spacing w:after="0"/>
              <w:rPr>
                <w:sz w:val="20"/>
                <w:szCs w:val="20"/>
                <w:color w:val="auto"/>
              </w:rPr>
            </w:pPr>
          </w:p>
        </w:tc>
        <w:tc>
          <w:tcPr>
            <w:tcW w:w="2780" w:type="dxa"/>
            <w:vAlign w:val="bottom"/>
          </w:tcPr>
          <w:p>
            <w:pPr>
              <w:jc w:val="center"/>
              <w:ind w:left="550"/>
              <w:spacing w:after="0"/>
              <w:rPr>
                <w:sz w:val="20"/>
                <w:szCs w:val="20"/>
                <w:color w:val="auto"/>
              </w:rPr>
            </w:pPr>
            <w:r>
              <w:rPr>
                <w:rFonts w:ascii="Arial" w:cs="Arial" w:eastAsia="Arial" w:hAnsi="Arial"/>
                <w:sz w:val="18"/>
                <w:szCs w:val="18"/>
                <w:color w:val="auto"/>
                <w:w w:val="93"/>
              </w:rPr>
              <w:t>of incorporation)</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100" w:type="dxa"/>
            <w:vAlign w:val="bottom"/>
          </w:tcPr>
          <w:p>
            <w:pPr>
              <w:spacing w:after="0"/>
              <w:rPr>
                <w:sz w:val="24"/>
                <w:szCs w:val="24"/>
                <w:color w:val="auto"/>
              </w:rPr>
            </w:pPr>
          </w:p>
        </w:tc>
        <w:tc>
          <w:tcPr>
            <w:tcW w:w="7340" w:type="dxa"/>
            <w:vAlign w:val="bottom"/>
            <w:gridSpan w:val="6"/>
          </w:tcPr>
          <w:p>
            <w:pPr>
              <w:jc w:val="center"/>
              <w:ind w:right="202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3700" w:type="dxa"/>
            <w:vAlign w:val="bottom"/>
            <w:gridSpan w:val="2"/>
          </w:tcPr>
          <w:p>
            <w:pPr>
              <w:jc w:val="right"/>
              <w:ind w:right="2330"/>
              <w:spacing w:after="0"/>
              <w:rPr>
                <w:sz w:val="20"/>
                <w:szCs w:val="20"/>
                <w:color w:val="auto"/>
              </w:rPr>
            </w:pPr>
            <w:r>
              <w:rPr>
                <w:rFonts w:ascii="Arial" w:cs="Arial" w:eastAsia="Arial" w:hAnsi="Arial"/>
                <w:sz w:val="18"/>
                <w:szCs w:val="18"/>
                <w:b w:val="1"/>
                <w:bCs w:val="1"/>
                <w:color w:val="auto"/>
              </w:rPr>
              <w:t>48307</w:t>
            </w:r>
          </w:p>
        </w:tc>
        <w:tc>
          <w:tcPr>
            <w:tcW w:w="100" w:type="dxa"/>
            <w:vAlign w:val="bottom"/>
          </w:tcPr>
          <w:p>
            <w:pPr>
              <w:spacing w:after="0"/>
              <w:rPr>
                <w:sz w:val="24"/>
                <w:szCs w:val="24"/>
                <w:color w:val="auto"/>
              </w:rPr>
            </w:pPr>
          </w:p>
        </w:tc>
      </w:tr>
      <w:tr>
        <w:trPr>
          <w:trHeight w:val="230"/>
        </w:trPr>
        <w:tc>
          <w:tcPr>
            <w:tcW w:w="100" w:type="dxa"/>
            <w:vAlign w:val="bottom"/>
          </w:tcPr>
          <w:p>
            <w:pPr>
              <w:spacing w:after="0"/>
              <w:rPr>
                <w:sz w:val="20"/>
                <w:szCs w:val="20"/>
                <w:color w:val="auto"/>
              </w:rPr>
            </w:pPr>
          </w:p>
        </w:tc>
        <w:tc>
          <w:tcPr>
            <w:tcW w:w="53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500" w:type="dxa"/>
            <w:vAlign w:val="bottom"/>
            <w:tcBorders>
              <w:top w:val="single" w:sz="8" w:color="auto"/>
            </w:tcBorders>
          </w:tcPr>
          <w:p>
            <w:pPr>
              <w:jc w:val="center"/>
              <w:ind w:right="1690"/>
              <w:spacing w:after="0"/>
              <w:rPr>
                <w:sz w:val="20"/>
                <w:szCs w:val="20"/>
                <w:color w:val="auto"/>
              </w:rPr>
            </w:pPr>
            <w:r>
              <w:rPr>
                <w:rFonts w:ascii="Arial" w:cs="Arial" w:eastAsia="Arial" w:hAnsi="Arial"/>
                <w:sz w:val="18"/>
                <w:szCs w:val="18"/>
                <w:color w:val="auto"/>
                <w:w w:val="94"/>
              </w:rPr>
              <w:t>(Zip Code)</w:t>
            </w:r>
          </w:p>
        </w:tc>
        <w:tc>
          <w:tcPr>
            <w:tcW w:w="100" w:type="dxa"/>
            <w:vAlign w:val="bottom"/>
          </w:tcPr>
          <w:p>
            <w:pPr>
              <w:spacing w:after="0"/>
              <w:rPr>
                <w:sz w:val="20"/>
                <w:szCs w:val="20"/>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February 24, 2022, OptimizeRx Corporation issued a press release announcing its financial results for the fourth quarter ended December 31, 2021 and full year ended December 31, 2021. A copy of the press release is furnished with this Current Report on Form 8-K as Exhibit 99.1 and is incorporated herein by reference.</w:t>
      </w:r>
    </w:p>
    <w:p>
      <w:pPr>
        <w:spacing w:after="0" w:line="18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24, 2022</w:t>
        </w:r>
      </w:hyperlink>
    </w:p>
    <w:p>
      <w:pPr>
        <w:spacing w:after="0" w:line="23" w:lineRule="exact"/>
        <w:rPr>
          <w:sz w:val="20"/>
          <w:szCs w:val="20"/>
          <w:color w:val="auto"/>
        </w:rPr>
      </w:pPr>
    </w:p>
    <w:p>
      <w:pPr>
        <w:ind w:left="5580" w:right="4060" w:hanging="5572"/>
        <w:spacing w:after="0" w:line="761" w:lineRule="auto"/>
        <w:tabs>
          <w:tab w:leader="none" w:pos="125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Arial" w:cs="Arial" w:eastAsia="Arial" w:hAnsi="Arial"/>
          <w:sz w:val="18"/>
          <w:szCs w:val="18"/>
          <w:color w:val="auto"/>
        </w:rPr>
        <w:t>Date: February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4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Edward Stelmakh</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291465</wp:posOffset>
            </wp:positionV>
            <wp:extent cx="2005965" cy="47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0596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OptimizeRx Reports Fourth Quarter and Full Year 2021 Financial Results, Revenue Increased 42%, Demand from Large Pharma Gains Momentum</w:t>
      </w:r>
    </w:p>
    <w:p>
      <w:pPr>
        <w:spacing w:after="0" w:line="166"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 quarter revenue Up 24% to $20.3 million, gross profit margin of 61%</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Introduction of key performance indicators (KPIs) representing “land and expand” strategy with key customer accounts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positive from operations of $0.7 million in 2021</w:t>
      </w:r>
    </w:p>
    <w:p>
      <w:pPr>
        <w:spacing w:after="0" w:line="207" w:lineRule="exact"/>
        <w:rPr>
          <w:sz w:val="20"/>
          <w:szCs w:val="20"/>
          <w:color w:val="auto"/>
        </w:rPr>
      </w:pPr>
    </w:p>
    <w:p>
      <w:pPr>
        <w:ind w:right="480"/>
        <w:spacing w:after="0" w:line="312" w:lineRule="auto"/>
        <w:rPr>
          <w:sz w:val="20"/>
          <w:szCs w:val="20"/>
          <w:color w:val="auto"/>
        </w:rPr>
      </w:pPr>
      <w:r>
        <w:rPr>
          <w:rFonts w:ascii="Arial" w:cs="Arial" w:eastAsia="Arial" w:hAnsi="Arial"/>
          <w:sz w:val="17"/>
          <w:szCs w:val="17"/>
          <w:b w:val="1"/>
          <w:bCs w:val="1"/>
          <w:color w:val="auto"/>
        </w:rPr>
        <w:t xml:space="preserve">ROCHESTER, Mich. – February 24, 2022 – </w:t>
      </w:r>
      <w:r>
        <w:rPr>
          <w:rFonts w:ascii="Arial" w:cs="Arial" w:eastAsia="Arial" w:hAnsi="Arial"/>
          <w:sz w:val="17"/>
          <w:szCs w:val="17"/>
          <w:color w:val="auto"/>
        </w:rPr>
        <w:t>OptimizeRx Corp. (the “Company”) (Nasdaq: OPRX), a leading provider of point-of-care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helping patients start and stay on therapy, reported results for the fourth quarter and full year ended December 31,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Key Performance Indicators (KPIs)*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FY21</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FY20</w:t>
            </w:r>
          </w:p>
        </w:tc>
        <w:tc>
          <w:tcPr>
            <w:tcW w:w="160" w:type="dxa"/>
            <w:vAlign w:val="bottom"/>
            <w:tcBorders>
              <w:bottom w:val="single" w:sz="8" w:color="CCEEFF"/>
            </w:tcBorders>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Average revenue per top 20 pharmaceutical manufacturers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2.5M</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1.9M</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Percent top 20 pharmaceutical manufacturers that are clients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Top 20 pharmaceutical percent of total net revenues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Net revenue retention</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per average FTE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730K</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614K</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Highlights</w:t>
      </w:r>
    </w:p>
    <w:p>
      <w:pPr>
        <w:spacing w:after="0" w:line="27" w:lineRule="exact"/>
        <w:rPr>
          <w:sz w:val="20"/>
          <w:szCs w:val="20"/>
          <w:color w:val="auto"/>
        </w:rPr>
      </w:pPr>
    </w:p>
    <w:p>
      <w:pPr>
        <w:ind w:left="340" w:right="3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in the fourth quarter of 2021 increased 24% to a record $20.3 million, from $16.4 million in the same period of 2020, with the full year of 2021 up 42% to a record $61.3 million as compared to the same year-ago period.</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in the fourth quarter of 2021 increased 44% to $12.4 million as compared to the same year-ago period.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margin in the fourth quarter of 2021 increased to 61.0% from 52.4% as compared to the same year-ago period.</w:t>
      </w:r>
    </w:p>
    <w:p>
      <w:pPr>
        <w:spacing w:after="0" w:line="9" w:lineRule="exact"/>
        <w:rPr>
          <w:rFonts w:ascii="Arial" w:cs="Arial" w:eastAsia="Arial" w:hAnsi="Arial"/>
          <w:sz w:val="18"/>
          <w:szCs w:val="18"/>
          <w:color w:val="auto"/>
        </w:rPr>
      </w:pPr>
    </w:p>
    <w:p>
      <w:pPr>
        <w:ind w:left="340" w:right="2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net income totaled $0.6 million or $0.04 and $0.03 per basic and fully diluted share in the fourth quarter as compared to a net income of $1.4 million or $0.09 and $0.08 per basic and diluted share in the year ago period.</w:t>
      </w:r>
    </w:p>
    <w:p>
      <w:pPr>
        <w:ind w:left="340" w:right="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net income in the fourth quarter totaled $4.0 million or $0.23 and $0.22 per basic and fully diluted share respectively (see definition of this non-GAAP measure and reconciliation to GAAP, below).</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cash equivalents totaled $84.7 million as of December 31, 2021 as compared to $85.1 million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Operational Highlights</w:t>
      </w:r>
    </w:p>
    <w:p>
      <w:pPr>
        <w:spacing w:after="0" w:line="2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evidence-based physician engagement solution named “One of the Most Innovative Products of the Year” by PM360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Ranked among fastest-growing companies in North America on the 2021 Deloitte Technology Fast 500™ list for the second consecutive year</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Recognized by the Financial Times as one of Americas’ Fastest-Growing Companies for the second consecutive year</w:t>
      </w:r>
    </w:p>
    <w:p>
      <w:pPr>
        <w:spacing w:after="0" w:line="9" w:lineRule="exact"/>
        <w:rPr>
          <w:rFonts w:ascii="Arial" w:cs="Arial" w:eastAsia="Arial" w:hAnsi="Arial"/>
          <w:sz w:val="18"/>
          <w:szCs w:val="18"/>
          <w:color w:val="auto"/>
        </w:rPr>
      </w:pPr>
    </w:p>
    <w:p>
      <w:pPr>
        <w:ind w:left="340" w:hanging="332"/>
        <w:spacing w:after="0" w:line="192" w:lineRule="auto"/>
        <w:tabs>
          <w:tab w:leader="none" w:pos="340" w:val="left"/>
        </w:tabs>
        <w:numPr>
          <w:ilvl w:val="0"/>
          <w:numId w:val="5"/>
        </w:numPr>
        <w:rPr>
          <w:rFonts w:ascii="Arial" w:cs="Arial" w:eastAsia="Arial" w:hAnsi="Arial"/>
          <w:sz w:val="28"/>
          <w:szCs w:val="28"/>
          <w:color w:val="auto"/>
          <w:vertAlign w:val="superscript"/>
        </w:rPr>
      </w:pPr>
      <w:r>
        <w:rPr>
          <w:rFonts w:ascii="Arial" w:cs="Arial" w:eastAsia="Arial" w:hAnsi="Arial"/>
          <w:sz w:val="15"/>
          <w:szCs w:val="15"/>
          <w:color w:val="auto"/>
        </w:rPr>
        <w:t>Recognized by “Digital Health Awards</w:t>
      </w:r>
      <w:r>
        <w:rPr>
          <w:rFonts w:ascii="Arial" w:cs="Arial" w:eastAsia="Arial" w:hAnsi="Arial"/>
          <w:sz w:val="23"/>
          <w:szCs w:val="23"/>
          <w:color w:val="auto"/>
          <w:vertAlign w:val="superscript"/>
        </w:rPr>
        <w:t>®</w:t>
      </w:r>
      <w:r>
        <w:rPr>
          <w:rFonts w:ascii="Arial" w:cs="Arial" w:eastAsia="Arial" w:hAnsi="Arial"/>
          <w:sz w:val="15"/>
          <w:szCs w:val="15"/>
          <w:color w:val="auto"/>
        </w:rPr>
        <w:t xml:space="preserve"> Fall 2021” for TelaRep™ and the Company’s COVID-19 text message campaign</w:t>
      </w:r>
    </w:p>
    <w:p>
      <w:pPr>
        <w:ind w:left="340" w:right="720" w:hanging="332"/>
        <w:spacing w:after="0" w:line="24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Hosted second annual Innovate4Outcomes™ event, addressing patient access challenges, in partnership with Reuters Events, I AM ALS, and RESOLVE: The National Infertility Association</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Published open letter to shareholders detailing completion of internal management changes</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Published an analysis of how predictive analytics solution created new opportunities to Life Sciences to address delayed diagnosis and other challenges in Multiple Sclerosis (MS)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Commentary</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Will Febbo, OptimizeRx CEO commented, “We are addressing healthcare’s digital shift by putting innovation to work on behalf of our clients’ needs. We remain committed to the scalability and depth of our technology, and the deepening of relationships with key client accounts. This effort has been propelled by the successful implementation of a strategic series of platform enhancements — resulting in the stepwise adoption of AI, data analytics, and contextual real-world evidence solutions in 2021.</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purpose-built technology enables our teams to deliver solutions over a single platform, simplifying connectivity between life sciences organizations, patients, and physicians along critical touchpoints of a patient’s care journey. We have also recently added key performance indicators against which to measure our results as we move into the new year, better staffed, and better equipped to transform patient access, adherence, and outcomes across the entire care continuum,” concluded Mr. Febbo.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Q4 2021 Financial Summary</w:t>
      </w:r>
    </w:p>
    <w:p>
      <w:pPr>
        <w:spacing w:after="0" w:line="27"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b w:val="1"/>
          <w:bCs w:val="1"/>
          <w:color w:val="auto"/>
        </w:rPr>
        <w:t xml:space="preserve">Total revenue </w:t>
      </w:r>
      <w:r>
        <w:rPr>
          <w:rFonts w:ascii="Arial" w:cs="Arial" w:eastAsia="Arial" w:hAnsi="Arial"/>
          <w:sz w:val="16"/>
          <w:szCs w:val="16"/>
          <w:color w:val="auto"/>
        </w:rPr>
        <w:t>reported for the three months ended December 31, 2021 was $20.3 million, an increase of 24% over the approximately $16.4 million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period in 2020. The increased revenue resulted from growth in sales across our access, adherence and affordability solutions.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was 61%, which increased from the year-ago quarter (52.4% year ago period). This is the result of solution and channel mix.</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 xml:space="preserve">Operating expenses </w:t>
      </w:r>
      <w:r>
        <w:rPr>
          <w:rFonts w:ascii="Arial" w:cs="Arial" w:eastAsia="Arial" w:hAnsi="Arial"/>
          <w:sz w:val="17"/>
          <w:szCs w:val="17"/>
          <w:color w:val="auto"/>
        </w:rPr>
        <w:t>increased to $11.8 million as compared to $7.2 million in the same year-ago quarter. The increase in operating expenses was primarily</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to salaries, stock-based compensation, wages and benefits, and other human resources-related costs as we invested in the expansion of our team to support future growth by expanding our commercial activities and enhancing and growing our solution offerings.</w:t>
      </w:r>
    </w:p>
    <w:p>
      <w:pPr>
        <w:spacing w:after="0" w:line="15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on a GAAP basis was $0.6 million or $0.04 and $0.03 per basic and diluted share, as compared to a net income of $1.4 million or $0.09 and</w:t>
      </w:r>
      <w:r>
        <w:rPr>
          <w:rFonts w:ascii="Arial" w:cs="Arial" w:eastAsia="Arial" w:hAnsi="Arial"/>
          <w:sz w:val="18"/>
          <w:szCs w:val="18"/>
          <w:b w:val="1"/>
          <w:bCs w:val="1"/>
          <w:color w:val="auto"/>
        </w:rPr>
        <w:t xml:space="preserve"> </w:t>
      </w:r>
      <w:r>
        <w:rPr>
          <w:rFonts w:ascii="Arial" w:cs="Arial" w:eastAsia="Arial" w:hAnsi="Arial"/>
          <w:sz w:val="18"/>
          <w:szCs w:val="18"/>
          <w:color w:val="auto"/>
        </w:rPr>
        <w:t>$0.08 on a basic and fully diluted basis in the fourth quarter of 2020.</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Non-GAAP net income </w:t>
      </w:r>
      <w:r>
        <w:rPr>
          <w:rFonts w:ascii="Arial" w:cs="Arial" w:eastAsia="Arial" w:hAnsi="Arial"/>
          <w:sz w:val="18"/>
          <w:szCs w:val="18"/>
          <w:color w:val="auto"/>
        </w:rPr>
        <w:t>was $4.0 million or $0.23 and $0.22 per basic and fully diluted shares outstanding, compared to non-GAAP net income of $2.7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$0.18 and $0.16 on a basic and fully diluted basis for the same year-ago period (see definition of this non-GAAP measure and reconciliation to GAAP,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totaled $84.7 million as of December 31, 2021, as compared to $85.1 million as of September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Financial Outlook</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For the full year 2022, the Company expects net revenues of $80 million to $85 million, representing year-over-year growth of 31% to 39%,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Gross margins for 2022 are expected to be relatively constant year-over-year and are expected to come in between 57% and 60%.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expects revenue growth will align closely with continued progress on the KPIs introduced above and will be driven by its “land and expand” strategy through obtaining new customers and growing its existing clients’ share of wallet by increasing the number of solutions each brand leverages, the number of brands supported and the overall utilization of its platform.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question-and-answer period.</w:t>
      </w:r>
    </w:p>
    <w:p>
      <w:pPr>
        <w:sectPr>
          <w:pgSz w:w="11900" w:h="16838" w:orient="portrait"/>
          <w:cols w:equalWidth="0" w:num="1">
            <w:col w:w="11200"/>
          </w:cols>
          <w:pgMar w:left="320" w:top="904" w:right="37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Webcast: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 Free: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Conference ID: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Thursday, February 24,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https://themediaframe.com/mediaframe/webcast.html?webcastid=7amBcwbL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1-888-254-3590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1-323-794-2551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4163167</w:t>
      </w:r>
    </w:p>
    <w:p>
      <w:pPr>
        <w:spacing w:after="0" w:line="200" w:lineRule="exact"/>
        <w:rPr>
          <w:sz w:val="20"/>
          <w:szCs w:val="20"/>
          <w:color w:val="auto"/>
        </w:rPr>
      </w:pPr>
    </w:p>
    <w:p>
      <w:pPr>
        <w:sectPr>
          <w:pgSz w:w="11900" w:h="16838" w:orient="portrait"/>
          <w:cols w:equalWidth="0" w:num="2">
            <w:col w:w="2660" w:space="720"/>
            <w:col w:w="7820"/>
          </w:cols>
          <w:pgMar w:left="320" w:top="904" w:right="37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Please call the conference telephone number five minutes prior to the start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will remain available for 12 months via the Investors section of the OptimizeRx website at www.optimizerx.com/investors.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Use of Non-GAAP Financial Measures</w:t>
      </w:r>
    </w:p>
    <w:p>
      <w:pPr>
        <w:spacing w:after="0" w:line="2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This earnings release includes a presentation of non-GAAP net income (loss) and non-GAAP earnings (loss) per share or non-GAAP EPS, both of which are non-GAAP financial measures.</w:t>
      </w:r>
    </w:p>
    <w:p>
      <w:pPr>
        <w:spacing w:after="0" w:line="185" w:lineRule="exact"/>
        <w:rPr>
          <w:sz w:val="20"/>
          <w:szCs w:val="20"/>
          <w:color w:val="auto"/>
        </w:rPr>
      </w:pPr>
    </w:p>
    <w:p>
      <w:pPr>
        <w:jc w:val="both"/>
        <w:ind w:right="280"/>
        <w:spacing w:after="0" w:line="275" w:lineRule="auto"/>
        <w:rPr>
          <w:sz w:val="20"/>
          <w:szCs w:val="20"/>
          <w:color w:val="auto"/>
        </w:rPr>
      </w:pPr>
      <w:r>
        <w:rPr>
          <w:rFonts w:ascii="Arial" w:cs="Arial" w:eastAsia="Arial" w:hAnsi="Arial"/>
          <w:sz w:val="17"/>
          <w:szCs w:val="17"/>
          <w:color w:val="auto"/>
        </w:rPr>
        <w:t>The Company defines non-GAAP net income (loss) as GAAP net income (loss) with an adjustment to add back depreciation, amortization, stock-based compensation, acquisition expenses, income or loss related to the fair value of contingent consideration, and deferred income taxes. Non-GAAP EPS is defined as non-GAAP net income (loss) divided by the number of weighted average shares outstanding on a basic and diluted basis. The Company has provided non-GAAP financial measures to aid investors in better understanding its performance. Management believes that these non-GAAP financial measures provide additional insight into the operations and cashflow of the Company.</w:t>
      </w:r>
    </w:p>
    <w:p>
      <w:pPr>
        <w:spacing w:after="0" w:line="17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6" w:name="page7"/>
    <w:bookmarkEnd w:id="6"/>
    <w:p>
      <w:pPr>
        <w:spacing w:after="0" w:line="296" w:lineRule="auto"/>
        <w:rPr>
          <w:sz w:val="20"/>
          <w:szCs w:val="20"/>
          <w:color w:val="auto"/>
        </w:rPr>
      </w:pPr>
      <w:r>
        <w:rPr>
          <w:rFonts w:ascii="Arial" w:cs="Arial" w:eastAsia="Arial" w:hAnsi="Arial"/>
          <w:sz w:val="16"/>
          <w:szCs w:val="16"/>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table, “Reconciliation of non-GAAP to GAAP Financial Measures,” included below, provides a reconciliation of non-GAAP net income (loss) and non-GAAP EPS for the fourth quarter and full year ended December 31,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Key Performance Indicators*</w:t>
      </w:r>
    </w:p>
    <w:p>
      <w:pPr>
        <w:spacing w:after="0" w:line="2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b w:val="1"/>
          <w:bCs w:val="1"/>
          <w:color w:val="auto"/>
        </w:rPr>
        <w:t xml:space="preserve">Top 20 pharmaceutical manufacturers: </w:t>
      </w:r>
      <w:r>
        <w:rPr>
          <w:rFonts w:ascii="Arial" w:cs="Arial" w:eastAsia="Arial" w:hAnsi="Arial"/>
          <w:sz w:val="18"/>
          <w:szCs w:val="18"/>
          <w:color w:val="auto"/>
        </w:rPr>
        <w:t>Top 20 pharmaceutical manufacturers are based on Fierce Pharma’s “The top 20 pharma companies by 2020</w:t>
      </w:r>
      <w:r>
        <w:rPr>
          <w:rFonts w:ascii="Arial" w:cs="Arial" w:eastAsia="Arial" w:hAnsi="Arial"/>
          <w:sz w:val="18"/>
          <w:szCs w:val="18"/>
          <w:b w:val="1"/>
          <w:bCs w:val="1"/>
          <w:color w:val="auto"/>
        </w:rPr>
        <w:t xml:space="preserve"> </w:t>
      </w:r>
      <w:r>
        <w:rPr>
          <w:rFonts w:ascii="Arial" w:cs="Arial" w:eastAsia="Arial" w:hAnsi="Arial"/>
          <w:sz w:val="18"/>
          <w:szCs w:val="18"/>
          <w:color w:val="auto"/>
        </w:rPr>
        <w:t>revenue.”</w:t>
      </w:r>
    </w:p>
    <w:p>
      <w:pPr>
        <w:spacing w:after="0" w:line="18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Net revenue retention</w:t>
      </w:r>
      <w:r>
        <w:rPr>
          <w:rFonts w:ascii="Arial" w:cs="Arial" w:eastAsia="Arial" w:hAnsi="Arial"/>
          <w:sz w:val="18"/>
          <w:szCs w:val="18"/>
          <w:color w:val="auto"/>
        </w:rPr>
        <w:t>: Net revenue retention is a comparison of revenue generated from all clients in the previous period to total revenue generated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clients in the following year (i.e., excludes new client relationships for the most recent year).</w:t>
      </w:r>
    </w:p>
    <w:p>
      <w:pPr>
        <w:spacing w:after="0" w:line="16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Revenue per average Full Time Employee: </w:t>
      </w:r>
      <w:r>
        <w:rPr>
          <w:rFonts w:ascii="Arial" w:cs="Arial" w:eastAsia="Arial" w:hAnsi="Arial"/>
          <w:sz w:val="18"/>
          <w:szCs w:val="18"/>
          <w:color w:val="auto"/>
        </w:rPr>
        <w:t>We define revenue per average full-time employee (FTE) as total revenue over the last 12 months (LTM)</w:t>
      </w:r>
      <w:r>
        <w:rPr>
          <w:rFonts w:ascii="Arial" w:cs="Arial" w:eastAsia="Arial" w:hAnsi="Arial"/>
          <w:sz w:val="18"/>
          <w:szCs w:val="18"/>
          <w:b w:val="1"/>
          <w:bCs w:val="1"/>
          <w:color w:val="auto"/>
        </w:rPr>
        <w:t xml:space="preserve"> </w:t>
      </w:r>
      <w:r>
        <w:rPr>
          <w:rFonts w:ascii="Arial" w:cs="Arial" w:eastAsia="Arial" w:hAnsi="Arial"/>
          <w:sz w:val="18"/>
          <w:szCs w:val="18"/>
          <w:color w:val="auto"/>
        </w:rPr>
        <w:t>divided by the average number of employees over the LTM, which is calculated by taking our total number of FTEs at the end of the prior year period by our total FTE headcount at the end of the most recent.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OptimizeRx is the best-in-class health technology company enabling care-focused engagement between life sciences organizations, healthcare providers, and patients at critical junctures throughout the patient care journey. Connecting over 60% of U.S. healthcare providers and millions of their patients through a technology platform embedded within a proprietary point-of-care network, OptimizeRx helps patients start and stay on their medications.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and future performance.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risks summarized in the Company’s Annual Report on Form 10-K for the fiscal year ended December 31, 2020, its subsequent Quarterly Reports on Form 10-Q, and its other filings with the Securities and Exchange Commission.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Andy D’Silva, SVP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adsilva@optimizerx.com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ind w:left="39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84,681,770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10,516,776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24,800,585</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17,885,705</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5,630,655</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4,456,611</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115,113,010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32,859,092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148,854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14,740,031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14,740,031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Technology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4,589,126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5,251,822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Patent rights,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2,155,026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2,349,570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Right of use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328,820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445,974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3,902,502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4,519,552</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60"/>
              <w:spacing w:after="0"/>
              <w:rPr>
                <w:sz w:val="20"/>
                <w:szCs w:val="20"/>
                <w:color w:val="auto"/>
              </w:rPr>
            </w:pPr>
            <w:r>
              <w:rPr>
                <w:rFonts w:ascii="Arial" w:cs="Arial" w:eastAsia="Arial" w:hAnsi="Arial"/>
                <w:sz w:val="18"/>
                <w:szCs w:val="18"/>
                <w:color w:val="auto"/>
              </w:rPr>
              <w:t>Security deposits and other assets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12,859</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12,859</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25,728,364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27,319,808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140,985,192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60,327,754</w:t>
            </w:r>
          </w:p>
        </w:tc>
        <w:tc>
          <w:tcPr>
            <w:tcW w:w="80" w:type="dxa"/>
            <w:vAlign w:val="bottom"/>
          </w:tcPr>
          <w:p>
            <w:pPr>
              <w:spacing w:after="0"/>
              <w:rPr>
                <w:sz w:val="24"/>
                <w:szCs w:val="24"/>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 trade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606,808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618,250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2,902,836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2,420,361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share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4,378,216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4,969,868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Current portion of lease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90,982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123,220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purchase price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1,610,813</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1,389,907</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285,795</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9,368,749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10,028,307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 net of current portion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236,726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325,533</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9,605,475</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10,353,840</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 (See Note 14)</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6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Preferred stock, $0.001 par value, 10,000,000 shares authorized, none issued and outstanding at December 31, 2021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2020,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02"/>
        </w:trPr>
        <w:tc>
          <w:tcPr>
            <w:tcW w:w="8680" w:type="dxa"/>
            <w:vAlign w:val="bottom"/>
          </w:tcPr>
          <w:p>
            <w:pPr>
              <w:ind w:left="160"/>
              <w:spacing w:after="0" w:line="201" w:lineRule="exact"/>
              <w:rPr>
                <w:sz w:val="20"/>
                <w:szCs w:val="20"/>
                <w:color w:val="auto"/>
              </w:rPr>
            </w:pPr>
            <w:r>
              <w:rPr>
                <w:rFonts w:ascii="Arial" w:cs="Arial" w:eastAsia="Arial" w:hAnsi="Arial"/>
                <w:sz w:val="18"/>
                <w:szCs w:val="18"/>
                <w:color w:val="auto"/>
                <w:w w:val="94"/>
              </w:rPr>
              <w:t>Common stock, $0.001 par value, 166,666,667 shares authorized, 17,860,975 and 15,223,340 shares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outstanding at December 31, 2021 and 2020,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17,861</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15,223</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166,615,514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85,590,428</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(35,253,658)</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(35,631,737)</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131,379,717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49,973,914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140,985,192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60,327,754</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For the</w:t>
            </w:r>
          </w:p>
        </w:tc>
        <w:tc>
          <w:tcPr>
            <w:tcW w:w="100" w:type="dxa"/>
            <w:vAlign w:val="bottom"/>
          </w:tcPr>
          <w:p>
            <w:pPr>
              <w:spacing w:after="0"/>
              <w:rPr>
                <w:sz w:val="18"/>
                <w:szCs w:val="18"/>
                <w:color w:val="auto"/>
              </w:rPr>
            </w:pPr>
          </w:p>
        </w:tc>
        <w:tc>
          <w:tcPr>
            <w:tcW w:w="112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right"/>
              <w:ind w:right="61"/>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61,292,598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43,313,323</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25,654,384</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19,207,902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35,638,214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24,105,421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5,491,957</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3,172,840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noncash lease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2,086,454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2,075,888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27,698,703</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20,992,012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35,277,114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26,240,740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Income (loss) from operations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361,100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(2,135,319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16,979</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68,582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(140,390)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16,979</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(71,808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378,079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(2,207,127</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17,228,019</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14,827,923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 diluted</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17,690,489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14,827,923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Income (loss) per share – basic</w:t>
            </w: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Income (loss) per share –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1"/>
              </w:rPr>
              <w:t>For the</w:t>
            </w: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378,079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(2,207,127)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1,965,325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1,971,083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Noncash lease expense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121,129</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104,805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bad debt reserve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5,491,957</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3,172,840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(6,994,880)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(10,667,680)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(1,174,044)</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(3,517,700)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(11,442)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(591,652)</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3,351,430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482,475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1,416,884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operating lease liabilities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(125,020)</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(106,347)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1,104,112</w:t>
            </w: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(294,219)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726,039</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(6,310,386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(100,322)</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(68,041)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intangible assets, including intellectual property rights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(21,511)</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(11,932)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Capitalized software development costs</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(364,166)</w:t>
            </w:r>
          </w:p>
        </w:tc>
        <w:tc>
          <w:tcPr>
            <w:tcW w:w="1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(44,752)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(485,999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(124,725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net of offering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70,671,536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4,864,231</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2,488,394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(1,610,813)</w:t>
            </w: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(4,389,187)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73,924,954</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(1,900,793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74,164,994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(8,335,904)</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10,516,776</w:t>
            </w:r>
          </w:p>
        </w:tc>
        <w:tc>
          <w:tcPr>
            <w:tcW w:w="1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18,852,680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84,681,770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10,516,776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tcPr>
          <w:p>
            <w:pPr>
              <w:ind w:left="180"/>
              <w:spacing w:after="0"/>
              <w:rPr>
                <w:sz w:val="20"/>
                <w:szCs w:val="20"/>
                <w:color w:val="auto"/>
              </w:rPr>
            </w:pPr>
            <w:r>
              <w:rPr>
                <w:rFonts w:ascii="Arial" w:cs="Arial" w:eastAsia="Arial" w:hAnsi="Arial"/>
                <w:sz w:val="18"/>
                <w:szCs w:val="18"/>
                <w:color w:val="auto"/>
              </w:rPr>
              <w:t>Acquisition liabilities paid in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1,657,548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For the Three Months</w:t>
            </w:r>
          </w:p>
        </w:tc>
        <w:tc>
          <w:tcPr>
            <w:tcW w:w="200" w:type="dxa"/>
            <w:vAlign w:val="bottom"/>
          </w:tcPr>
          <w:p>
            <w:pPr>
              <w:spacing w:after="0"/>
              <w:rPr>
                <w:sz w:val="19"/>
                <w:szCs w:val="19"/>
                <w:color w:val="auto"/>
              </w:rPr>
            </w:pPr>
          </w:p>
        </w:tc>
        <w:tc>
          <w:tcPr>
            <w:tcW w:w="23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For the Year</w:t>
            </w:r>
          </w:p>
        </w:tc>
        <w:tc>
          <w:tcPr>
            <w:tcW w:w="0" w:type="dxa"/>
            <w:vAlign w:val="bottom"/>
          </w:tcPr>
          <w:p>
            <w:pPr>
              <w:spacing w:after="0"/>
              <w:rPr>
                <w:sz w:val="1"/>
                <w:szCs w:val="1"/>
                <w:color w:val="auto"/>
              </w:rPr>
            </w:pPr>
          </w:p>
        </w:tc>
      </w:tr>
      <w:tr>
        <w:trPr>
          <w:trHeight w:val="241"/>
        </w:trPr>
        <w:tc>
          <w:tcPr>
            <w:tcW w:w="5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Ended December 31,</w:t>
            </w:r>
          </w:p>
        </w:tc>
        <w:tc>
          <w:tcPr>
            <w:tcW w:w="200" w:type="dxa"/>
            <w:vAlign w:val="bottom"/>
          </w:tcPr>
          <w:p>
            <w:pPr>
              <w:spacing w:after="0"/>
              <w:rPr>
                <w:sz w:val="20"/>
                <w:szCs w:val="20"/>
                <w:color w:val="auto"/>
              </w:rPr>
            </w:pPr>
          </w:p>
        </w:tc>
        <w:tc>
          <w:tcPr>
            <w:tcW w:w="23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Ended December 31,</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(2,207,127)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506,279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512,005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2,086,452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2,075,888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2,879,759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781,221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5,491,957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3,172,810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w w:val="98"/>
              </w:rPr>
              <w:t>Income or loss related to the fair value of contingent consideration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140,390</w:t>
            </w: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4,009,501</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2,650,392</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7,956,488</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3,181,961</w:t>
            </w:r>
          </w:p>
        </w:tc>
        <w:tc>
          <w:tcPr>
            <w:tcW w:w="0" w:type="dxa"/>
            <w:vAlign w:val="bottom"/>
          </w:tcPr>
          <w:p>
            <w:pPr>
              <w:spacing w:after="0"/>
              <w:rPr>
                <w:sz w:val="1"/>
                <w:szCs w:val="1"/>
                <w:color w:val="auto"/>
              </w:rPr>
            </w:pPr>
          </w:p>
        </w:tc>
      </w:tr>
      <w:tr>
        <w:trPr>
          <w:trHeight w:val="21"/>
        </w:trPr>
        <w:tc>
          <w:tcPr>
            <w:tcW w:w="5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 per share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180" w:type="dxa"/>
            <w:vAlign w:val="bottom"/>
          </w:tcPr>
          <w:p>
            <w:pPr>
              <w:ind w:left="180"/>
              <w:spacing w:after="0"/>
              <w:rPr>
                <w:sz w:val="20"/>
                <w:szCs w:val="20"/>
                <w:color w:val="auto"/>
              </w:rPr>
            </w:pPr>
            <w:r>
              <w:rPr>
                <w:rFonts w:ascii="Arial" w:cs="Arial" w:eastAsia="Arial" w:hAnsi="Arial"/>
                <w:sz w:val="18"/>
                <w:szCs w:val="18"/>
                <w:color w:val="auto"/>
              </w:rPr>
              <w:t>Basic</w:t>
            </w:r>
          </w:p>
        </w:tc>
        <w:tc>
          <w:tcPr>
            <w:tcW w:w="10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0.23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17,799,696</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15,127,425</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17,228,019</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14,827,923</w:t>
            </w:r>
          </w:p>
        </w:tc>
        <w:tc>
          <w:tcPr>
            <w:tcW w:w="0" w:type="dxa"/>
            <w:vAlign w:val="bottom"/>
          </w:tcPr>
          <w:p>
            <w:pPr>
              <w:spacing w:after="0"/>
              <w:rPr>
                <w:sz w:val="1"/>
                <w:szCs w:val="1"/>
                <w:color w:val="auto"/>
              </w:rPr>
            </w:pPr>
          </w:p>
        </w:tc>
      </w:tr>
      <w:tr>
        <w:trPr>
          <w:trHeight w:val="21"/>
        </w:trPr>
        <w:tc>
          <w:tcPr>
            <w:tcW w:w="51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18,410,160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16,311,904</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17,690,489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15,640,050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2022-02-24T15:33:08Z</dcterms:created>
  <dcterms:modified xsi:type="dcterms:W3CDTF">2022-02-24T15:33:08Z</dcterms:modified>
</cp:coreProperties>
</file>