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600" w:hanging="296"/>
        <w:spacing w:after="0"/>
        <w:tabs>
          <w:tab w:leader="none" w:pos="1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Times New Roman" w:cs="Times New Roman" w:eastAsia="Times New Roman" w:hAnsi="Times New Roman"/>
          <w:sz w:val="18"/>
          <w:szCs w:val="18"/>
          <w:color w:val="auto"/>
        </w:rPr>
      </w:pPr>
    </w:p>
    <w:p>
      <w:pPr>
        <w:jc w:val="both"/>
        <w:ind w:left="1300" w:right="8600" w:firstLine="4"/>
        <w:spacing w:after="0" w:line="530" w:lineRule="auto"/>
        <w:tabs>
          <w:tab w:leader="none" w:pos="159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4"/>
          <w:szCs w:val="24"/>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68401U204</w:t>
            </w:r>
          </w:p>
        </w:tc>
      </w:tr>
    </w:tbl>
    <w:p>
      <w:pPr>
        <w:spacing w:after="0" w:line="200" w:lineRule="exact"/>
        <w:rPr>
          <w:sz w:val="20"/>
          <w:szCs w:val="20"/>
          <w:color w:val="auto"/>
        </w:rPr>
      </w:pPr>
    </w:p>
    <w:p>
      <w:pPr>
        <w:spacing w:after="0" w:line="214" w:lineRule="exact"/>
        <w:rPr>
          <w:sz w:val="20"/>
          <w:szCs w:val="20"/>
          <w:color w:val="auto"/>
        </w:rPr>
      </w:pPr>
    </w:p>
    <w:p>
      <w:pPr>
        <w:ind w:left="1140" w:hanging="113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140" w:right="39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Divisadero Street Capital Management, LP</w:t>
      </w:r>
    </w:p>
    <w:p>
      <w:pPr>
        <w:ind w:left="1140" w:hanging="113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1140" w:hanging="113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140" w:hanging="113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7660" w:hanging="1135"/>
        <w:spacing w:after="0" w:line="50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140" w:right="7400" w:hanging="1135"/>
        <w:spacing w:after="0" w:line="50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3,118</w:t>
      </w:r>
    </w:p>
    <w:p>
      <w:pPr>
        <w:spacing w:after="0" w:line="1" w:lineRule="exact"/>
        <w:rPr>
          <w:rFonts w:ascii="Times New Roman" w:cs="Times New Roman" w:eastAsia="Times New Roman" w:hAnsi="Times New Roman"/>
          <w:sz w:val="18"/>
          <w:szCs w:val="18"/>
          <w:color w:val="auto"/>
        </w:rPr>
      </w:pPr>
    </w:p>
    <w:p>
      <w:pPr>
        <w:ind w:left="1140" w:right="7260" w:hanging="1135"/>
        <w:spacing w:after="0" w:line="50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140" w:right="7000" w:hanging="1135"/>
        <w:spacing w:after="0" w:line="50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3,118</w:t>
      </w:r>
    </w:p>
    <w:p>
      <w:pPr>
        <w:spacing w:after="0" w:line="1" w:lineRule="exact"/>
        <w:rPr>
          <w:rFonts w:ascii="Times New Roman" w:cs="Times New Roman" w:eastAsia="Times New Roman" w:hAnsi="Times New Roman"/>
          <w:sz w:val="18"/>
          <w:szCs w:val="18"/>
          <w:color w:val="auto"/>
        </w:rPr>
      </w:pPr>
    </w:p>
    <w:p>
      <w:pPr>
        <w:ind w:left="1140" w:right="2960" w:hanging="1135"/>
        <w:spacing w:after="0" w:line="50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3,118</w:t>
      </w:r>
    </w:p>
    <w:p>
      <w:pPr>
        <w:spacing w:after="0" w:line="1" w:lineRule="exact"/>
        <w:rPr>
          <w:rFonts w:ascii="Times New Roman" w:cs="Times New Roman" w:eastAsia="Times New Roman" w:hAnsi="Times New Roman"/>
          <w:sz w:val="18"/>
          <w:szCs w:val="18"/>
          <w:color w:val="auto"/>
        </w:rPr>
      </w:pPr>
    </w:p>
    <w:p>
      <w:pPr>
        <w:ind w:left="1140" w:right="2020" w:hanging="1135"/>
        <w:spacing w:after="0" w:line="261"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ind w:left="1012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1140" w:right="4460" w:hanging="1135"/>
        <w:spacing w:after="0" w:line="50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0.02%</w:t>
      </w:r>
    </w:p>
    <w:p>
      <w:pPr>
        <w:spacing w:after="0" w:line="1" w:lineRule="exact"/>
        <w:rPr>
          <w:rFonts w:ascii="Times New Roman" w:cs="Times New Roman" w:eastAsia="Times New Roman" w:hAnsi="Times New Roman"/>
          <w:sz w:val="18"/>
          <w:szCs w:val="18"/>
          <w:color w:val="auto"/>
        </w:rPr>
      </w:pPr>
    </w:p>
    <w:p>
      <w:pPr>
        <w:ind w:left="1140" w:right="5180" w:hanging="1135"/>
        <w:spacing w:after="0" w:line="53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68401U204</w:t>
            </w:r>
          </w:p>
        </w:tc>
      </w:tr>
    </w:tbl>
    <w:p>
      <w:pPr>
        <w:spacing w:after="0" w:line="200" w:lineRule="exact"/>
        <w:rPr>
          <w:sz w:val="20"/>
          <w:szCs w:val="20"/>
          <w:color w:val="auto"/>
        </w:rPr>
      </w:pPr>
    </w:p>
    <w:p>
      <w:pPr>
        <w:spacing w:after="0" w:line="214" w:lineRule="exact"/>
        <w:rPr>
          <w:sz w:val="20"/>
          <w:szCs w:val="20"/>
          <w:color w:val="auto"/>
        </w:rPr>
      </w:pPr>
    </w:p>
    <w:p>
      <w:pPr>
        <w:ind w:left="1140" w:hanging="113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140" w:right="39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William Zolezzi</w:t>
      </w:r>
    </w:p>
    <w:p>
      <w:pPr>
        <w:ind w:left="1140" w:hanging="113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1140" w:hanging="113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140" w:hanging="113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7660" w:hanging="1135"/>
        <w:spacing w:after="0" w:line="500"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140" w:right="7400" w:hanging="1135"/>
        <w:spacing w:after="0" w:line="500"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3,118</w:t>
      </w:r>
    </w:p>
    <w:p>
      <w:pPr>
        <w:spacing w:after="0" w:line="1" w:lineRule="exact"/>
        <w:rPr>
          <w:rFonts w:ascii="Times New Roman" w:cs="Times New Roman" w:eastAsia="Times New Roman" w:hAnsi="Times New Roman"/>
          <w:sz w:val="18"/>
          <w:szCs w:val="18"/>
          <w:color w:val="auto"/>
        </w:rPr>
      </w:pPr>
    </w:p>
    <w:p>
      <w:pPr>
        <w:ind w:left="1140" w:right="7260" w:hanging="1135"/>
        <w:spacing w:after="0" w:line="500"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140" w:right="7000" w:hanging="1135"/>
        <w:spacing w:after="0" w:line="500"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3,118</w:t>
      </w:r>
    </w:p>
    <w:p>
      <w:pPr>
        <w:spacing w:after="0" w:line="1" w:lineRule="exact"/>
        <w:rPr>
          <w:rFonts w:ascii="Times New Roman" w:cs="Times New Roman" w:eastAsia="Times New Roman" w:hAnsi="Times New Roman"/>
          <w:sz w:val="18"/>
          <w:szCs w:val="18"/>
          <w:color w:val="auto"/>
        </w:rPr>
      </w:pPr>
    </w:p>
    <w:p>
      <w:pPr>
        <w:ind w:left="1140" w:right="2960" w:hanging="1135"/>
        <w:spacing w:after="0" w:line="500"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3,118</w:t>
      </w:r>
    </w:p>
    <w:p>
      <w:pPr>
        <w:spacing w:after="0" w:line="1" w:lineRule="exact"/>
        <w:rPr>
          <w:rFonts w:ascii="Times New Roman" w:cs="Times New Roman" w:eastAsia="Times New Roman" w:hAnsi="Times New Roman"/>
          <w:sz w:val="18"/>
          <w:szCs w:val="18"/>
          <w:color w:val="auto"/>
        </w:rPr>
      </w:pPr>
    </w:p>
    <w:p>
      <w:pPr>
        <w:ind w:left="1140" w:right="2020" w:hanging="1135"/>
        <w:spacing w:after="0" w:line="261"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ind w:left="1012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1140" w:right="4460" w:hanging="1135"/>
        <w:spacing w:after="0" w:line="500"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0.02%</w:t>
      </w:r>
    </w:p>
    <w:p>
      <w:pPr>
        <w:spacing w:after="0" w:line="1" w:lineRule="exact"/>
        <w:rPr>
          <w:rFonts w:ascii="Times New Roman" w:cs="Times New Roman" w:eastAsia="Times New Roman" w:hAnsi="Times New Roman"/>
          <w:sz w:val="18"/>
          <w:szCs w:val="18"/>
          <w:color w:val="auto"/>
        </w:rPr>
      </w:pPr>
    </w:p>
    <w:p>
      <w:pPr>
        <w:ind w:left="1140" w:right="5180" w:hanging="1135"/>
        <w:spacing w:after="0" w:line="53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68401U204</w:t>
            </w:r>
          </w:p>
        </w:tc>
      </w:tr>
    </w:tbl>
    <w:p>
      <w:pPr>
        <w:spacing w:after="0" w:line="200" w:lineRule="exact"/>
        <w:rPr>
          <w:sz w:val="20"/>
          <w:szCs w:val="20"/>
          <w:color w:val="auto"/>
        </w:rPr>
      </w:pPr>
    </w:p>
    <w:p>
      <w:pPr>
        <w:spacing w:after="0" w:line="214" w:lineRule="exact"/>
        <w:rPr>
          <w:sz w:val="20"/>
          <w:szCs w:val="20"/>
          <w:color w:val="auto"/>
        </w:rPr>
      </w:pPr>
    </w:p>
    <w:p>
      <w:pPr>
        <w:ind w:left="1140" w:hanging="113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140" w:right="39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Divisadero Street Partners, L.P.</w:t>
      </w:r>
    </w:p>
    <w:p>
      <w:pPr>
        <w:ind w:left="1140" w:hanging="113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1140" w:hanging="113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140" w:hanging="113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7660" w:hanging="1135"/>
        <w:spacing w:after="0" w:line="500"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140" w:right="7400" w:hanging="1135"/>
        <w:spacing w:after="0" w:line="500"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3,118</w:t>
      </w:r>
    </w:p>
    <w:p>
      <w:pPr>
        <w:spacing w:after="0" w:line="1" w:lineRule="exact"/>
        <w:rPr>
          <w:rFonts w:ascii="Times New Roman" w:cs="Times New Roman" w:eastAsia="Times New Roman" w:hAnsi="Times New Roman"/>
          <w:sz w:val="18"/>
          <w:szCs w:val="18"/>
          <w:color w:val="auto"/>
        </w:rPr>
      </w:pPr>
    </w:p>
    <w:p>
      <w:pPr>
        <w:ind w:left="1140" w:right="7260" w:hanging="1135"/>
        <w:spacing w:after="0" w:line="500"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140" w:right="7000" w:hanging="1135"/>
        <w:spacing w:after="0" w:line="500"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3,118</w:t>
      </w:r>
    </w:p>
    <w:p>
      <w:pPr>
        <w:spacing w:after="0" w:line="1" w:lineRule="exact"/>
        <w:rPr>
          <w:rFonts w:ascii="Times New Roman" w:cs="Times New Roman" w:eastAsia="Times New Roman" w:hAnsi="Times New Roman"/>
          <w:sz w:val="18"/>
          <w:szCs w:val="18"/>
          <w:color w:val="auto"/>
        </w:rPr>
      </w:pPr>
    </w:p>
    <w:p>
      <w:pPr>
        <w:ind w:left="1140" w:right="2960" w:hanging="1135"/>
        <w:spacing w:after="0" w:line="500"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3,118</w:t>
      </w:r>
    </w:p>
    <w:p>
      <w:pPr>
        <w:spacing w:after="0" w:line="1" w:lineRule="exact"/>
        <w:rPr>
          <w:rFonts w:ascii="Times New Roman" w:cs="Times New Roman" w:eastAsia="Times New Roman" w:hAnsi="Times New Roman"/>
          <w:sz w:val="18"/>
          <w:szCs w:val="18"/>
          <w:color w:val="auto"/>
        </w:rPr>
      </w:pPr>
    </w:p>
    <w:p>
      <w:pPr>
        <w:ind w:left="1140" w:right="2020" w:hanging="1135"/>
        <w:spacing w:after="0" w:line="261"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ind w:left="1012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1140" w:right="4460" w:hanging="1135"/>
        <w:spacing w:after="0" w:line="500"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0.02%</w:t>
      </w:r>
    </w:p>
    <w:p>
      <w:pPr>
        <w:spacing w:after="0" w:line="1" w:lineRule="exact"/>
        <w:rPr>
          <w:rFonts w:ascii="Times New Roman" w:cs="Times New Roman" w:eastAsia="Times New Roman" w:hAnsi="Times New Roman"/>
          <w:sz w:val="18"/>
          <w:szCs w:val="18"/>
          <w:color w:val="auto"/>
        </w:rPr>
      </w:pPr>
    </w:p>
    <w:p>
      <w:pPr>
        <w:ind w:left="1140" w:right="5180" w:hanging="1135"/>
        <w:spacing w:after="0" w:line="53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68401U204</w:t>
            </w:r>
          </w:p>
        </w:tc>
      </w:tr>
    </w:tbl>
    <w:p>
      <w:pPr>
        <w:spacing w:after="0" w:line="200" w:lineRule="exact"/>
        <w:rPr>
          <w:sz w:val="20"/>
          <w:szCs w:val="20"/>
          <w:color w:val="auto"/>
        </w:rPr>
      </w:pPr>
    </w:p>
    <w:p>
      <w:pPr>
        <w:spacing w:after="0" w:line="214" w:lineRule="exact"/>
        <w:rPr>
          <w:sz w:val="20"/>
          <w:szCs w:val="20"/>
          <w:color w:val="auto"/>
        </w:rPr>
      </w:pPr>
    </w:p>
    <w:p>
      <w:pPr>
        <w:ind w:left="1140" w:hanging="1135"/>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140" w:right="39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Divisadero Street Partners GP, LLC</w:t>
      </w:r>
    </w:p>
    <w:p>
      <w:pPr>
        <w:ind w:left="1140" w:hanging="1135"/>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1140" w:hanging="113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140" w:hanging="113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7660" w:hanging="1135"/>
        <w:spacing w:after="0" w:line="50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140" w:right="7400" w:hanging="1135"/>
        <w:spacing w:after="0" w:line="50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3,118</w:t>
      </w:r>
    </w:p>
    <w:p>
      <w:pPr>
        <w:spacing w:after="0" w:line="1" w:lineRule="exact"/>
        <w:rPr>
          <w:rFonts w:ascii="Times New Roman" w:cs="Times New Roman" w:eastAsia="Times New Roman" w:hAnsi="Times New Roman"/>
          <w:sz w:val="18"/>
          <w:szCs w:val="18"/>
          <w:color w:val="auto"/>
        </w:rPr>
      </w:pPr>
    </w:p>
    <w:p>
      <w:pPr>
        <w:ind w:left="1140" w:right="7260" w:hanging="1135"/>
        <w:spacing w:after="0" w:line="50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140" w:right="7000" w:hanging="1135"/>
        <w:spacing w:after="0" w:line="50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3,118</w:t>
      </w:r>
    </w:p>
    <w:p>
      <w:pPr>
        <w:spacing w:after="0" w:line="1" w:lineRule="exact"/>
        <w:rPr>
          <w:rFonts w:ascii="Times New Roman" w:cs="Times New Roman" w:eastAsia="Times New Roman" w:hAnsi="Times New Roman"/>
          <w:sz w:val="18"/>
          <w:szCs w:val="18"/>
          <w:color w:val="auto"/>
        </w:rPr>
      </w:pPr>
    </w:p>
    <w:p>
      <w:pPr>
        <w:ind w:left="1140" w:right="2960" w:hanging="1135"/>
        <w:spacing w:after="0" w:line="50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3,118</w:t>
      </w:r>
    </w:p>
    <w:p>
      <w:pPr>
        <w:spacing w:after="0" w:line="1" w:lineRule="exact"/>
        <w:rPr>
          <w:rFonts w:ascii="Times New Roman" w:cs="Times New Roman" w:eastAsia="Times New Roman" w:hAnsi="Times New Roman"/>
          <w:sz w:val="18"/>
          <w:szCs w:val="18"/>
          <w:color w:val="auto"/>
        </w:rPr>
      </w:pPr>
    </w:p>
    <w:p>
      <w:pPr>
        <w:ind w:left="1140" w:right="2020" w:hanging="1135"/>
        <w:spacing w:after="0" w:line="261"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ind w:left="10120"/>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1140" w:right="4460" w:hanging="1135"/>
        <w:spacing w:after="0" w:line="500"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0.02%</w:t>
      </w:r>
    </w:p>
    <w:p>
      <w:pPr>
        <w:spacing w:after="0" w:line="1" w:lineRule="exact"/>
        <w:rPr>
          <w:rFonts w:ascii="Times New Roman" w:cs="Times New Roman" w:eastAsia="Times New Roman" w:hAnsi="Times New Roman"/>
          <w:sz w:val="18"/>
          <w:szCs w:val="18"/>
          <w:color w:val="auto"/>
        </w:rPr>
      </w:pPr>
    </w:p>
    <w:p>
      <w:pPr>
        <w:ind w:left="1140" w:right="5180" w:hanging="1135"/>
        <w:spacing w:after="0" w:line="53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2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68401U204</w:t>
            </w:r>
          </w:p>
        </w:tc>
        <w:tc>
          <w:tcPr>
            <w:tcW w:w="66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26"/>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c>
          <w:tcPr>
            <w:tcW w:w="112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OptimizeRx Corporation</w:t>
            </w:r>
          </w:p>
        </w:tc>
        <w:tc>
          <w:tcPr>
            <w:tcW w:w="1120" w:type="dxa"/>
            <w:vAlign w:val="bottom"/>
          </w:tcPr>
          <w:p>
            <w:pPr>
              <w:spacing w:after="0"/>
              <w:rPr>
                <w:sz w:val="24"/>
                <w:szCs w:val="24"/>
                <w:color w:val="auto"/>
              </w:rPr>
            </w:pPr>
          </w:p>
        </w:tc>
      </w:tr>
      <w:tr>
        <w:trPr>
          <w:trHeight w:val="426"/>
        </w:trPr>
        <w:tc>
          <w:tcPr>
            <w:tcW w:w="96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112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260 Charles Street, Suite 302</w:t>
            </w:r>
          </w:p>
        </w:tc>
        <w:tc>
          <w:tcPr>
            <w:tcW w:w="1120" w:type="dxa"/>
            <w:vAlign w:val="bottom"/>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Waltham, MA 02453</w:t>
            </w:r>
          </w:p>
        </w:tc>
        <w:tc>
          <w:tcPr>
            <w:tcW w:w="1120" w:type="dxa"/>
            <w:vAlign w:val="bottom"/>
          </w:tcPr>
          <w:p>
            <w:pPr>
              <w:spacing w:after="0"/>
              <w:rPr>
                <w:sz w:val="20"/>
                <w:szCs w:val="20"/>
                <w:color w:val="auto"/>
              </w:rPr>
            </w:pPr>
          </w:p>
        </w:tc>
      </w:tr>
      <w:tr>
        <w:trPr>
          <w:trHeight w:val="426"/>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person filing:</w:t>
            </w:r>
          </w:p>
        </w:tc>
        <w:tc>
          <w:tcPr>
            <w:tcW w:w="112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Capital Management, LP</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L.P.</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GP, LLC</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William Zolezzi</w:t>
            </w:r>
          </w:p>
        </w:tc>
        <w:tc>
          <w:tcPr>
            <w:tcW w:w="112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Capital Management, LP is the investment adviser to private investment funds, including</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L.P., and Divisadero Street Partners GP, LLC is the general partner of Divisadero Street</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Partners, L.P. William Zolezzi is the control person of Divisadero Street Capital Management, LP and Divisadero</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Street Partners GP, LLC. Divisadero Street Capital Management, LP, Divisadero Street Partners, L.P., Divisadero</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Street Partners GP, LLC, and William Zolezzi (collectively, the “Filers”) are filing this statement jointly, but not as</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members of a group. Each Filer expressly disclaims membership in a group. Each Filer also disclaims beneficial</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ownership of the Common Stock, par value $0.001 of OptimizeRx Corporation except to the extent of that Filer’s</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pecuniary interest therein. The filing of this Schedule 13G on behalf of Divisadero Street Partners, L.P. should not</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 construed as an admission that it is, and it disclaims that it is, a beneficial owner, as defined in Rule 13d-3 under</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Act, of any of the Common Stock, par value $0.001 of OptimizeRx Corporation covered by this Schedule 13G.</w:t>
            </w:r>
          </w:p>
        </w:tc>
        <w:tc>
          <w:tcPr>
            <w:tcW w:w="1120" w:type="dxa"/>
            <w:vAlign w:val="bottom"/>
          </w:tcPr>
          <w:p>
            <w:pPr>
              <w:spacing w:after="0"/>
              <w:rPr>
                <w:sz w:val="20"/>
                <w:szCs w:val="20"/>
                <w:color w:val="auto"/>
              </w:rPr>
            </w:pPr>
          </w:p>
        </w:tc>
      </w:tr>
      <w:tr>
        <w:trPr>
          <w:trHeight w:val="425"/>
        </w:trPr>
        <w:tc>
          <w:tcPr>
            <w:tcW w:w="96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or principal business office or, if none, residence:</w:t>
            </w:r>
          </w:p>
        </w:tc>
        <w:tc>
          <w:tcPr>
            <w:tcW w:w="112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Capital Management, LP</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3480 Main Highway, Suite 204</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Miami, FL 33133</w:t>
            </w:r>
          </w:p>
        </w:tc>
        <w:tc>
          <w:tcPr>
            <w:tcW w:w="112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L.P.</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3480 Main Highway, Suite 204</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Miami, FL 33133</w:t>
            </w:r>
          </w:p>
        </w:tc>
        <w:tc>
          <w:tcPr>
            <w:tcW w:w="112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GP, LLC</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3480 Main Highway, Suite 204</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Miami, FL 33133</w:t>
            </w:r>
          </w:p>
        </w:tc>
        <w:tc>
          <w:tcPr>
            <w:tcW w:w="112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William Zolezzi</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Divisadero Street Capital Management, LP</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3480 Main Highway, Suite 204</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Miami, FL 33133</w:t>
            </w:r>
          </w:p>
        </w:tc>
        <w:tc>
          <w:tcPr>
            <w:tcW w:w="1120" w:type="dxa"/>
            <w:vAlign w:val="bottom"/>
          </w:tcPr>
          <w:p>
            <w:pPr>
              <w:spacing w:after="0"/>
              <w:rPr>
                <w:sz w:val="20"/>
                <w:szCs w:val="20"/>
                <w:color w:val="auto"/>
              </w:rPr>
            </w:pPr>
          </w:p>
        </w:tc>
      </w:tr>
      <w:tr>
        <w:trPr>
          <w:trHeight w:val="426"/>
        </w:trPr>
        <w:tc>
          <w:tcPr>
            <w:tcW w:w="96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Citizenship:</w:t>
            </w:r>
          </w:p>
        </w:tc>
        <w:tc>
          <w:tcPr>
            <w:tcW w:w="112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Capital Management, LP – Delaware</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L.P. – Delaware</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GP, LLC – Delaware</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William Zolezzi – United States of America</w:t>
            </w:r>
          </w:p>
        </w:tc>
        <w:tc>
          <w:tcPr>
            <w:tcW w:w="112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112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1120" w:type="dxa"/>
            <w:vAlign w:val="bottom"/>
          </w:tcPr>
          <w:p>
            <w:pPr>
              <w:spacing w:after="0"/>
              <w:rPr>
                <w:sz w:val="24"/>
                <w:szCs w:val="24"/>
                <w:color w:val="auto"/>
              </w:rPr>
            </w:pPr>
          </w:p>
        </w:tc>
      </w:tr>
      <w:tr>
        <w:trPr>
          <w:trHeight w:val="425"/>
        </w:trPr>
        <w:tc>
          <w:tcPr>
            <w:tcW w:w="96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w:t>
            </w:r>
          </w:p>
        </w:tc>
        <w:tc>
          <w:tcPr>
            <w:tcW w:w="28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12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68401U204</w:t>
            </w:r>
          </w:p>
        </w:tc>
        <w:tc>
          <w:tcPr>
            <w:tcW w:w="1120" w:type="dxa"/>
            <w:vAlign w:val="bottom"/>
          </w:tcPr>
          <w:p>
            <w:pPr>
              <w:spacing w:after="0"/>
              <w:rPr>
                <w:sz w:val="24"/>
                <w:szCs w:val="24"/>
                <w:color w:val="auto"/>
              </w:rPr>
            </w:pPr>
          </w:p>
        </w:tc>
      </w:tr>
      <w:tr>
        <w:trPr>
          <w:trHeight w:val="473"/>
        </w:trPr>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 w:name="page7"/>
    <w:bookmarkEnd w:id="6"/>
    <w:p>
      <w:pPr>
        <w:spacing w:after="0"/>
        <w:tabs>
          <w:tab w:leader="none" w:pos="15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§§.240.13d-1(b) or 240.13d-2(b), or (c), check whether the person filing is a</w:t>
      </w:r>
    </w:p>
    <w:p>
      <w:pPr>
        <w:spacing w:after="0" w:line="225" w:lineRule="exact"/>
        <w:rPr>
          <w:sz w:val="20"/>
          <w:szCs w:val="20"/>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 parent holding company or control person in accordance with §240.13d-1(b)(1)(ii)(G);</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savings association as defined in Section 3(b) of the Federal Deposit Insurance Act (12 U.S.C.1813);</w:t>
      </w:r>
    </w:p>
    <w:p>
      <w:pPr>
        <w:spacing w:after="0" w:line="225" w:lineRule="exact"/>
        <w:rPr>
          <w:rFonts w:ascii="Times New Roman" w:cs="Times New Roman" w:eastAsia="Times New Roman" w:hAnsi="Times New Roman"/>
          <w:sz w:val="18"/>
          <w:szCs w:val="18"/>
          <w:color w:val="auto"/>
        </w:rPr>
      </w:pPr>
    </w:p>
    <w:p>
      <w:pPr>
        <w:ind w:left="2160" w:right="380" w:hanging="1250"/>
        <w:spacing w:after="0" w:line="282" w:lineRule="auto"/>
        <w:tabs>
          <w:tab w:leader="none" w:pos="15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2160" w:right="20" w:hanging="1250"/>
        <w:spacing w:after="0" w:line="282" w:lineRule="auto"/>
        <w:tabs>
          <w:tab w:leader="none" w:pos="15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[_]Group, in accordance with §240.13d-1(b)(1)(ii)(K). If filing as a non-U.S. institution in accordance with §240.13d-1(b)(1) (ii)(J), please specify the type of institution:</w:t>
      </w:r>
    </w:p>
    <w:p>
      <w:pPr>
        <w:spacing w:after="0" w:line="37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580" w:hanging="670"/>
        <w:spacing w:after="0"/>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580" w:right="57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Divisadero Street Capital Management, LP – 3,118 Divisadero Street Partners, L.P. – 3,118 Divisadero Street Partners GP, LLC – 3,118 William Zolezzi – 3,118</w:t>
      </w:r>
    </w:p>
    <w:p>
      <w:pPr>
        <w:spacing w:after="0" w:line="193"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580" w:right="56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Divisadero Street Capital Management, LP – 0.02% Divisadero Street Partners, L.P. – 0.02% Divisadero Street Partners GP, LLC – 0.02% William Zolezzi – 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-979805</wp:posOffset>
            </wp:positionV>
            <wp:extent cx="6129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-10795</wp:posOffset>
            </wp:positionV>
            <wp:extent cx="6129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04" w:right="459" w:bottom="1440" w:gutter="0" w:footer="0" w:header="0"/>
        </w:sectPr>
      </w:pPr>
    </w:p>
    <w:bookmarkStart w:id="7" w:name="page8"/>
    <w:bookmarkEnd w:id="7"/>
    <w:p>
      <w:pPr>
        <w:ind w:left="1580" w:hanging="562"/>
        <w:spacing w:after="0"/>
        <w:tabs>
          <w:tab w:leader="none" w:pos="1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260" w:right="5360" w:hanging="675"/>
        <w:spacing w:after="0" w:line="258" w:lineRule="auto"/>
        <w:tabs>
          <w:tab w:leader="none" w:pos="2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Divisadero Street Capital Management, LP – 0 Divisadero Street Partners, L.P. – 0 Divisadero Street Partners GP, LLC – 0 William Zolezzi – 0</w:t>
      </w:r>
    </w:p>
    <w:p>
      <w:pPr>
        <w:spacing w:after="0" w:line="183" w:lineRule="exact"/>
        <w:rPr>
          <w:rFonts w:ascii="Times New Roman" w:cs="Times New Roman" w:eastAsia="Times New Roman" w:hAnsi="Times New Roman"/>
          <w:sz w:val="18"/>
          <w:szCs w:val="18"/>
          <w:color w:val="auto"/>
        </w:rPr>
      </w:pPr>
    </w:p>
    <w:p>
      <w:pPr>
        <w:ind w:left="2260" w:hanging="675"/>
        <w:spacing w:after="0"/>
        <w:tabs>
          <w:tab w:leader="none" w:pos="2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2260" w:right="50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Divisadero Street Capital Management, LP – 3,118 Divisadero Street Partners, L.P. – 3,118 Divisadero Street Partners GP, LLC – 3,118 William Zolezzi – 3,118</w:t>
      </w:r>
    </w:p>
    <w:p>
      <w:pPr>
        <w:spacing w:after="0" w:line="179" w:lineRule="exact"/>
        <w:rPr>
          <w:rFonts w:ascii="Times New Roman" w:cs="Times New Roman" w:eastAsia="Times New Roman" w:hAnsi="Times New Roman"/>
          <w:sz w:val="18"/>
          <w:szCs w:val="18"/>
          <w:color w:val="auto"/>
        </w:rPr>
      </w:pPr>
    </w:p>
    <w:p>
      <w:pPr>
        <w:ind w:left="2260" w:hanging="675"/>
        <w:spacing w:after="0"/>
        <w:tabs>
          <w:tab w:leader="none" w:pos="2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260" w:right="5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Divisadero Street Capital Management, LP – 0 Divisadero Street Partners, L.P. – 0 Divisadero Street Partners GP, LLC – 0 William Zolezzi – 0</w:t>
      </w:r>
    </w:p>
    <w:p>
      <w:pPr>
        <w:spacing w:after="0" w:line="179" w:lineRule="exact"/>
        <w:rPr>
          <w:rFonts w:ascii="Times New Roman" w:cs="Times New Roman" w:eastAsia="Times New Roman" w:hAnsi="Times New Roman"/>
          <w:sz w:val="18"/>
          <w:szCs w:val="18"/>
          <w:color w:val="auto"/>
        </w:rPr>
      </w:pPr>
    </w:p>
    <w:p>
      <w:pPr>
        <w:ind w:left="2260" w:hanging="675"/>
        <w:spacing w:after="0"/>
        <w:tabs>
          <w:tab w:leader="none" w:pos="2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Divisadero Street Capital Management, LP – 3,118</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Divisadero Street Partners, L.P. – 3,118</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Divisadero Street Partners GP, LLC – 3,118</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William Zolezzi – 3,118</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Instruction: For computations regarding securities which represent a right to acquire an underlying security see §240.13d-3(d)(1).</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225" w:lineRule="exact"/>
        <w:rPr>
          <w:sz w:val="20"/>
          <w:szCs w:val="20"/>
          <w:color w:val="auto"/>
        </w:rPr>
      </w:pPr>
    </w:p>
    <w:p>
      <w:pPr>
        <w:ind w:left="900" w:right="6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251460</wp:posOffset>
            </wp:positionV>
            <wp:extent cx="6557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Ownership of More Than Five Percent on Behalf of Another Person.</w:t>
      </w:r>
    </w:p>
    <w:p>
      <w:pPr>
        <w:spacing w:after="0" w:line="225"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17145</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325755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04" w:right="479" w:bottom="1440" w:gutter="0" w:footer="0" w:header="0"/>
        </w:sectPr>
      </w:pPr>
    </w:p>
    <w:bookmarkStart w:id="8" w:name="page9"/>
    <w:bookmarkEnd w:id="8"/>
    <w:p>
      <w:pPr>
        <w:ind w:left="900" w:right="420" w:hanging="904"/>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jc w:val="both"/>
        <w:ind w:left="900" w:right="180"/>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17145</wp:posOffset>
            </wp:positionV>
            <wp:extent cx="6557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17145</wp:posOffset>
            </wp:positionV>
            <wp:extent cx="6557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900" w:right="18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17145</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900" w:right="1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425450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904"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DIVISADERO STREET CAPITAL MANAGEMENT, LP*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Divisadero Street Capital LLC, its general partner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DIVISADERO STREET PARTNERS, L.P*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Divisadero Street Partners GP, LLC, its general partner</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DIVISADERO STREET PARTNERS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WILLIAM ZOLEZZI*</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Reporting Persons disclaim beneficial ownership in the Shares reported herein except to the extent of their pecuniary interest therein.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REGARDING JOINT FILING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STATEMENT ON SCHEDULE 13D OR 13G</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agree to file jointly with the Securities and Exchange Commission (the "SEC") any and all statements on Schedule 13D or Schedule 13G and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Divisadero Street Capital Management, LP, as the undersigned’s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DIVISADERO STREET CAPITAL MANAGEMENT, LP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Divisadero Street Capital LLC, its general partner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DIVISADERO STREET PARTNERS, L.P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Divisadero Street Partners GP, LLC, its general partner</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DIVISADERO STREET PARTNERS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WILLIAM ZOLEZZI</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upperLetter"/>
      <w:start w:val="24"/>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5"/>
    </w:lvl>
  </w:abstractNum>
  <w:abstractNum w:abstractNumId="9">
    <w:nsid w:val="41A7C4C9"/>
    <w:multiLevelType w:val="hybridMultilevel"/>
    <w:lvl w:ilvl="0">
      <w:lvlJc w:val="left"/>
      <w:lvlText w:val="%1."/>
      <w:numFmt w:val="decimal"/>
      <w:start w:val="1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1."/>
      <w:numFmt w:val="decimal"/>
      <w:start w:val="5"/>
    </w:lvl>
  </w:abstractNum>
  <w:abstractNum w:abstractNumId="13">
    <w:nsid w:val="519B500D"/>
    <w:multiLevelType w:val="hybridMultilevel"/>
    <w:lvl w:ilvl="0">
      <w:lvlJc w:val="left"/>
      <w:lvlText w:val="%1."/>
      <w:numFmt w:val="decimal"/>
      <w:start w:val="1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decimal"/>
      <w:start w:val="5"/>
    </w:lvl>
  </w:abstractNum>
  <w:abstractNum w:abstractNumId="17">
    <w:nsid w:val="257130A3"/>
    <w:multiLevelType w:val="hybridMultilevel"/>
    <w:lvl w:ilvl="0">
      <w:lvlJc w:val="left"/>
      <w:lvlText w:val="%1."/>
      <w:numFmt w:val="decimal"/>
      <w:start w:val="1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2024-11-14T10:32:15Z</dcterms:created>
  <dcterms:modified xsi:type="dcterms:W3CDTF">2024-11-14T10:32:15Z</dcterms:modified>
</cp:coreProperties>
</file>