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172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1724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WPP plc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27 FARM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OptimizeRx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OPRX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03/19/2018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18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W1J 5RJ</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4"/>
          <w:szCs w:val="24"/>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20" w:type="dxa"/>
            <w:vAlign w:val="bottom"/>
            <w:gridSpan w:val="3"/>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180" w:type="dxa"/>
            <w:vAlign w:val="bottom"/>
          </w:tcPr>
          <w:p>
            <w:pPr>
              <w:spacing w:after="0"/>
              <w:rPr>
                <w:sz w:val="22"/>
                <w:szCs w:val="22"/>
                <w:color w:val="auto"/>
              </w:rPr>
            </w:pPr>
          </w:p>
        </w:tc>
        <w:tc>
          <w:tcPr>
            <w:tcW w:w="1620" w:type="dxa"/>
            <w:vAlign w:val="bottom"/>
            <w:gridSpan w:val="3"/>
            <w:vMerge w:val="restart"/>
          </w:tcPr>
          <w:p>
            <w:pPr>
              <w:ind w:left="700"/>
              <w:spacing w:after="0"/>
              <w:rPr>
                <w:sz w:val="20"/>
                <w:szCs w:val="20"/>
                <w:color w:val="auto"/>
              </w:rPr>
            </w:pPr>
            <w:r>
              <w:rPr>
                <w:rFonts w:ascii="Arial" w:cs="Arial" w:eastAsia="Arial" w:hAnsi="Arial"/>
                <w:sz w:val="18"/>
                <w:szCs w:val="18"/>
                <w:color w:val="0000FF"/>
                <w:w w:val="99"/>
              </w:rPr>
              <w:t>03/19/2018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0000FF"/>
                <w:w w:val="89"/>
              </w:rPr>
              <w:t>300,000</w:t>
            </w:r>
          </w:p>
        </w:tc>
        <w:tc>
          <w:tcPr>
            <w:tcW w:w="460" w:type="dxa"/>
            <w:vAlign w:val="bottom"/>
            <w:vMerge w:val="restart"/>
          </w:tcPr>
          <w:p>
            <w:pPr>
              <w:ind w:left="320"/>
              <w:spacing w:after="0"/>
              <w:rPr>
                <w:sz w:val="20"/>
                <w:szCs w:val="20"/>
                <w:color w:val="auto"/>
              </w:rPr>
            </w:pPr>
            <w:r>
              <w:rPr>
                <w:rFonts w:ascii="Arial" w:cs="Arial" w:eastAsia="Arial" w:hAnsi="Arial"/>
                <w:sz w:val="18"/>
                <w:szCs w:val="18"/>
                <w:color w:val="0000FF"/>
                <w:w w:val="99"/>
              </w:rPr>
              <w:t>A</w:t>
            </w:r>
          </w:p>
        </w:tc>
        <w:tc>
          <w:tcPr>
            <w:tcW w:w="220" w:type="dxa"/>
            <w:vAlign w:val="bottom"/>
          </w:tcPr>
          <w:p>
            <w:pPr>
              <w:spacing w:after="0"/>
              <w:rPr>
                <w:sz w:val="22"/>
                <w:szCs w:val="22"/>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1400" w:type="dxa"/>
            <w:vAlign w:val="bottom"/>
            <w:gridSpan w:val="3"/>
            <w:vMerge w:val="restart"/>
          </w:tcPr>
          <w:p>
            <w:pPr>
              <w:ind w:left="400"/>
              <w:spacing w:after="0"/>
              <w:rPr>
                <w:sz w:val="20"/>
                <w:szCs w:val="20"/>
                <w:color w:val="auto"/>
              </w:rPr>
            </w:pPr>
            <w:r>
              <w:rPr>
                <w:rFonts w:ascii="Arial" w:cs="Arial" w:eastAsia="Arial" w:hAnsi="Arial"/>
                <w:sz w:val="18"/>
                <w:szCs w:val="18"/>
                <w:color w:val="0000FF"/>
              </w:rPr>
              <w:t>6,311,106</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118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7"/>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80" w:type="dxa"/>
            <w:vAlign w:val="bottom"/>
            <w:gridSpan w:val="14"/>
          </w:tcPr>
          <w:p>
            <w:pPr>
              <w:ind w:left="56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4"/>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1840" w:type="dxa"/>
            <w:vAlign w:val="bottom"/>
            <w:tcBorders>
              <w:bottom w:val="single" w:sz="8" w:color="2C2C2C"/>
            </w:tcBorders>
            <w:gridSpan w:val="2"/>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9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WPP plc</w:t>
              </w:r>
            </w:hyperlink>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w w:val="93"/>
              </w:rPr>
              <w:t>27 FARM STREET</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LONDON</w:t>
            </w:r>
          </w:p>
        </w:tc>
        <w:tc>
          <w:tcPr>
            <w:tcW w:w="1180" w:type="dxa"/>
            <w:vAlign w:val="bottom"/>
          </w:tcPr>
          <w:p>
            <w:pPr>
              <w:ind w:left="20"/>
              <w:spacing w:after="0"/>
              <w:rPr>
                <w:sz w:val="20"/>
                <w:szCs w:val="20"/>
                <w:color w:val="auto"/>
              </w:rPr>
            </w:pPr>
            <w:r>
              <w:rPr>
                <w:rFonts w:ascii="Arial" w:cs="Arial" w:eastAsia="Arial" w:hAnsi="Arial"/>
                <w:sz w:val="18"/>
                <w:szCs w:val="18"/>
                <w:color w:val="0000FF"/>
              </w:rPr>
              <w:t>X0</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W1J 5RJ</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w w:val="93"/>
              </w:rPr>
            </w:pPr>
            <w:hyperlink r:id="rId14">
              <w:r>
                <w:rPr>
                  <w:rFonts w:ascii="Arial" w:cs="Arial" w:eastAsia="Arial" w:hAnsi="Arial"/>
                  <w:sz w:val="22"/>
                  <w:szCs w:val="22"/>
                  <w:color w:val="0000EE"/>
                  <w:w w:val="93"/>
                </w:rPr>
                <w:t>WPP Luxembourg Gamma Three S.a.r.l.</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124 BOULEVARD DE LA PETRUSSE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LUXEMBOURG</w:t>
            </w:r>
          </w:p>
        </w:tc>
        <w:tc>
          <w:tcPr>
            <w:tcW w:w="1180" w:type="dxa"/>
            <w:vAlign w:val="bottom"/>
          </w:tcPr>
          <w:p>
            <w:pPr>
              <w:ind w:left="20"/>
              <w:spacing w:after="0"/>
              <w:rPr>
                <w:sz w:val="20"/>
                <w:szCs w:val="20"/>
                <w:color w:val="auto"/>
              </w:rPr>
            </w:pPr>
            <w:r>
              <w:rPr>
                <w:rFonts w:ascii="Arial" w:cs="Arial" w:eastAsia="Arial" w:hAnsi="Arial"/>
                <w:sz w:val="18"/>
                <w:szCs w:val="18"/>
                <w:color w:val="0000FF"/>
              </w:rPr>
              <w:t>N4</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L-2330</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300,000 shares of Common Stock of the Issuer (the "Shares") were acquired by WPP Luxembourg Gamma Three S.a r.l. ("Lux Gamma Three") from the Issuer on March 19, 2018. The Shares were issued pursuant to a Termination Letter (the "Termination Letter") dated as of February 23, 2018 between the Issuer and Grey Healthcare Group, LLC, an affiliate of Lux Gamma Three ("GHG"), as consideration for GHG's performance of its obligations pursuant to the Amended and Restated Co-Marketing Agreement dated as of September 24, 2015, between the Issuer and GHG, which was terminated by such Termination Letter. The price reported in column 4 is the price as of market close on March 16, 2018, the trading day preceding the acquisition.</w:t>
      </w:r>
    </w:p>
    <w:p>
      <w:pPr>
        <w:spacing w:after="0" w:line="8" w:lineRule="exact"/>
        <w:rPr>
          <w:rFonts w:ascii="Arial" w:cs="Arial" w:eastAsia="Arial" w:hAnsi="Arial"/>
          <w:sz w:val="12"/>
          <w:szCs w:val="12"/>
          <w:color w:val="008000"/>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are owned directly by Lux Gamma Three, which is a wholly-owned subsidiary of WPP plc that WPP plc owns indirectly through a series of intervening holding companies. WPP plc is an indirect beneficial owner of the reported securities.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940" w:type="dxa"/>
            <w:vAlign w:val="bottom"/>
          </w:tcPr>
          <w:p>
            <w:pPr>
              <w:spacing w:after="0"/>
              <w:rPr>
                <w:sz w:val="20"/>
                <w:szCs w:val="20"/>
                <w:color w:val="auto"/>
              </w:rPr>
            </w:pPr>
            <w:r>
              <w:rPr>
                <w:rFonts w:ascii="Arial" w:cs="Arial" w:eastAsia="Arial" w:hAnsi="Arial"/>
                <w:sz w:val="18"/>
                <w:szCs w:val="18"/>
                <w:color w:val="0000FF"/>
                <w:w w:val="88"/>
              </w:rPr>
              <w:t>WPP plc, By: /s/ Paul W.G.</w:t>
            </w:r>
          </w:p>
        </w:tc>
        <w:tc>
          <w:tcPr>
            <w:tcW w:w="1140" w:type="dxa"/>
            <w:vAlign w:val="bottom"/>
            <w:gridSpan w:val="2"/>
          </w:tcPr>
          <w:p>
            <w:pPr>
              <w:jc w:val="right"/>
              <w:spacing w:after="0"/>
              <w:rPr>
                <w:sz w:val="20"/>
                <w:szCs w:val="20"/>
                <w:color w:val="auto"/>
              </w:rPr>
            </w:pPr>
            <w:r>
              <w:rPr>
                <w:rFonts w:ascii="Arial" w:cs="Arial" w:eastAsia="Arial" w:hAnsi="Arial"/>
                <w:sz w:val="18"/>
                <w:szCs w:val="18"/>
                <w:color w:val="0000FF"/>
              </w:rPr>
              <w:t>05/11/2018</w:t>
            </w:r>
          </w:p>
        </w:tc>
      </w:tr>
      <w:tr>
        <w:trPr>
          <w:trHeight w:val="20"/>
        </w:trPr>
        <w:tc>
          <w:tcPr>
            <w:tcW w:w="1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Richardson, Group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29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WPP Luxembourg Gamma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11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Three S.a r. l., By: /s/ Anne</w:t>
      </w:r>
      <w:r>
        <w:rPr>
          <w:sz w:val="20"/>
          <w:szCs w:val="20"/>
          <w:color w:val="auto"/>
        </w:rPr>
        <w:tab/>
      </w:r>
      <w:r>
        <w:rPr>
          <w:rFonts w:ascii="Arial" w:cs="Arial" w:eastAsia="Arial" w:hAnsi="Arial"/>
          <w:sz w:val="15"/>
          <w:szCs w:val="15"/>
          <w:color w:val="0000FF"/>
        </w:rPr>
        <w:t>05/11/2018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3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Ehrismann,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34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WPP Luxembourg Gamma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11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Three S.a r. l., By: /s/ Thierry</w:t>
      </w:r>
      <w:r>
        <w:rPr>
          <w:sz w:val="20"/>
          <w:szCs w:val="20"/>
          <w:color w:val="auto"/>
        </w:rPr>
        <w:tab/>
      </w:r>
      <w:r>
        <w:rPr>
          <w:rFonts w:ascii="Arial" w:cs="Arial" w:eastAsia="Arial" w:hAnsi="Arial"/>
          <w:sz w:val="15"/>
          <w:szCs w:val="15"/>
          <w:color w:val="0000FF"/>
        </w:rPr>
        <w:t>05/11/2018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32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Lenders,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10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2" Type="http://schemas.openxmlformats.org/officeDocument/2006/relationships/hyperlink" Target="http://www.sec.govhttp//www.sec.gov/cgi-bin/browse-edgar?action=getcompany&amp;CIK=0000806968" TargetMode="External"/><Relationship Id="rId13" Type="http://schemas.openxmlformats.org/officeDocument/2006/relationships/hyperlink" Target="http://www.sec.gov/cgi-bin/browse-edgar?action=getcompany&amp;CIK=0001448431" TargetMode="External"/><Relationship Id="rId14" Type="http://schemas.openxmlformats.org/officeDocument/2006/relationships/hyperlink" Target="http://www.sec.gov/cgi-bin/browse-edgar?action=getcompany&amp;CIK=00016266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2019-12-07T14:47:23Z</dcterms:created>
  <dcterms:modified xsi:type="dcterms:W3CDTF">2019-12-07T14:47:23Z</dcterms:modified>
</cp:coreProperties>
</file>