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9"/>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SEC Form 3</w:t>
            </w:r>
          </w:p>
        </w:tc>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00" w:type="dxa"/>
            <w:vAlign w:val="bottom"/>
          </w:tcPr>
          <w:p>
            <w:pPr>
              <w:ind w:left="760"/>
              <w:spacing w:after="0" w:line="201" w:lineRule="exact"/>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58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12"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2200" w:type="dxa"/>
            <w:vAlign w:val="bottom"/>
          </w:tcPr>
          <w:p>
            <w:pPr>
              <w:spacing w:after="0"/>
              <w:rPr>
                <w:sz w:val="6"/>
                <w:szCs w:val="6"/>
                <w:color w:val="auto"/>
              </w:rPr>
            </w:pPr>
          </w:p>
        </w:tc>
        <w:tc>
          <w:tcPr>
            <w:tcW w:w="66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0"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15875</wp:posOffset>
            </wp:positionV>
            <wp:extent cx="7023100" cy="2967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2967990"/>
                    </a:xfrm>
                    <a:prstGeom prst="rect">
                      <a:avLst/>
                    </a:prstGeom>
                    <a:noFill/>
                  </pic:spPr>
                </pic:pic>
              </a:graphicData>
            </a:graphic>
          </wp:anchor>
        </w:drawing>
      </w:r>
    </w:p>
    <w:p>
      <w:pPr>
        <w:sectPr>
          <w:pgSz w:w="11900" w:h="16838" w:orient="portrait"/>
          <w:cols w:equalWidth="0" w:num="1">
            <w:col w:w="11020"/>
          </w:cols>
          <w:pgMar w:left="440" w:top="199" w:right="439" w:bottom="1440" w:gutter="0" w:footer="0" w:header="0"/>
        </w:sectPr>
      </w:pPr>
    </w:p>
    <w:p>
      <w:pPr>
        <w:spacing w:after="0" w:line="41"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restart"/>
          </w:tcPr>
          <w:p>
            <w:pPr>
              <w:spacing w:after="0" w:line="181" w:lineRule="exact"/>
              <w:rPr>
                <w:rFonts w:ascii="Times New Roman" w:cs="Times New Roman" w:eastAsia="Times New Roman" w:hAnsi="Times New Roman"/>
                <w:sz w:val="16"/>
                <w:szCs w:val="16"/>
                <w:color w:val="0000EE"/>
                <w:w w:val="96"/>
              </w:rPr>
            </w:pPr>
            <w:hyperlink r:id="rId11">
              <w:r>
                <w:rPr>
                  <w:rFonts w:ascii="Times New Roman" w:cs="Times New Roman" w:eastAsia="Times New Roman" w:hAnsi="Times New Roman"/>
                  <w:sz w:val="16"/>
                  <w:szCs w:val="16"/>
                  <w:color w:val="0000EE"/>
                  <w:w w:val="96"/>
                </w:rPr>
                <w:t>Besch Doug</w:t>
              </w:r>
            </w:hyperlink>
          </w:p>
        </w:tc>
        <w:tc>
          <w:tcPr>
            <w:tcW w:w="12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380" w:type="dxa"/>
            <w:vAlign w:val="bottom"/>
          </w:tcPr>
          <w:p>
            <w:pPr>
              <w:ind w:left="120"/>
              <w:spacing w:after="0" w:line="91"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Borders>
              <w:bottom w:val="single" w:sz="8" w:color="0000EE"/>
            </w:tcBorders>
            <w:vMerge w:val="continue"/>
          </w:tcPr>
          <w:p>
            <w:pPr>
              <w:spacing w:after="0"/>
              <w:rPr>
                <w:sz w:val="9"/>
                <w:szCs w:val="9"/>
                <w:color w:val="auto"/>
              </w:rPr>
            </w:pPr>
          </w:p>
        </w:tc>
        <w:tc>
          <w:tcPr>
            <w:tcW w:w="1220" w:type="dxa"/>
            <w:vAlign w:val="bottom"/>
          </w:tcPr>
          <w:p>
            <w:pPr>
              <w:spacing w:after="0"/>
              <w:rPr>
                <w:sz w:val="9"/>
                <w:szCs w:val="9"/>
                <w:color w:val="auto"/>
              </w:rPr>
            </w:pPr>
          </w:p>
        </w:tc>
        <w:tc>
          <w:tcPr>
            <w:tcW w:w="2520" w:type="dxa"/>
            <w:vAlign w:val="bottom"/>
            <w:gridSpan w:val="2"/>
            <w:vMerge w:val="restart"/>
          </w:tcPr>
          <w:p>
            <w:pPr>
              <w:ind w:left="1260"/>
              <w:spacing w:after="0"/>
              <w:rPr>
                <w:sz w:val="20"/>
                <w:szCs w:val="20"/>
                <w:color w:val="auto"/>
              </w:rPr>
            </w:pPr>
            <w:r>
              <w:rPr>
                <w:rFonts w:ascii="Times New Roman" w:cs="Times New Roman" w:eastAsia="Times New Roman" w:hAnsi="Times New Roman"/>
                <w:sz w:val="13"/>
                <w:szCs w:val="13"/>
                <w:color w:val="0000FF"/>
              </w:rPr>
              <w:t>10/01/2022</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0"/>
                <w:szCs w:val="10"/>
                <w:color w:val="auto"/>
              </w:rPr>
              <w:t>(Last)</w:t>
            </w:r>
          </w:p>
        </w:tc>
        <w:tc>
          <w:tcPr>
            <w:tcW w:w="1220" w:type="dxa"/>
            <w:vAlign w:val="bottom"/>
          </w:tcPr>
          <w:p>
            <w:pPr>
              <w:ind w:left="26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16"/>
          <w:szCs w:val="16"/>
          <w:color w:val="0000EE"/>
        </w:rPr>
      </w:pPr>
      <w:hyperlink r:id="rId12">
        <w:r>
          <w:rPr>
            <w:rFonts w:ascii="Times New Roman" w:cs="Times New Roman" w:eastAsia="Times New Roman" w:hAnsi="Times New Roman"/>
            <w:sz w:val="16"/>
            <w:szCs w:val="16"/>
            <w:u w:val="single" w:color="auto"/>
            <w:color w:val="0000EE"/>
          </w:rPr>
          <w:t>OptimizeRx Corp</w:t>
        </w:r>
        <w:r>
          <w:rPr>
            <w:rFonts w:ascii="Times New Roman" w:cs="Times New Roman" w:eastAsia="Times New Roman" w:hAnsi="Times New Roman"/>
            <w:sz w:val="16"/>
            <w:szCs w:val="16"/>
            <w:color w:val="0000EE"/>
          </w:rPr>
          <w:t xml:space="preserve">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OPRX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p>
      <w:pPr>
        <w:spacing w:after="0" w:line="349" w:lineRule="exact"/>
        <w:rPr>
          <w:sz w:val="24"/>
          <w:szCs w:val="24"/>
          <w:color w:val="auto"/>
        </w:rPr>
      </w:pPr>
    </w:p>
    <w:p>
      <w:pPr>
        <w:sectPr>
          <w:pgSz w:w="11900" w:h="16838" w:orient="portrait"/>
          <w:cols w:equalWidth="0" w:num="2">
            <w:col w:w="4620" w:space="380"/>
            <w:col w:w="6020"/>
          </w:cols>
          <w:pgMar w:left="440" w:top="199" w:right="439" w:bottom="1440" w:gutter="0" w:footer="0" w:header="0"/>
          <w:type w:val="continuous"/>
        </w:sectPr>
      </w:pPr>
    </w:p>
    <w:p>
      <w:pPr>
        <w:spacing w:after="0" w:line="110" w:lineRule="exact"/>
        <w:rPr>
          <w:sz w:val="24"/>
          <w:szCs w:val="24"/>
          <w:color w:val="auto"/>
        </w:rPr>
      </w:pPr>
    </w:p>
    <w:tbl>
      <w:tblPr>
        <w:tblLayout w:type="fixed"/>
        <w:tblInd w:w="60" w:type="dxa"/>
        <w:tblCellMar>
          <w:top w:w="0" w:type="dxa"/>
          <w:left w:w="0" w:type="dxa"/>
          <w:bottom w:w="0" w:type="dxa"/>
          <w:right w:w="0" w:type="dxa"/>
        </w:tblCellMar>
      </w:tblPr>
      <w:tr>
        <w:trPr>
          <w:trHeight w:val="168"/>
        </w:trPr>
        <w:tc>
          <w:tcPr>
            <w:tcW w:w="20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 OPTIMIZERX CORPORATION</w:t>
            </w:r>
          </w:p>
        </w:tc>
        <w:tc>
          <w:tcPr>
            <w:tcW w:w="380" w:type="dxa"/>
            <w:vAlign w:val="bottom"/>
          </w:tcPr>
          <w:p>
            <w:pPr>
              <w:spacing w:after="0"/>
              <w:rPr>
                <w:sz w:val="14"/>
                <w:szCs w:val="14"/>
                <w:color w:val="auto"/>
              </w:rPr>
            </w:pPr>
          </w:p>
        </w:tc>
      </w:tr>
      <w:tr>
        <w:trPr>
          <w:trHeight w:val="200"/>
        </w:trPr>
        <w:tc>
          <w:tcPr>
            <w:tcW w:w="20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400 WATER STREET, SUITE 200</w:t>
            </w:r>
          </w:p>
        </w:tc>
        <w:tc>
          <w:tcPr>
            <w:tcW w:w="380" w:type="dxa"/>
            <w:vAlign w:val="bottom"/>
          </w:tcPr>
          <w:p>
            <w:pPr>
              <w:spacing w:after="0"/>
              <w:rPr>
                <w:sz w:val="17"/>
                <w:szCs w:val="17"/>
                <w:color w:val="auto"/>
              </w:rPr>
            </w:pPr>
          </w:p>
        </w:tc>
      </w:tr>
      <w:tr>
        <w:trPr>
          <w:trHeight w:val="334"/>
        </w:trPr>
        <w:tc>
          <w:tcPr>
            <w:tcW w:w="940" w:type="dxa"/>
            <w:vAlign w:val="bottom"/>
          </w:tcPr>
          <w:p>
            <w:pPr>
              <w:spacing w:after="0"/>
              <w:rPr>
                <w:sz w:val="20"/>
                <w:szCs w:val="20"/>
                <w:color w:val="auto"/>
              </w:rPr>
            </w:pPr>
            <w:r>
              <w:rPr>
                <w:rFonts w:ascii="Arial" w:cs="Arial" w:eastAsia="Arial" w:hAnsi="Arial"/>
                <w:sz w:val="10"/>
                <w:szCs w:val="10"/>
                <w:color w:val="auto"/>
              </w:rPr>
              <w:t>(Street)</w:t>
            </w: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76"/>
        </w:trPr>
        <w:tc>
          <w:tcPr>
            <w:tcW w:w="9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ROCHESTER</w:t>
            </w:r>
          </w:p>
        </w:tc>
        <w:tc>
          <w:tcPr>
            <w:tcW w:w="114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MI</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48307</w:t>
            </w:r>
          </w:p>
        </w:tc>
      </w:tr>
    </w:tbl>
    <w:p>
      <w:pPr>
        <w:spacing w:after="0" w:line="20" w:lineRule="exact"/>
        <w:rPr>
          <w:sz w:val="24"/>
          <w:szCs w:val="24"/>
          <w:color w:val="auto"/>
        </w:rPr>
      </w:pPr>
      <w:r>
        <w:rPr>
          <w:sz w:val="24"/>
          <w:szCs w:val="24"/>
          <w:color w:val="auto"/>
        </w:rPr>
        <w:br w:type="column"/>
      </w:r>
    </w:p>
    <w:p>
      <w:pPr>
        <w:ind w:left="5" w:right="940" w:hanging="5"/>
        <w:spacing w:after="0" w:line="245" w:lineRule="auto"/>
        <w:tabs>
          <w:tab w:leader="none" w:pos="117"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spacing w:after="0" w:line="5"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0"/>
          <w:szCs w:val="10"/>
          <w:color w:val="auto"/>
        </w:rPr>
        <w:t>Director</w:t>
      </w:r>
      <w:r>
        <w:rPr>
          <w:sz w:val="20"/>
          <w:szCs w:val="20"/>
          <w:color w:val="auto"/>
        </w:rPr>
        <w:tab/>
      </w:r>
      <w:r>
        <w:rPr>
          <w:rFonts w:ascii="Arial" w:cs="Arial" w:eastAsia="Arial" w:hAnsi="Arial"/>
          <w:sz w:val="10"/>
          <w:szCs w:val="10"/>
          <w:color w:val="auto"/>
        </w:rPr>
        <w:t>10% Owner</w:t>
      </w:r>
    </w:p>
    <w:p>
      <w:pPr>
        <w:spacing w:after="0" w:line="19" w:lineRule="exact"/>
        <w:rPr>
          <w:sz w:val="24"/>
          <w:szCs w:val="24"/>
          <w:color w:val="auto"/>
        </w:rPr>
      </w:pPr>
    </w:p>
    <w:p>
      <w:pPr>
        <w:ind w:left="205"/>
        <w:spacing w:after="0"/>
        <w:tabs>
          <w:tab w:leader="none" w:pos="505" w:val="left"/>
          <w:tab w:leader="none" w:pos="2085" w:val="left"/>
        </w:tabs>
        <w:rPr>
          <w:sz w:val="20"/>
          <w:szCs w:val="20"/>
          <w:color w:val="auto"/>
        </w:rPr>
      </w:pPr>
      <w:r>
        <w:rPr>
          <w:rFonts w:ascii="Times New Roman" w:cs="Times New Roman" w:eastAsia="Times New Roman" w:hAnsi="Times New Roman"/>
          <w:sz w:val="13"/>
          <w:szCs w:val="13"/>
          <w:color w:val="0000FF"/>
        </w:rPr>
        <w:t>X</w:t>
      </w:r>
      <w:r>
        <w:rPr>
          <w:sz w:val="20"/>
          <w:szCs w:val="20"/>
          <w:color w:val="auto"/>
        </w:rPr>
        <w:tab/>
      </w:r>
      <w:r>
        <w:rPr>
          <w:rFonts w:ascii="Arial" w:cs="Arial" w:eastAsia="Arial" w:hAnsi="Arial"/>
          <w:sz w:val="10"/>
          <w:szCs w:val="10"/>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68" w:lineRule="exact"/>
        <w:rPr>
          <w:sz w:val="24"/>
          <w:szCs w:val="24"/>
          <w:color w:val="auto"/>
        </w:rPr>
      </w:pPr>
    </w:p>
    <w:p>
      <w:pPr>
        <w:ind w:left="1025"/>
        <w:spacing w:after="0"/>
        <w:rPr>
          <w:sz w:val="20"/>
          <w:szCs w:val="20"/>
          <w:color w:val="auto"/>
        </w:rPr>
      </w:pPr>
      <w:r>
        <w:rPr>
          <w:rFonts w:ascii="Times New Roman" w:cs="Times New Roman" w:eastAsia="Times New Roman" w:hAnsi="Times New Roman"/>
          <w:sz w:val="13"/>
          <w:szCs w:val="13"/>
          <w:color w:val="0000FF"/>
        </w:rPr>
        <w:t>Chief Product Officer</w:t>
      </w:r>
    </w:p>
    <w:p>
      <w:pPr>
        <w:spacing w:after="0" w:line="20" w:lineRule="exact"/>
        <w:rPr>
          <w:sz w:val="24"/>
          <w:szCs w:val="24"/>
          <w:color w:val="auto"/>
        </w:rPr>
      </w:pPr>
      <w:r>
        <w:rPr>
          <w:sz w:val="24"/>
          <w:szCs w:val="24"/>
          <w:color w:val="auto"/>
        </w:rPr>
        <w:br w:type="column"/>
      </w:r>
    </w:p>
    <w:p>
      <w:pPr>
        <w:ind w:left="113" w:hanging="113"/>
        <w:spacing w:after="0"/>
        <w:tabs>
          <w:tab w:leader="none" w:pos="113"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55" w:lineRule="exact"/>
        <w:rPr>
          <w:rFonts w:ascii="Arial" w:cs="Arial" w:eastAsia="Arial" w:hAnsi="Arial"/>
          <w:sz w:val="10"/>
          <w:szCs w:val="10"/>
          <w:color w:val="auto"/>
        </w:rPr>
      </w:pPr>
    </w:p>
    <w:p>
      <w:pPr>
        <w:ind w:left="173" w:right="180" w:hanging="173"/>
        <w:spacing w:after="0" w:line="308" w:lineRule="auto"/>
        <w:tabs>
          <w:tab w:leader="none" w:pos="111"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Times New Roman" w:cs="Times New Roman" w:eastAsia="Times New Roman" w:hAnsi="Times New Roman"/>
          <w:sz w:val="13"/>
          <w:szCs w:val="13"/>
          <w:color w:val="0000FF"/>
        </w:rPr>
        <w:t xml:space="preserve">X </w:t>
      </w:r>
      <w:r>
        <w:rPr>
          <w:rFonts w:ascii="Arial" w:cs="Arial" w:eastAsia="Arial" w:hAnsi="Arial"/>
          <w:sz w:val="10"/>
          <w:szCs w:val="10"/>
          <w:color w:val="000000"/>
        </w:rPr>
        <w:t>Form filed by One Reporting Person</w:t>
      </w:r>
    </w:p>
    <w:p>
      <w:pPr>
        <w:ind w:left="453"/>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363" w:lineRule="exact"/>
        <w:rPr>
          <w:sz w:val="24"/>
          <w:szCs w:val="24"/>
          <w:color w:val="auto"/>
        </w:rPr>
      </w:pPr>
    </w:p>
    <w:p>
      <w:pPr>
        <w:sectPr>
          <w:pgSz w:w="11900" w:h="16838" w:orient="portrait"/>
          <w:cols w:equalWidth="0" w:num="3">
            <w:col w:w="4275" w:space="720"/>
            <w:col w:w="3045" w:space="247"/>
            <w:col w:w="2733"/>
          </w:cols>
          <w:pgMar w:left="440" w:top="199" w:right="439" w:bottom="1440" w:gutter="0" w:footer="0" w:header="0"/>
          <w:type w:val="continuous"/>
        </w:sectPr>
      </w:pPr>
    </w:p>
    <w:p>
      <w:pPr>
        <w:spacing w:after="0" w:line="3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5"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60" w:type="dxa"/>
            <w:vAlign w:val="bottom"/>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r>
      <w:tr>
        <w:trPr>
          <w:trHeight w:val="137"/>
        </w:trPr>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r>
      <w:tr>
        <w:trPr>
          <w:trHeight w:val="24"/>
        </w:trPr>
        <w:tc>
          <w:tcPr>
            <w:tcW w:w="3100" w:type="dxa"/>
            <w:vAlign w:val="bottom"/>
            <w:tcBorders>
              <w:bottom w:val="single" w:sz="8" w:color="2C2C2C"/>
            </w:tcBorders>
          </w:tcPr>
          <w:p>
            <w:pPr>
              <w:spacing w:after="0"/>
              <w:rPr>
                <w:sz w:val="2"/>
                <w:szCs w:val="2"/>
                <w:color w:val="auto"/>
              </w:rPr>
            </w:pPr>
          </w:p>
        </w:tc>
        <w:tc>
          <w:tcPr>
            <w:tcW w:w="368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2860" w:type="dxa"/>
            <w:vAlign w:val="bottom"/>
            <w:tcBorders>
              <w:bottom w:val="single" w:sz="8" w:color="2C2C2C"/>
            </w:tcBorders>
          </w:tcPr>
          <w:p>
            <w:pPr>
              <w:spacing w:after="0"/>
              <w:rPr>
                <w:sz w:val="2"/>
                <w:szCs w:val="2"/>
                <w:color w:val="auto"/>
              </w:rPr>
            </w:pPr>
          </w:p>
        </w:tc>
      </w:tr>
    </w:tbl>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20" w:type="dxa"/>
            <w:vAlign w:val="bottom"/>
          </w:tcPr>
          <w:p>
            <w:pPr>
              <w:jc w:val="right"/>
              <w:ind w:right="1004"/>
              <w:spacing w:after="0"/>
              <w:rPr>
                <w:sz w:val="20"/>
                <w:szCs w:val="20"/>
                <w:color w:val="auto"/>
              </w:rPr>
            </w:pPr>
            <w:r>
              <w:rPr>
                <w:rFonts w:ascii="Times New Roman" w:cs="Times New Roman" w:eastAsia="Times New Roman" w:hAnsi="Times New Roman"/>
                <w:sz w:val="13"/>
                <w:szCs w:val="13"/>
                <w:color w:val="0000FF"/>
              </w:rPr>
              <w:t>1,500</w:t>
            </w:r>
          </w:p>
        </w:tc>
        <w:tc>
          <w:tcPr>
            <w:tcW w:w="660" w:type="dxa"/>
            <w:vAlign w:val="bottom"/>
          </w:tcPr>
          <w:p>
            <w:pPr>
              <w:ind w:left="40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27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3360" w:type="dxa"/>
            <w:vAlign w:val="bottom"/>
            <w:tcBorders>
              <w:bottom w:val="single" w:sz="8" w:color="2C2C2C"/>
            </w:tcBorders>
            <w:gridSpan w:val="3"/>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Borders>
              <w:top w:val="single" w:sz="8" w:color="808080"/>
            </w:tcBorders>
          </w:tcPr>
          <w:p>
            <w:pPr>
              <w:spacing w:after="0"/>
              <w:rPr>
                <w:sz w:val="13"/>
                <w:szCs w:val="13"/>
                <w:color w:val="auto"/>
              </w:rPr>
            </w:pPr>
          </w:p>
        </w:tc>
        <w:tc>
          <w:tcPr>
            <w:tcW w:w="2760" w:type="dxa"/>
            <w:vAlign w:val="bottom"/>
            <w:tcBorders>
              <w:top w:val="single" w:sz="8" w:color="2C2C2C"/>
            </w:tcBorders>
          </w:tcPr>
          <w:p>
            <w:pPr>
              <w:spacing w:after="0"/>
              <w:rPr>
                <w:sz w:val="13"/>
                <w:szCs w:val="13"/>
                <w:color w:val="auto"/>
              </w:rPr>
            </w:pPr>
          </w:p>
        </w:tc>
        <w:tc>
          <w:tcPr>
            <w:tcW w:w="960" w:type="dxa"/>
            <w:vAlign w:val="bottom"/>
            <w:tcBorders>
              <w:top w:val="single" w:sz="8" w:color="2C2C2C"/>
            </w:tcBorders>
          </w:tcPr>
          <w:p>
            <w:pPr>
              <w:spacing w:after="0"/>
              <w:rPr>
                <w:sz w:val="13"/>
                <w:szCs w:val="13"/>
                <w:color w:val="auto"/>
              </w:rPr>
            </w:pPr>
          </w:p>
        </w:tc>
        <w:tc>
          <w:tcPr>
            <w:tcW w:w="3360" w:type="dxa"/>
            <w:vAlign w:val="bottom"/>
            <w:tcBorders>
              <w:top w:val="single" w:sz="8" w:color="2C2C2C"/>
            </w:tcBorders>
            <w:gridSpan w:val="3"/>
          </w:tcPr>
          <w:p>
            <w:pPr>
              <w:ind w:left="240"/>
              <w:spacing w:after="0"/>
              <w:rPr>
                <w:sz w:val="20"/>
                <w:szCs w:val="20"/>
                <w:color w:val="auto"/>
              </w:rPr>
            </w:pPr>
            <w:r>
              <w:rPr>
                <w:rFonts w:ascii="Arial" w:cs="Arial" w:eastAsia="Arial" w:hAnsi="Arial"/>
                <w:sz w:val="13"/>
                <w:szCs w:val="13"/>
                <w:b w:val="1"/>
                <w:bCs w:val="1"/>
                <w:color w:val="auto"/>
              </w:rPr>
              <w:t>Table II - Derivative Securities Beneficially Owned</w:t>
            </w:r>
          </w:p>
        </w:tc>
        <w:tc>
          <w:tcPr>
            <w:tcW w:w="660" w:type="dxa"/>
            <w:vAlign w:val="bottom"/>
            <w:tcBorders>
              <w:top w:val="single" w:sz="8" w:color="2C2C2C"/>
            </w:tcBorders>
          </w:tcPr>
          <w:p>
            <w:pPr>
              <w:spacing w:after="0"/>
              <w:rPr>
                <w:sz w:val="13"/>
                <w:szCs w:val="13"/>
                <w:color w:val="auto"/>
              </w:rPr>
            </w:pPr>
          </w:p>
        </w:tc>
        <w:tc>
          <w:tcPr>
            <w:tcW w:w="72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168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4980" w:type="dxa"/>
            <w:vAlign w:val="bottom"/>
            <w:gridSpan w:val="5"/>
          </w:tcPr>
          <w:p>
            <w:pPr>
              <w:jc w:val="right"/>
              <w:ind w:right="404"/>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76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gridSpan w:val="2"/>
          </w:tcPr>
          <w:p>
            <w:pPr>
              <w:spacing w:after="0" w:line="20" w:lineRule="exact"/>
              <w:rPr>
                <w:sz w:val="1"/>
                <w:szCs w:val="1"/>
                <w:color w:val="auto"/>
              </w:rPr>
            </w:pPr>
          </w:p>
        </w:tc>
        <w:tc>
          <w:tcPr>
            <w:tcW w:w="2780" w:type="dxa"/>
            <w:vAlign w:val="bottom"/>
            <w:tcBorders>
              <w:bottom w:val="single" w:sz="8" w:color="2C2C2C"/>
            </w:tcBorders>
            <w:gridSpan w:val="2"/>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16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76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960" w:type="dxa"/>
            <w:vAlign w:val="bottom"/>
          </w:tcPr>
          <w:p>
            <w:pPr>
              <w:spacing w:after="0"/>
              <w:rPr>
                <w:sz w:val="12"/>
                <w:szCs w:val="12"/>
                <w:color w:val="auto"/>
              </w:rPr>
            </w:pP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700" w:type="dxa"/>
            <w:vAlign w:val="bottom"/>
            <w:gridSpan w:val="2"/>
          </w:tcPr>
          <w:p>
            <w:pPr>
              <w:ind w:left="12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21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6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540" w:type="dxa"/>
            <w:vAlign w:val="bottom"/>
            <w:gridSpan w:val="3"/>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2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96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6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9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120" w:type="dxa"/>
            <w:vAlign w:val="bottom"/>
          </w:tcPr>
          <w:p>
            <w:pPr>
              <w:spacing w:after="0"/>
              <w:rPr>
                <w:sz w:val="3"/>
                <w:szCs w:val="3"/>
                <w:color w:val="auto"/>
              </w:rPr>
            </w:pPr>
          </w:p>
        </w:tc>
        <w:tc>
          <w:tcPr>
            <w:tcW w:w="66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6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1"/>
        </w:trPr>
        <w:tc>
          <w:tcPr>
            <w:tcW w:w="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9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720" w:type="dxa"/>
            <w:vAlign w:val="bottom"/>
          </w:tcPr>
          <w:p>
            <w:pPr>
              <w:ind w:left="60"/>
              <w:spacing w:after="0" w:line="101"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Expiration</w:t>
            </w:r>
          </w:p>
        </w:tc>
        <w:tc>
          <w:tcPr>
            <w:tcW w:w="212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66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2120" w:type="dxa"/>
            <w:vAlign w:val="bottom"/>
            <w:vMerge w:val="continue"/>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162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6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1620" w:type="dxa"/>
            <w:vAlign w:val="bottom"/>
            <w:gridSpan w:val="2"/>
          </w:tcPr>
          <w:p>
            <w:pPr>
              <w:jc w:val="right"/>
              <w:ind w:right="227"/>
              <w:spacing w:after="0"/>
              <w:rPr>
                <w:sz w:val="20"/>
                <w:szCs w:val="20"/>
                <w:color w:val="auto"/>
              </w:rPr>
            </w:pPr>
            <w:r>
              <w:rPr>
                <w:rFonts w:ascii="Times New Roman" w:cs="Times New Roman" w:eastAsia="Times New Roman" w:hAnsi="Times New Roman"/>
                <w:sz w:val="8"/>
                <w:szCs w:val="8"/>
                <w:color w:val="008000"/>
              </w:rPr>
              <w:t>(1)</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0000FF"/>
              </w:rPr>
              <w:t>05/31/2026</w:t>
            </w:r>
          </w:p>
        </w:tc>
        <w:tc>
          <w:tcPr>
            <w:tcW w:w="2120" w:type="dxa"/>
            <w:vAlign w:val="bottom"/>
          </w:tcPr>
          <w:p>
            <w:pPr>
              <w:ind w:left="720"/>
              <w:spacing w:after="0"/>
              <w:rPr>
                <w:sz w:val="20"/>
                <w:szCs w:val="20"/>
                <w:color w:val="auto"/>
              </w:rPr>
            </w:pPr>
            <w:r>
              <w:rPr>
                <w:rFonts w:ascii="Times New Roman" w:cs="Times New Roman" w:eastAsia="Times New Roman" w:hAnsi="Times New Roman"/>
                <w:sz w:val="13"/>
                <w:szCs w:val="13"/>
                <w:color w:val="0000FF"/>
              </w:rPr>
              <w:t>Stock Option</w:t>
            </w:r>
          </w:p>
        </w:tc>
        <w:tc>
          <w:tcPr>
            <w:tcW w:w="660" w:type="dxa"/>
            <w:vAlign w:val="bottom"/>
          </w:tcPr>
          <w:p>
            <w:pPr>
              <w:jc w:val="right"/>
              <w:ind w:right="84"/>
              <w:spacing w:after="0"/>
              <w:rPr>
                <w:sz w:val="20"/>
                <w:szCs w:val="20"/>
                <w:color w:val="auto"/>
              </w:rPr>
            </w:pPr>
            <w:r>
              <w:rPr>
                <w:rFonts w:ascii="Times New Roman" w:cs="Times New Roman" w:eastAsia="Times New Roman" w:hAnsi="Times New Roman"/>
                <w:sz w:val="13"/>
                <w:szCs w:val="13"/>
                <w:color w:val="0000FF"/>
              </w:rPr>
              <w:t>15,000</w:t>
            </w:r>
          </w:p>
        </w:tc>
        <w:tc>
          <w:tcPr>
            <w:tcW w:w="72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50.99</w:t>
            </w:r>
          </w:p>
        </w:tc>
        <w:tc>
          <w:tcPr>
            <w:tcW w:w="84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D</w:t>
            </w: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60" w:type="dxa"/>
            <w:vAlign w:val="bottom"/>
          </w:tcPr>
          <w:p>
            <w:pPr>
              <w:ind w:left="20"/>
              <w:spacing w:after="0"/>
              <w:rPr>
                <w:sz w:val="20"/>
                <w:szCs w:val="20"/>
                <w:color w:val="auto"/>
              </w:rPr>
            </w:pPr>
            <w:r>
              <w:rPr>
                <w:rFonts w:ascii="Arial" w:cs="Arial" w:eastAsia="Arial" w:hAnsi="Arial"/>
                <w:sz w:val="10"/>
                <w:szCs w:val="10"/>
                <w:b w:val="1"/>
                <w:bCs w:val="1"/>
                <w:color w:val="auto"/>
              </w:rPr>
              <w:t>Explanation of Responses:</w:t>
            </w:r>
          </w:p>
        </w:tc>
        <w:tc>
          <w:tcPr>
            <w:tcW w:w="9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80" w:type="dxa"/>
            <w:vAlign w:val="bottom"/>
            <w:gridSpan w:val="5"/>
          </w:tcPr>
          <w:p>
            <w:pPr>
              <w:ind w:left="20"/>
              <w:spacing w:after="0"/>
              <w:rPr>
                <w:sz w:val="20"/>
                <w:szCs w:val="20"/>
                <w:color w:val="auto"/>
              </w:rPr>
            </w:pPr>
            <w:r>
              <w:rPr>
                <w:rFonts w:ascii="Times New Roman" w:cs="Times New Roman" w:eastAsia="Times New Roman" w:hAnsi="Times New Roman"/>
                <w:sz w:val="10"/>
                <w:szCs w:val="10"/>
                <w:color w:val="008000"/>
              </w:rPr>
              <w:t>1. The stock option vests in three equal annual installments beginning on June 1, 2022, which was the first anniversary of the date of grant.</w:t>
            </w: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ind w:left="20"/>
              <w:spacing w:after="0"/>
              <w:rPr>
                <w:sz w:val="20"/>
                <w:szCs w:val="20"/>
                <w:color w:val="auto"/>
              </w:rPr>
            </w:pPr>
            <w:r>
              <w:rPr>
                <w:rFonts w:ascii="Arial" w:cs="Arial" w:eastAsia="Arial" w:hAnsi="Arial"/>
                <w:sz w:val="13"/>
                <w:szCs w:val="13"/>
                <w:b w:val="1"/>
                <w:bCs w:val="1"/>
                <w:color w:val="auto"/>
              </w:rPr>
              <w:t>Remarks:</w:t>
            </w:r>
          </w:p>
        </w:tc>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 w:lineRule="exact"/>
        <w:rPr>
          <w:sz w:val="24"/>
          <w:szCs w:val="24"/>
          <w:color w:val="auto"/>
        </w:rPr>
      </w:pPr>
    </w:p>
    <w:p>
      <w:pPr>
        <w:jc w:val="both"/>
        <w:ind w:left="40" w:right="120"/>
        <w:spacing w:after="0" w:line="259" w:lineRule="auto"/>
        <w:rPr>
          <w:sz w:val="20"/>
          <w:szCs w:val="20"/>
          <w:color w:val="auto"/>
        </w:rPr>
      </w:pPr>
      <w:r>
        <w:rPr>
          <w:rFonts w:ascii="Times New Roman" w:cs="Times New Roman" w:eastAsia="Times New Roman" w:hAnsi="Times New Roman"/>
          <w:sz w:val="10"/>
          <w:szCs w:val="10"/>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2"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0000FF"/>
                <w:w w:val="99"/>
              </w:rPr>
              <w:t>/s/ Marion Odence-Ford, by Power of</w:t>
            </w:r>
          </w:p>
        </w:tc>
        <w:tc>
          <w:tcPr>
            <w:tcW w:w="240" w:type="dxa"/>
            <w:vAlign w:val="bottom"/>
          </w:tcPr>
          <w:p>
            <w:pPr>
              <w:spacing w:after="0"/>
              <w:rPr>
                <w:sz w:val="12"/>
                <w:szCs w:val="12"/>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w w:val="97"/>
              </w:rPr>
              <w:t>10/03/2022</w:t>
            </w:r>
          </w:p>
        </w:tc>
        <w:tc>
          <w:tcPr>
            <w:tcW w:w="0" w:type="dxa"/>
            <w:vAlign w:val="bottom"/>
          </w:tcPr>
          <w:p>
            <w:pPr>
              <w:spacing w:after="0"/>
              <w:rPr>
                <w:sz w:val="1"/>
                <w:szCs w:val="1"/>
                <w:color w:val="auto"/>
              </w:rPr>
            </w:pPr>
          </w:p>
        </w:tc>
      </w:tr>
      <w:tr>
        <w:trPr>
          <w:trHeight w:val="65"/>
        </w:trPr>
        <w:tc>
          <w:tcPr>
            <w:tcW w:w="6580" w:type="dxa"/>
            <w:vAlign w:val="bottom"/>
          </w:tcPr>
          <w:p>
            <w:pPr>
              <w:spacing w:after="0"/>
              <w:rPr>
                <w:sz w:val="5"/>
                <w:szCs w:val="5"/>
                <w:color w:val="auto"/>
              </w:rPr>
            </w:pPr>
          </w:p>
        </w:tc>
        <w:tc>
          <w:tcPr>
            <w:tcW w:w="460" w:type="dxa"/>
            <w:vAlign w:val="bottom"/>
            <w:vMerge w:val="restart"/>
          </w:tcPr>
          <w:p>
            <w:pPr>
              <w:spacing w:after="0" w:line="140" w:lineRule="exact"/>
              <w:rPr>
                <w:sz w:val="20"/>
                <w:szCs w:val="20"/>
                <w:color w:val="auto"/>
              </w:rPr>
            </w:pPr>
            <w:r>
              <w:rPr>
                <w:rFonts w:ascii="Times New Roman" w:cs="Times New Roman" w:eastAsia="Times New Roman" w:hAnsi="Times New Roman"/>
                <w:sz w:val="13"/>
                <w:szCs w:val="13"/>
                <w:color w:val="0000FF"/>
                <w:w w:val="95"/>
              </w:rPr>
              <w:t>Attorney</w:t>
            </w:r>
          </w:p>
        </w:tc>
        <w:tc>
          <w:tcPr>
            <w:tcW w:w="1740" w:type="dxa"/>
            <w:vAlign w:val="bottom"/>
            <w:gridSpan w:val="2"/>
            <w:vMerge w:val="restart"/>
          </w:tcPr>
          <w:p>
            <w:pPr>
              <w:spacing w:after="0"/>
              <w:rPr>
                <w:sz w:val="5"/>
                <w:szCs w:val="5"/>
                <w:color w:val="auto"/>
              </w:rPr>
            </w:pPr>
          </w:p>
        </w:tc>
        <w:tc>
          <w:tcPr>
            <w:tcW w:w="6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6580" w:type="dxa"/>
            <w:vAlign w:val="bottom"/>
          </w:tcPr>
          <w:p>
            <w:pPr>
              <w:spacing w:after="0"/>
              <w:rPr>
                <w:sz w:val="5"/>
                <w:szCs w:val="5"/>
                <w:color w:val="auto"/>
              </w:rPr>
            </w:pPr>
          </w:p>
        </w:tc>
        <w:tc>
          <w:tcPr>
            <w:tcW w:w="460" w:type="dxa"/>
            <w:vAlign w:val="bottom"/>
            <w:tcBorders>
              <w:bottom w:val="single" w:sz="8" w:color="auto"/>
            </w:tcBorders>
            <w:vMerge w:val="continue"/>
          </w:tcPr>
          <w:p>
            <w:pPr>
              <w:spacing w:after="0"/>
              <w:rPr>
                <w:sz w:val="5"/>
                <w:szCs w:val="5"/>
                <w:color w:val="auto"/>
              </w:rPr>
            </w:pPr>
          </w:p>
        </w:tc>
        <w:tc>
          <w:tcPr>
            <w:tcW w:w="174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6580" w:type="dxa"/>
            <w:vAlign w:val="bottom"/>
          </w:tcPr>
          <w:p>
            <w:pPr>
              <w:spacing w:after="0"/>
              <w:rPr>
                <w:sz w:val="14"/>
                <w:szCs w:val="14"/>
                <w:color w:val="auto"/>
              </w:rPr>
            </w:pPr>
          </w:p>
        </w:tc>
        <w:tc>
          <w:tcPr>
            <w:tcW w:w="220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600" w:type="dxa"/>
            <w:vAlign w:val="bottom"/>
          </w:tcPr>
          <w:p>
            <w:pPr>
              <w:spacing w:after="0"/>
              <w:rPr>
                <w:sz w:val="20"/>
                <w:szCs w:val="20"/>
                <w:color w:val="auto"/>
              </w:rPr>
            </w:pPr>
            <w:r>
              <w:rPr>
                <w:rFonts w:ascii="Arial" w:cs="Arial" w:eastAsia="Arial" w:hAnsi="Arial"/>
                <w:sz w:val="10"/>
                <w:szCs w:val="10"/>
                <w:color w:val="auto"/>
              </w:rPr>
              <w:t>Date</w:t>
            </w: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780" w:type="dxa"/>
            <w:vAlign w:val="bottom"/>
            <w:gridSpan w:val="4"/>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by all these presents, that the undersigned hereby constitutes and appoints each of Marion Odence-Ford and Edward Stelmakh, individually,</w:t>
      </w:r>
    </w:p>
    <w:p>
      <w:pPr>
        <w:spacing w:after="0" w:line="153" w:lineRule="exact"/>
        <w:rPr>
          <w:sz w:val="20"/>
          <w:szCs w:val="20"/>
          <w:color w:val="auto"/>
        </w:rPr>
      </w:pPr>
    </w:p>
    <w:p>
      <w:pPr>
        <w:ind w:left="240" w:hanging="240"/>
        <w:spacing w:after="0"/>
        <w:tabs>
          <w:tab w:leader="none" w:pos="24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execute for and on behalf of the undersigned, in the undersigned's capacity as an officer and/or director of OptimizeRx Corporation (the "C</w:t>
      </w:r>
    </w:p>
    <w:p>
      <w:pPr>
        <w:spacing w:after="0" w:line="164" w:lineRule="exact"/>
        <w:rPr>
          <w:rFonts w:ascii="Courier New" w:cs="Courier New" w:eastAsia="Courier New" w:hAnsi="Courier New"/>
          <w:sz w:val="12"/>
          <w:szCs w:val="12"/>
          <w:color w:val="auto"/>
        </w:rPr>
      </w:pPr>
    </w:p>
    <w:p>
      <w:pPr>
        <w:ind w:left="240" w:hanging="240"/>
        <w:spacing w:after="0"/>
        <w:tabs>
          <w:tab w:leader="none" w:pos="24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and complete any and all acts for and on behalf the undersigned which may be necessary or desirable to complete and execute any such For</w:t>
      </w:r>
    </w:p>
    <w:p>
      <w:pPr>
        <w:spacing w:after="0" w:line="164" w:lineRule="exact"/>
        <w:rPr>
          <w:rFonts w:ascii="Courier New" w:cs="Courier New" w:eastAsia="Courier New" w:hAnsi="Courier New"/>
          <w:sz w:val="12"/>
          <w:szCs w:val="12"/>
          <w:color w:val="auto"/>
        </w:rPr>
      </w:pPr>
    </w:p>
    <w:p>
      <w:pPr>
        <w:jc w:val="both"/>
        <w:spacing w:after="0" w:line="489" w:lineRule="auto"/>
        <w:tabs>
          <w:tab w:leader="none" w:pos="234"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type whatsoever in connection with the foregoing which, in the opinion of such attorney-in-fact, may be of benefit The undersigned hereby grants to each such attorney-in-fact, individually, full power and authority to do and perform any and every act and th This Power of Attorney shall remain in full force and effect until the undersigned is no longer required to file Forms3, 4, and 5 with respect IN WITNESS WHEREOF, the undersigned has caused this Power of Attorney to be executed as of this 26th of September, 2022.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Doug Besch</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Signature</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Doug Besch</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Print Name</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947731" TargetMode="External"/><Relationship Id="rId12"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2022-10-03T14:00:14Z</dcterms:created>
  <dcterms:modified xsi:type="dcterms:W3CDTF">2022-10-03T14:00:14Z</dcterms:modified>
</cp:coreProperties>
</file>