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430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8020" w:type="dxa"/>
            <w:vAlign w:val="bottom"/>
            <w:gridSpan w:val="9"/>
          </w:tcPr>
          <w:p>
            <w:pPr>
              <w:jc w:val="center"/>
              <w:ind w:left="3150"/>
              <w:spacing w:after="0"/>
              <w:rPr>
                <w:sz w:val="20"/>
                <w:szCs w:val="20"/>
                <w:color w:val="auto"/>
              </w:rPr>
            </w:pPr>
            <w:r>
              <w:rPr>
                <w:rFonts w:ascii="Arial" w:cs="Arial" w:eastAsia="Arial" w:hAnsi="Arial"/>
                <w:sz w:val="18"/>
                <w:szCs w:val="18"/>
                <w:color w:val="auto"/>
                <w:w w:val="90"/>
              </w:rPr>
              <w:t>Date of Report (Date of earliest event reported): August 17, 2021</w:t>
            </w:r>
          </w:p>
        </w:tc>
        <w:tc>
          <w:tcPr>
            <w:tcW w:w="3220" w:type="dxa"/>
            <w:vAlign w:val="bottom"/>
          </w:tcPr>
          <w:p>
            <w:pPr>
              <w:spacing w:after="0"/>
              <w:rPr>
                <w:sz w:val="24"/>
                <w:szCs w:val="24"/>
                <w:color w:val="auto"/>
              </w:rPr>
            </w:pPr>
          </w:p>
        </w:tc>
      </w:tr>
      <w:tr>
        <w:trPr>
          <w:trHeight w:val="391"/>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color w:val="auto"/>
                <w:w w:val="93"/>
              </w:rPr>
              <w:t>OptimizeRx Corporation</w:t>
            </w:r>
          </w:p>
        </w:tc>
        <w:tc>
          <w:tcPr>
            <w:tcW w:w="3220" w:type="dxa"/>
            <w:vAlign w:val="bottom"/>
          </w:tcPr>
          <w:p>
            <w:pPr>
              <w:spacing w:after="0"/>
              <w:rPr>
                <w:sz w:val="24"/>
                <w:szCs w:val="24"/>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p>
        </w:tc>
        <w:tc>
          <w:tcPr>
            <w:tcW w:w="4300" w:type="dxa"/>
            <w:vAlign w:val="bottom"/>
            <w:gridSpan w:val="8"/>
          </w:tcPr>
          <w:p>
            <w:pPr>
              <w:jc w:val="center"/>
              <w:ind w:right="5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800" w:type="dxa"/>
            <w:vAlign w:val="bottom"/>
            <w:gridSpan w:val="5"/>
          </w:tcPr>
          <w:p>
            <w:pPr>
              <w:jc w:val="center"/>
              <w:ind w:left="9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2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19"/>
                <w:szCs w:val="19"/>
                <w:color w:val="auto"/>
              </w:rPr>
            </w:pPr>
          </w:p>
        </w:tc>
        <w:tc>
          <w:tcPr>
            <w:tcW w:w="360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(I.R.S. Employer Identification No.)</w:t>
            </w:r>
          </w:p>
        </w:tc>
      </w:tr>
      <w:tr>
        <w:trPr>
          <w:trHeight w:val="445"/>
        </w:trPr>
        <w:tc>
          <w:tcPr>
            <w:tcW w:w="8020" w:type="dxa"/>
            <w:vAlign w:val="bottom"/>
            <w:gridSpan w:val="9"/>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24"/>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3"/>
          </w:tcPr>
          <w:p>
            <w:pPr>
              <w:spacing w:after="0"/>
              <w:rPr>
                <w:sz w:val="19"/>
                <w:szCs w:val="19"/>
                <w:color w:val="auto"/>
              </w:rPr>
            </w:pPr>
          </w:p>
        </w:tc>
        <w:tc>
          <w:tcPr>
            <w:tcW w:w="32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3700" w:type="dxa"/>
            <w:vAlign w:val="bottom"/>
          </w:tcPr>
          <w:p>
            <w:pPr>
              <w:spacing w:after="0"/>
              <w:rPr>
                <w:sz w:val="20"/>
                <w:szCs w:val="20"/>
                <w:color w:val="auto"/>
              </w:rPr>
            </w:pPr>
          </w:p>
        </w:tc>
      </w:tr>
      <w:tr>
        <w:trPr>
          <w:trHeight w:val="418"/>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9"/>
        </w:trPr>
        <w:tc>
          <w:tcPr>
            <w:tcW w:w="46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7"/>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56"/>
        </w:trPr>
        <w:tc>
          <w:tcPr>
            <w:tcW w:w="3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r>
      <w:tr>
        <w:trPr>
          <w:trHeight w:val="28"/>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466"/>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On August 17, 2021, we issued a press release announcing an exclusive partnership with Demandbase, the B2B go-to-market leader, to deliver the industry’s most extensive collection of point-of-care healthcare professional (HCP) digital engagement touchpoints, forming the most comprehensive account-based experience platform for life sciences. A copy of the press release is attached as Exhibit 99.1 to this Current Report on Form 8-K.</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August 17, 2021</w:t>
        </w:r>
      </w:hyperlink>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2021</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85725</wp:posOffset>
            </wp:positionV>
            <wp:extent cx="3497580"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40" w:right="260"/>
        <w:spacing w:after="0" w:line="282" w:lineRule="auto"/>
        <w:rPr>
          <w:sz w:val="20"/>
          <w:szCs w:val="20"/>
          <w:color w:val="auto"/>
        </w:rPr>
      </w:pPr>
      <w:r>
        <w:rPr>
          <w:rFonts w:ascii="Arial" w:cs="Arial" w:eastAsia="Arial" w:hAnsi="Arial"/>
          <w:sz w:val="18"/>
          <w:szCs w:val="18"/>
          <w:b w:val="1"/>
          <w:bCs w:val="1"/>
          <w:color w:val="auto"/>
        </w:rPr>
        <w:t>OptimizeRx and Demandbase Form Exclusive Account-Based-Experience (ABX) Partnership — Delivering Industry’s Most Powerful ABX Solution for Life Sciences</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The Companies’ combined point-of-care-engine creates an unmatched network of direct-to-physician digital interaction</w:t>
      </w:r>
    </w:p>
    <w:p>
      <w:pPr>
        <w:spacing w:after="0" w:line="26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ROCHESTER, Mich. – August 17, 2021 </w:t>
      </w:r>
      <w:r>
        <w:rPr>
          <w:rFonts w:ascii="Arial" w:cs="Arial" w:eastAsia="Arial" w:hAnsi="Arial"/>
          <w:sz w:val="18"/>
          <w:szCs w:val="18"/>
          <w:color w:val="auto"/>
        </w:rPr>
        <w:t>– OptimizeRx Corp. (the “Company”) (Nasdaq: OPRX), a leading provider of digital health solutions for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companies, physicians and patients, and Demandbase, the B2B go-to-market leader, today announced an exclusive partnership to deliver the industry’s most extensive collection of point-of-care healthcare professional (HCP) digital engagement touchpoints, forming the most comprehensive account-based experience platform for life sciences.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Together, the companies represent the only point-of-care engine that combines the principles of account-based experience (ABX) with the nation’s largest network of HCP care delivery technology touchpoints.</w:t>
      </w:r>
    </w:p>
    <w:p>
      <w:pPr>
        <w:spacing w:after="0" w:line="163" w:lineRule="exact"/>
        <w:rPr>
          <w:sz w:val="20"/>
          <w:szCs w:val="20"/>
          <w:color w:val="auto"/>
        </w:rPr>
      </w:pPr>
    </w:p>
    <w:p>
      <w:pPr>
        <w:ind w:left="540" w:right="140" w:hanging="208"/>
        <w:spacing w:after="0" w:line="239"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OptimizeRx will leverage the Demandbase B2B Go-to-Market suite to further expand its omni-channel reach at the point-of-care within hundreds of new healthcare systems across the U.S.</w:t>
      </w:r>
    </w:p>
    <w:p>
      <w:pPr>
        <w:ind w:left="540" w:right="160" w:hanging="208"/>
        <w:spacing w:after="0" w:line="230"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Complementary channel mix of the two companies' platforms creates an unmatched network of direct-to-physician digital touchpoints at the point-of-care.</w:t>
      </w:r>
    </w:p>
    <w:p>
      <w:pPr>
        <w:spacing w:after="0" w:line="1" w:lineRule="exact"/>
        <w:rPr>
          <w:rFonts w:ascii="Arial" w:cs="Arial" w:eastAsia="Arial" w:hAnsi="Arial"/>
          <w:sz w:val="22"/>
          <w:szCs w:val="22"/>
          <w:color w:val="auto"/>
        </w:rPr>
      </w:pPr>
    </w:p>
    <w:p>
      <w:pPr>
        <w:ind w:left="540" w:right="100" w:hanging="208"/>
        <w:spacing w:after="0" w:line="230"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Life sciences can now leverage the unique combination of institutional and in-workflow behavioral data, including doctor-activity and patient access information to personalize support and engagement of providers and patients at all care milestones along the patient journey.</w:t>
      </w:r>
    </w:p>
    <w:p>
      <w:pPr>
        <w:spacing w:after="0" w:line="1" w:lineRule="exact"/>
        <w:rPr>
          <w:rFonts w:ascii="Arial" w:cs="Arial" w:eastAsia="Arial" w:hAnsi="Arial"/>
          <w:sz w:val="22"/>
          <w:szCs w:val="22"/>
          <w:color w:val="auto"/>
        </w:rPr>
      </w:pPr>
    </w:p>
    <w:p>
      <w:pPr>
        <w:ind w:left="540" w:right="80" w:hanging="208"/>
        <w:spacing w:after="0" w:line="236" w:lineRule="auto"/>
        <w:tabs>
          <w:tab w:leader="none" w:pos="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partnership enables pharmaceutical manufacturers to seamlessly craft tailored, account-based engagement experiences at the point-of-care for their most important customers.</w:t>
      </w:r>
    </w:p>
    <w:p>
      <w:pPr>
        <w:spacing w:after="0" w:line="1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Allison Metcalfe, Demandbase’s chief revenue officer noted, “We’ve marked significant increased demand in the pharmaceutical industry to create intelligent account-based experiences. Every account has a unique mix of patients and providers, so creating tailored experiences at-scale requires robust channels and data to be successful. Together, the Demandbase ABX platform and the OptimizeRx digital health and communications platform represent the most comprehensive solution for life sciences to implement their account-based and provider reach digital B2B strategies.</w:t>
      </w:r>
    </w:p>
    <w:p>
      <w:pPr>
        <w:spacing w:after="0" w:line="17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Steve Silvestro, chief commercial officer, OptimizeRx noted, “This partnership enables the complex unification of behavioral, access, and care milestone data. That data unification, in combination with extensive point-of-care digital channels to HCPs, offers the unrivaled capability for pharmaceutical manufacturers to capture physician mindshare and provide vital resources and information at the moments their brand is most needed.</w:t>
      </w:r>
    </w:p>
    <w:p>
      <w:pPr>
        <w:spacing w:after="0" w:line="149" w:lineRule="exact"/>
        <w:rPr>
          <w:sz w:val="20"/>
          <w:szCs w:val="20"/>
          <w:color w:val="auto"/>
        </w:rPr>
      </w:pPr>
    </w:p>
    <w:p>
      <w:pPr>
        <w:ind w:right="580"/>
        <w:spacing w:after="0" w:line="257" w:lineRule="auto"/>
        <w:rPr>
          <w:sz w:val="20"/>
          <w:szCs w:val="20"/>
          <w:color w:val="auto"/>
        </w:rPr>
      </w:pPr>
      <w:r>
        <w:rPr>
          <w:rFonts w:ascii="Arial" w:cs="Arial" w:eastAsia="Arial" w:hAnsi="Arial"/>
          <w:sz w:val="18"/>
          <w:szCs w:val="18"/>
          <w:color w:val="auto"/>
        </w:rPr>
        <w:t>“We look forward to continuing our transformation of the way the life sciences industry engages with and supports their customers. Working with Demandbase, we are modernizing healthcare’s communications infrastructure and in turn narrowing its digital divide amongst doctors, patients, and biopharma. We are very excited to bring account-based marketing to the largest network of HCPs in the nation. We expect this partnership to have a positive impact on revenue in the years to come as more life sciences companies continue their shift to more digital commercialization strategies,” concluded Mr. Silvestro.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Demandbase</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Demandbase is transforming the way B2B companies go-to-market. Demandbase One is the most complete suite of B2B go-to-market solutions, connecting the leading account-based experience, advertising, sales intelligence, and B2B data solutions so Marketing and Sales teams at the biggest and fastest-growing companies can collaborate faster, share intelligence, and experience explosive growth. For more information about Demandbase, visit: www.demandbase.com.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color w:val="0563C1"/>
        </w:rPr>
        <w:t>Twitter</w:t>
      </w:r>
      <w:r>
        <w:rPr>
          <w:rFonts w:ascii="Arial" w:cs="Arial" w:eastAsia="Arial" w:hAnsi="Arial"/>
          <w:sz w:val="18"/>
          <w:szCs w:val="18"/>
          <w:color w:val="auto"/>
        </w:rPr>
        <w:t xml:space="preserve">, </w:t>
      </w:r>
      <w:r>
        <w:rPr>
          <w:rFonts w:ascii="Arial" w:cs="Arial" w:eastAsia="Arial" w:hAnsi="Arial"/>
          <w:sz w:val="18"/>
          <w:szCs w:val="18"/>
          <w:color w:val="0563C1"/>
        </w:rPr>
        <w:t>LinkedIn</w:t>
      </w:r>
      <w:r>
        <w:rPr>
          <w:rFonts w:ascii="Arial" w:cs="Arial" w:eastAsia="Arial" w:hAnsi="Arial"/>
          <w:sz w:val="18"/>
          <w:szCs w:val="18"/>
          <w:color w:val="auto"/>
        </w:rPr>
        <w:t xml:space="preserve"> or visit </w:t>
      </w:r>
      <w:r>
        <w:rPr>
          <w:rFonts w:ascii="Arial" w:cs="Arial" w:eastAsia="Arial" w:hAnsi="Arial"/>
          <w:sz w:val="18"/>
          <w:szCs w:val="18"/>
          <w:color w:val="0563C1"/>
        </w:rPr>
        <w:t>www.optimizerx.com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Section 21E of the Securities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563C1"/>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ectPr>
          <w:pgSz w:w="11900" w:h="16850" w:orient="portrait"/>
          <w:cols w:equalWidth="0" w:num="1">
            <w:col w:w="11240"/>
          </w:cols>
          <w:pgMar w:left="320" w:top="121" w:right="339" w:bottom="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Maira Alejandra, Media Relations Manager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563C1"/>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Demandbase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Kristin Hege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kristin@conveycommsagency.com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480.540.6496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2021-08-17T15:34:48Z</dcterms:created>
  <dcterms:modified xsi:type="dcterms:W3CDTF">2021-08-17T15:34:48Z</dcterms:modified>
</cp:coreProperties>
</file>