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AWM Investment Company, Inc.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2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OptimizeRx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OPRX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4"/>
            <w:vMerge w:val="restart"/>
          </w:tcPr>
          <w:p>
            <w:pPr>
              <w:spacing w:after="0"/>
              <w:rPr>
                <w:sz w:val="20"/>
                <w:szCs w:val="20"/>
                <w:color w:val="auto"/>
              </w:rPr>
            </w:pPr>
            <w:r>
              <w:rPr>
                <w:rFonts w:ascii="Arial" w:cs="Arial" w:eastAsia="Arial" w:hAnsi="Arial"/>
                <w:sz w:val="14"/>
                <w:szCs w:val="14"/>
                <w:color w:val="auto"/>
                <w:w w:val="95"/>
              </w:rPr>
              <w:t>(Check all applicable)</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vMerge w:val="restart"/>
          </w:tcPr>
          <w:p>
            <w:pPr>
              <w:ind w:left="44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440"/>
              <w:spacing w:after="0"/>
              <w:rPr>
                <w:sz w:val="20"/>
                <w:szCs w:val="20"/>
                <w:color w:val="auto"/>
              </w:rPr>
            </w:pPr>
            <w:r>
              <w:rPr>
                <w:rFonts w:ascii="Arial" w:cs="Arial" w:eastAsia="Arial" w:hAnsi="Arial"/>
                <w:sz w:val="14"/>
                <w:szCs w:val="14"/>
                <w:color w:val="auto"/>
              </w:rPr>
              <w:t>Officer (give title</w:t>
            </w:r>
          </w:p>
        </w:tc>
        <w:tc>
          <w:tcPr>
            <w:tcW w:w="48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ind w:left="440"/>
              <w:spacing w:after="0"/>
              <w:rPr>
                <w:sz w:val="20"/>
                <w:szCs w:val="20"/>
                <w:color w:val="auto"/>
              </w:rPr>
            </w:pPr>
            <w:r>
              <w:rPr>
                <w:rFonts w:ascii="Arial" w:cs="Arial" w:eastAsia="Arial" w:hAnsi="Arial"/>
                <w:sz w:val="14"/>
                <w:szCs w:val="14"/>
                <w:color w:val="auto"/>
              </w:rPr>
              <w:t>below)</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527 MADISON AVENUE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0000FF"/>
                <w:w w:val="99"/>
              </w:rPr>
              <w:t>05/14/2019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2600</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9"/>
            <w:vMerge w:val="continue"/>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60" w:type="dxa"/>
            <w:vAlign w:val="bottom"/>
            <w:gridSpan w:val="7"/>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460"/>
              <w:spacing w:after="0" w:line="136" w:lineRule="exact"/>
              <w:rPr>
                <w:sz w:val="20"/>
                <w:szCs w:val="20"/>
                <w:color w:val="auto"/>
              </w:rPr>
            </w:pPr>
            <w:r>
              <w:rPr>
                <w:rFonts w:ascii="Arial" w:cs="Arial" w:eastAsia="Arial" w:hAnsi="Arial"/>
                <w:sz w:val="14"/>
                <w:szCs w:val="14"/>
                <w:color w:val="auto"/>
              </w:rPr>
              <w:t>Person</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9"/>
          </w:tcPr>
          <w:p>
            <w:pPr>
              <w:jc w:val="center"/>
              <w:ind w:left="3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4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440" w:type="dxa"/>
            <w:vAlign w:val="bottom"/>
          </w:tcPr>
          <w:p>
            <w:pPr>
              <w:spacing w:after="0"/>
              <w:rPr>
                <w:sz w:val="11"/>
                <w:szCs w:val="11"/>
                <w:color w:val="auto"/>
              </w:rPr>
            </w:pP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2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6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82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9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9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8"/>
                <w:szCs w:val="18"/>
                <w:color w:val="0000FF"/>
              </w:rPr>
              <w:t>05/14/2019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color w:val="0000FF"/>
                <w:w w:val="85"/>
              </w:rPr>
              <w:t>S</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restart"/>
          </w:tcPr>
          <w:p>
            <w:pPr>
              <w:jc w:val="center"/>
              <w:ind w:right="12"/>
              <w:spacing w:after="0"/>
              <w:rPr>
                <w:sz w:val="20"/>
                <w:szCs w:val="20"/>
                <w:color w:val="auto"/>
              </w:rPr>
            </w:pPr>
            <w:r>
              <w:rPr>
                <w:rFonts w:ascii="Arial" w:cs="Arial" w:eastAsia="Arial" w:hAnsi="Arial"/>
                <w:sz w:val="18"/>
                <w:szCs w:val="18"/>
                <w:color w:val="0000FF"/>
                <w:w w:val="87"/>
              </w:rPr>
              <w:t>18,474</w:t>
            </w:r>
          </w:p>
        </w:tc>
        <w:tc>
          <w:tcPr>
            <w:tcW w:w="400" w:type="dxa"/>
            <w:vAlign w:val="bottom"/>
            <w:vMerge w:val="restart"/>
          </w:tcPr>
          <w:p>
            <w:pPr>
              <w:jc w:val="right"/>
              <w:ind w:right="43"/>
              <w:spacing w:after="0"/>
              <w:rPr>
                <w:sz w:val="20"/>
                <w:szCs w:val="20"/>
                <w:color w:val="auto"/>
              </w:rPr>
            </w:pPr>
            <w:r>
              <w:rPr>
                <w:rFonts w:ascii="Arial" w:cs="Arial" w:eastAsia="Arial" w:hAnsi="Arial"/>
                <w:sz w:val="18"/>
                <w:szCs w:val="18"/>
                <w:color w:val="0000FF"/>
              </w:rPr>
              <w:t>D</w:t>
            </w:r>
          </w:p>
        </w:tc>
        <w:tc>
          <w:tcPr>
            <w:tcW w:w="9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13.6001</w:t>
            </w:r>
            <w:r>
              <w:rPr>
                <w:rFonts w:ascii="Arial" w:cs="Arial" w:eastAsia="Arial" w:hAnsi="Arial"/>
                <w:sz w:val="22"/>
                <w:szCs w:val="22"/>
                <w:color w:val="008000"/>
                <w:w w:val="85"/>
                <w:vertAlign w:val="superscript"/>
              </w:rPr>
              <w:t>(1)</w:t>
            </w:r>
          </w:p>
        </w:tc>
        <w:tc>
          <w:tcPr>
            <w:tcW w:w="130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7"/>
              </w:rPr>
              <w:t>1,245,928</w:t>
            </w:r>
          </w:p>
        </w:tc>
        <w:tc>
          <w:tcPr>
            <w:tcW w:w="340" w:type="dxa"/>
            <w:vAlign w:val="bottom"/>
          </w:tcPr>
          <w:p>
            <w:pPr>
              <w:spacing w:after="0"/>
              <w:rPr>
                <w:sz w:val="22"/>
                <w:szCs w:val="22"/>
                <w:color w:val="auto"/>
              </w:rPr>
            </w:pPr>
          </w:p>
        </w:tc>
        <w:tc>
          <w:tcPr>
            <w:tcW w:w="48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8"/>
                <w:szCs w:val="18"/>
                <w:color w:val="0000FF"/>
              </w:rPr>
              <w:t>05/14/2019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color w:val="0000FF"/>
                <w:w w:val="85"/>
              </w:rPr>
              <w:t>S</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restart"/>
          </w:tcPr>
          <w:p>
            <w:pPr>
              <w:jc w:val="center"/>
              <w:ind w:right="12"/>
              <w:spacing w:after="0"/>
              <w:rPr>
                <w:sz w:val="20"/>
                <w:szCs w:val="20"/>
                <w:color w:val="auto"/>
              </w:rPr>
            </w:pPr>
            <w:r>
              <w:rPr>
                <w:rFonts w:ascii="Arial" w:cs="Arial" w:eastAsia="Arial" w:hAnsi="Arial"/>
                <w:sz w:val="18"/>
                <w:szCs w:val="18"/>
                <w:color w:val="0000FF"/>
                <w:w w:val="87"/>
              </w:rPr>
              <w:t>20,000</w:t>
            </w:r>
          </w:p>
        </w:tc>
        <w:tc>
          <w:tcPr>
            <w:tcW w:w="400" w:type="dxa"/>
            <w:vAlign w:val="bottom"/>
            <w:vMerge w:val="restart"/>
          </w:tcPr>
          <w:p>
            <w:pPr>
              <w:jc w:val="right"/>
              <w:ind w:right="43"/>
              <w:spacing w:after="0"/>
              <w:rPr>
                <w:sz w:val="20"/>
                <w:szCs w:val="20"/>
                <w:color w:val="auto"/>
              </w:rPr>
            </w:pPr>
            <w:r>
              <w:rPr>
                <w:rFonts w:ascii="Arial" w:cs="Arial" w:eastAsia="Arial" w:hAnsi="Arial"/>
                <w:sz w:val="18"/>
                <w:szCs w:val="18"/>
                <w:color w:val="0000FF"/>
              </w:rPr>
              <w:t>D</w:t>
            </w:r>
          </w:p>
        </w:tc>
        <w:tc>
          <w:tcPr>
            <w:tcW w:w="9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13.6002</w:t>
            </w:r>
            <w:r>
              <w:rPr>
                <w:rFonts w:ascii="Arial" w:cs="Arial" w:eastAsia="Arial" w:hAnsi="Arial"/>
                <w:sz w:val="22"/>
                <w:szCs w:val="22"/>
                <w:color w:val="008000"/>
                <w:w w:val="85"/>
                <w:vertAlign w:val="superscript"/>
              </w:rPr>
              <w:t>(1)</w:t>
            </w:r>
          </w:p>
        </w:tc>
        <w:tc>
          <w:tcPr>
            <w:tcW w:w="130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7"/>
              </w:rPr>
              <w:t>1,225,928</w:t>
            </w:r>
          </w:p>
        </w:tc>
        <w:tc>
          <w:tcPr>
            <w:tcW w:w="340" w:type="dxa"/>
            <w:vAlign w:val="bottom"/>
          </w:tcPr>
          <w:p>
            <w:pPr>
              <w:spacing w:after="0"/>
              <w:rPr>
                <w:sz w:val="22"/>
                <w:szCs w:val="22"/>
                <w:color w:val="auto"/>
              </w:rPr>
            </w:pPr>
          </w:p>
        </w:tc>
        <w:tc>
          <w:tcPr>
            <w:tcW w:w="48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8"/>
                <w:szCs w:val="18"/>
                <w:color w:val="0000FF"/>
              </w:rPr>
              <w:t>05/14/2019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color w:val="0000FF"/>
                <w:w w:val="85"/>
              </w:rPr>
              <w:t>S</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4,400</w:t>
            </w:r>
            <w:r>
              <w:rPr>
                <w:rFonts w:ascii="Arial" w:cs="Arial" w:eastAsia="Arial" w:hAnsi="Arial"/>
                <w:sz w:val="11"/>
                <w:szCs w:val="11"/>
                <w:color w:val="008000"/>
                <w:w w:val="77"/>
              </w:rPr>
              <w:t>(2)(3)</w:t>
            </w:r>
          </w:p>
        </w:tc>
        <w:tc>
          <w:tcPr>
            <w:tcW w:w="400" w:type="dxa"/>
            <w:vAlign w:val="bottom"/>
            <w:vMerge w:val="restart"/>
          </w:tcPr>
          <w:p>
            <w:pPr>
              <w:jc w:val="right"/>
              <w:ind w:right="43"/>
              <w:spacing w:after="0"/>
              <w:rPr>
                <w:sz w:val="20"/>
                <w:szCs w:val="20"/>
                <w:color w:val="auto"/>
              </w:rPr>
            </w:pPr>
            <w:r>
              <w:rPr>
                <w:rFonts w:ascii="Arial" w:cs="Arial" w:eastAsia="Arial" w:hAnsi="Arial"/>
                <w:sz w:val="18"/>
                <w:szCs w:val="18"/>
                <w:color w:val="0000FF"/>
              </w:rPr>
              <w:t>D</w:t>
            </w:r>
          </w:p>
        </w:tc>
        <w:tc>
          <w:tcPr>
            <w:tcW w:w="960" w:type="dxa"/>
            <w:vAlign w:val="bottom"/>
            <w:gridSpan w:val="2"/>
            <w:vMerge w:val="restart"/>
          </w:tcPr>
          <w:p>
            <w:pPr>
              <w:jc w:val="center"/>
              <w:ind w:left="14"/>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13.6288</w:t>
            </w:r>
            <w:r>
              <w:rPr>
                <w:rFonts w:ascii="Arial" w:cs="Arial" w:eastAsia="Arial" w:hAnsi="Arial"/>
                <w:sz w:val="22"/>
                <w:szCs w:val="22"/>
                <w:color w:val="008000"/>
                <w:w w:val="85"/>
                <w:vertAlign w:val="superscript"/>
              </w:rPr>
              <w:t>(1)</w:t>
            </w:r>
          </w:p>
        </w:tc>
        <w:tc>
          <w:tcPr>
            <w:tcW w:w="130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4"/>
              </w:rPr>
              <w:t>1,221,528</w:t>
            </w:r>
            <w:r>
              <w:rPr>
                <w:rFonts w:ascii="Arial" w:cs="Arial" w:eastAsia="Arial" w:hAnsi="Arial"/>
                <w:sz w:val="22"/>
                <w:szCs w:val="22"/>
                <w:color w:val="008000"/>
                <w:w w:val="84"/>
                <w:vertAlign w:val="superscript"/>
              </w:rPr>
              <w:t>(2)(3)</w:t>
            </w:r>
          </w:p>
        </w:tc>
        <w:tc>
          <w:tcPr>
            <w:tcW w:w="820" w:type="dxa"/>
            <w:vAlign w:val="bottom"/>
            <w:gridSpan w:val="2"/>
            <w:vMerge w:val="restart"/>
          </w:tcPr>
          <w:p>
            <w:pPr>
              <w:ind w:left="2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(2)(3)</w:t>
            </w: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8"/>
                <w:szCs w:val="18"/>
                <w:color w:val="0000FF"/>
                <w:w w:val="87"/>
              </w:rPr>
              <w:t>Partnership</w:t>
            </w:r>
            <w:r>
              <w:rPr>
                <w:rFonts w:ascii="Arial" w:cs="Arial" w:eastAsia="Arial" w:hAnsi="Arial"/>
                <w:sz w:val="22"/>
                <w:szCs w:val="22"/>
                <w:color w:val="008000"/>
                <w:w w:val="87"/>
                <w:vertAlign w:val="superscript"/>
              </w:rPr>
              <w:t>(2)(3)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20" w:type="dxa"/>
            <w:vAlign w:val="bottom"/>
            <w:gridSpan w:val="16"/>
          </w:tcPr>
          <w:p>
            <w:pPr>
              <w:jc w:val="center"/>
              <w:ind w:right="41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2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jc w:val="center"/>
              <w:ind w:left="54"/>
              <w:spacing w:after="0" w:line="135" w:lineRule="exact"/>
              <w:rPr>
                <w:sz w:val="20"/>
                <w:szCs w:val="20"/>
                <w:color w:val="auto"/>
              </w:rPr>
            </w:pPr>
            <w:r>
              <w:rPr>
                <w:rFonts w:ascii="Arial" w:cs="Arial" w:eastAsia="Arial" w:hAnsi="Arial"/>
                <w:sz w:val="12"/>
                <w:szCs w:val="12"/>
                <w:b w:val="1"/>
                <w:bCs w:val="1"/>
                <w:color w:val="auto"/>
                <w:w w:val="99"/>
              </w:rPr>
              <w:t>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jc w:val="right"/>
              <w:ind w:right="43"/>
              <w:spacing w:after="0" w:line="135" w:lineRule="exact"/>
              <w:rPr>
                <w:sz w:val="20"/>
                <w:szCs w:val="20"/>
                <w:color w:val="auto"/>
              </w:rPr>
            </w:pPr>
            <w:r>
              <w:rPr>
                <w:rFonts w:ascii="Arial" w:cs="Arial" w:eastAsia="Arial" w:hAnsi="Arial"/>
                <w:sz w:val="12"/>
                <w:szCs w:val="12"/>
                <w:b w:val="1"/>
                <w:bCs w:val="1"/>
                <w:color w:val="auto"/>
              </w:rPr>
              <w:t>Expiration</w:t>
            </w:r>
          </w:p>
        </w:tc>
        <w:tc>
          <w:tcPr>
            <w:tcW w:w="960" w:type="dxa"/>
            <w:vAlign w:val="bottom"/>
            <w:gridSpan w:val="2"/>
          </w:tcPr>
          <w:p>
            <w:pPr>
              <w:jc w:val="center"/>
              <w:ind w:left="54"/>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is a weighted average price.</w:t>
      </w:r>
    </w:p>
    <w:p>
      <w:pPr>
        <w:spacing w:after="0" w:line="41"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AWM Investment Company, Inc., a Delaware Corporation (AWM), is the investment adviser to Special Situations Fund III QP, L.P. (QP), Special Situations Cayman Fund, L.P. (CAYMAN) and Special Situations Private Equity Fund, L.P. (PE together with QP and CAYMAN the Funds). As the investment adviser to the Funds, AWM holds sole voting and investment power over 725,215 of Common Stock of the Issuer (the Shares) held by QP, 271,224 Shares held by CAYMAN and 225,089 Shares held by PE.</w:t>
      </w:r>
    </w:p>
    <w:p>
      <w:pPr>
        <w:spacing w:after="0" w:line="30"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Austin W. Marxe (Marxe), 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Adam Stettner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05/17/2019</w:t>
            </w:r>
          </w:p>
        </w:tc>
      </w:tr>
      <w:tr>
        <w:trPr>
          <w:trHeight w:val="20"/>
        </w:trPr>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2019-12-24T07:42:46Z</dcterms:created>
  <dcterms:modified xsi:type="dcterms:W3CDTF">2019-12-24T07:42:46Z</dcterms:modified>
</cp:coreProperties>
</file>